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13, 2023, PureTech Health plc (LSE: PRTC, Nasdaq: PRTC) (the “Company”) issued a press release announcing the results of its 2023 Annual General Meeting. The full text of the resolutions may be found in the Notice of the Annual General Meeting, copies of which are available on both the Company’s website https://investors.puretechhealth.com/financials-filings/reports and on the National Storage Mechanism.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ectPr>
          <w:pgSz w:w="11900" w:h="16838" w:orient="portrait"/>
          <w:cols w:equalWidth="0" w:num="1">
            <w:col w:w="10920"/>
          </w:cols>
          <w:pgMar w:left="440" w:top="486"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PureTech Health plc, dated June 13, 2023, titled “Results of Annual General Meeting”</w:t>
      </w:r>
    </w:p>
    <w:p>
      <w:pPr>
        <w:sectPr>
          <w:pgSz w:w="11900" w:h="16838" w:orient="portrait"/>
          <w:cols w:equalWidth="0" w:num="1">
            <w:col w:w="10019"/>
          </w:cols>
          <w:pgMar w:left="440" w:top="48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780" w:type="dxa"/>
            <w:vAlign w:val="bottom"/>
            <w:gridSpan w:val="3"/>
          </w:tcPr>
          <w:p>
            <w:pPr>
              <w:ind w:left="1820"/>
              <w:spacing w:after="0"/>
              <w:rPr>
                <w:sz w:val="20"/>
                <w:szCs w:val="20"/>
                <w:color w:val="auto"/>
              </w:rPr>
            </w:pPr>
            <w:r>
              <w:rPr>
                <w:rFonts w:ascii="Arial" w:cs="Arial" w:eastAsia="Arial" w:hAnsi="Arial"/>
                <w:sz w:val="18"/>
                <w:szCs w:val="18"/>
                <w:color w:val="auto"/>
              </w:rPr>
              <w:t>PURETECH HEALTH PLC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 June 13, 2023</w:t>
            </w:r>
          </w:p>
        </w:tc>
        <w:tc>
          <w:tcPr>
            <w:tcW w:w="7780" w:type="dxa"/>
            <w:vAlign w:val="bottom"/>
            <w:gridSpan w:val="3"/>
          </w:tcPr>
          <w:p>
            <w:pPr>
              <w:ind w:left="1820"/>
              <w:spacing w:after="0"/>
              <w:rPr>
                <w:sz w:val="20"/>
                <w:szCs w:val="20"/>
                <w:color w:val="auto"/>
              </w:rPr>
            </w:pPr>
            <w:r>
              <w:rPr>
                <w:rFonts w:ascii="Arial" w:cs="Arial" w:eastAsia="Arial" w:hAnsi="Arial"/>
                <w:sz w:val="18"/>
                <w:szCs w:val="18"/>
                <w:color w:val="auto"/>
              </w:rPr>
              <w:t>By:  /s/ Daphne Zohar</w:t>
            </w:r>
          </w:p>
        </w:tc>
      </w:tr>
      <w:tr>
        <w:trPr>
          <w:trHeight w:val="195"/>
        </w:trPr>
        <w:tc>
          <w:tcPr>
            <w:tcW w:w="3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486" w:right="439" w:bottom="1440" w:gutter="0" w:footer="0" w:header="0"/>
        </w:sectPr>
      </w:pPr>
    </w:p>
    <w:bookmarkStart w:id="4" w:name="page5"/>
    <w:bookmarkEnd w:id="4"/>
    <w:p>
      <w:pPr>
        <w:ind w:left="10084"/>
        <w:spacing w:after="0"/>
        <w:rPr>
          <w:sz w:val="20"/>
          <w:szCs w:val="20"/>
          <w:color w:val="auto"/>
        </w:rPr>
      </w:pPr>
      <w:r>
        <w:rPr>
          <w:rFonts w:ascii="Arial" w:cs="Arial" w:eastAsia="Arial" w:hAnsi="Arial"/>
          <w:sz w:val="16"/>
          <w:szCs w:val="16"/>
          <w:b w:val="1"/>
          <w:bCs w:val="1"/>
          <w:color w:val="auto"/>
        </w:rPr>
        <w:t>Exhibit 99.1</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 June 2023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PureTech Health plc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Annual General Meeting</w:t>
      </w:r>
    </w:p>
    <w:p>
      <w:pPr>
        <w:spacing w:after="0" w:line="229"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 Annual General Meeting of PureTech Health plc (Nasdaq: PRTC, LSE: PRTC) (“PureTech Health” or the “Company”) was held at 11 a.m. EDT/4 p.m. BST on Tuesday, June 13, 2023.</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of the resolutions proposed at the Annual General Meeting were duly passed by the shareholders on a poll.</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results of the poll, incorporating the proxy votes lodged in advance of the meeting, are set out below. All resolutions were passed by greater than 93% of the shares voted at the meeting.</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Resolutions</w:t>
            </w:r>
          </w:p>
        </w:tc>
        <w:tc>
          <w:tcPr>
            <w:tcW w:w="100" w:type="dxa"/>
            <w:vAlign w:val="bottom"/>
          </w:tcPr>
          <w:p>
            <w:pPr>
              <w:spacing w:after="0"/>
              <w:rPr>
                <w:sz w:val="14"/>
                <w:szCs w:val="14"/>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For</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Against</w:t>
            </w:r>
          </w:p>
        </w:tc>
        <w:tc>
          <w:tcPr>
            <w:tcW w:w="3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Withheld</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 votes</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cast</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001. To approve the Company’s Annual Report and Accounts for year ended</w:t>
            </w: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 December 2022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218,239,144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218,239,144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002.</w:t>
            </w:r>
          </w:p>
        </w:tc>
        <w:tc>
          <w:tcPr>
            <w:tcW w:w="5200" w:type="dxa"/>
            <w:vAlign w:val="bottom"/>
          </w:tcPr>
          <w:p>
            <w:pPr>
              <w:ind w:left="20"/>
              <w:spacing w:after="0"/>
              <w:rPr>
                <w:sz w:val="20"/>
                <w:szCs w:val="20"/>
                <w:color w:val="auto"/>
              </w:rPr>
            </w:pPr>
            <w:r>
              <w:rPr>
                <w:rFonts w:ascii="Arial" w:cs="Arial" w:eastAsia="Arial" w:hAnsi="Arial"/>
                <w:sz w:val="18"/>
                <w:szCs w:val="18"/>
                <w:color w:val="auto"/>
              </w:rPr>
              <w:t>To approve the Directors’ Remuneration Report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208,436,087</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95.51%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9,804,137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4.49%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218,240,224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003.</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elect Ms. Sharon Barber-Lui as a director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217,708,896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99.76%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530,758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218,239,654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004.</w:t>
            </w:r>
          </w:p>
        </w:tc>
        <w:tc>
          <w:tcPr>
            <w:tcW w:w="5200" w:type="dxa"/>
            <w:vAlign w:val="bottom"/>
          </w:tcPr>
          <w:p>
            <w:pPr>
              <w:ind w:left="20"/>
              <w:spacing w:after="0"/>
              <w:rPr>
                <w:sz w:val="20"/>
                <w:szCs w:val="20"/>
                <w:color w:val="auto"/>
              </w:rPr>
            </w:pPr>
            <w:r>
              <w:rPr>
                <w:rFonts w:ascii="Arial" w:cs="Arial" w:eastAsia="Arial" w:hAnsi="Arial"/>
                <w:sz w:val="18"/>
                <w:szCs w:val="18"/>
                <w:color w:val="auto"/>
              </w:rPr>
              <w:t>To elect Dr. Raju Kucherlapati as a director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217,673,486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99.74%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564,168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0.26%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3,346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218,237,654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005.</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elect Dr. John LaMattina as a director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208,905,865</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95.72%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9,331,788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4.28%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218,237,653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006.</w:t>
            </w:r>
          </w:p>
        </w:tc>
        <w:tc>
          <w:tcPr>
            <w:tcW w:w="5200" w:type="dxa"/>
            <w:vAlign w:val="bottom"/>
          </w:tcPr>
          <w:p>
            <w:pPr>
              <w:ind w:left="20"/>
              <w:spacing w:after="0"/>
              <w:rPr>
                <w:sz w:val="20"/>
                <w:szCs w:val="20"/>
                <w:color w:val="auto"/>
              </w:rPr>
            </w:pPr>
            <w:r>
              <w:rPr>
                <w:rFonts w:ascii="Arial" w:cs="Arial" w:eastAsia="Arial" w:hAnsi="Arial"/>
                <w:sz w:val="18"/>
                <w:szCs w:val="18"/>
                <w:color w:val="auto"/>
              </w:rPr>
              <w:t>To elect Ms. Kiran Mazumdar-Shaw as a director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204,963,784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93.92%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13,275,369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1,847</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218,239,153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007.</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elect Dr. Robert Langer as a director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213,495,366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4,743,812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218,239,178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008.</w:t>
            </w:r>
          </w:p>
        </w:tc>
        <w:tc>
          <w:tcPr>
            <w:tcW w:w="5200" w:type="dxa"/>
            <w:vAlign w:val="bottom"/>
          </w:tcPr>
          <w:p>
            <w:pPr>
              <w:ind w:left="20"/>
              <w:spacing w:after="0"/>
              <w:rPr>
                <w:sz w:val="20"/>
                <w:szCs w:val="20"/>
                <w:color w:val="auto"/>
              </w:rPr>
            </w:pPr>
            <w:r>
              <w:rPr>
                <w:rFonts w:ascii="Arial" w:cs="Arial" w:eastAsia="Arial" w:hAnsi="Arial"/>
                <w:sz w:val="18"/>
                <w:szCs w:val="18"/>
                <w:color w:val="auto"/>
              </w:rPr>
              <w:t>To elect Ms. Daphne Zohar as a director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218,236,986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2,693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1,321</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218,239,679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009.</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elect Dr. Bharatt Chowrira as a director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217,679,376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99.99%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30,161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0.01%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531,463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217,709,537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w w:val="91"/>
              </w:rPr>
              <w:t>010.</w:t>
            </w:r>
          </w:p>
        </w:tc>
        <w:tc>
          <w:tcPr>
            <w:tcW w:w="5200" w:type="dxa"/>
            <w:vAlign w:val="bottom"/>
          </w:tcPr>
          <w:p>
            <w:pPr>
              <w:ind w:left="20"/>
              <w:spacing w:after="0" w:line="201" w:lineRule="exact"/>
              <w:rPr>
                <w:sz w:val="20"/>
                <w:szCs w:val="20"/>
                <w:color w:val="auto"/>
              </w:rPr>
            </w:pPr>
            <w:r>
              <w:rPr>
                <w:rFonts w:ascii="Arial" w:cs="Arial" w:eastAsia="Arial" w:hAnsi="Arial"/>
                <w:sz w:val="18"/>
                <w:szCs w:val="18"/>
                <w:color w:val="auto"/>
              </w:rPr>
              <w:t>To appoint PricewaterhouseCoopers LLP as the auditors of the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Company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217,704,419</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99.75%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535,776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0.25%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218,240,195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011. To authorize the Audit Committee to determine the Auditors’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remuneration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218,232,344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218,238,495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012.</w:t>
            </w:r>
          </w:p>
        </w:tc>
        <w:tc>
          <w:tcPr>
            <w:tcW w:w="5200" w:type="dxa"/>
            <w:vAlign w:val="bottom"/>
          </w:tcPr>
          <w:p>
            <w:pPr>
              <w:ind w:left="20"/>
              <w:spacing w:after="0"/>
              <w:rPr>
                <w:sz w:val="20"/>
                <w:szCs w:val="20"/>
                <w:color w:val="auto"/>
              </w:rPr>
            </w:pPr>
            <w:r>
              <w:rPr>
                <w:rFonts w:ascii="Arial" w:cs="Arial" w:eastAsia="Arial" w:hAnsi="Arial"/>
                <w:sz w:val="18"/>
                <w:szCs w:val="18"/>
                <w:color w:val="auto"/>
              </w:rPr>
              <w:t>To authorize the allotment of shares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218,208,524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99.99%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31,471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0.01%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1,005</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218,239,995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013. To approve the Company’s new Performance Share Plan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211,285,130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96.81%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6,952,233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3.19%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218,237,363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20"/>
                <w:szCs w:val="20"/>
                <w:color w:val="auto"/>
              </w:rPr>
            </w:pPr>
            <w:r>
              <w:rPr>
                <w:rFonts w:ascii="Arial" w:cs="Arial" w:eastAsia="Arial" w:hAnsi="Arial"/>
                <w:sz w:val="18"/>
                <w:szCs w:val="18"/>
                <w:color w:val="auto"/>
                <w:w w:val="91"/>
              </w:rPr>
              <w:t>014.</w:t>
            </w:r>
          </w:p>
        </w:tc>
        <w:tc>
          <w:tcPr>
            <w:tcW w:w="5200" w:type="dxa"/>
            <w:vAlign w:val="bottom"/>
          </w:tcPr>
          <w:p>
            <w:pPr>
              <w:ind w:left="20"/>
              <w:spacing w:after="0"/>
              <w:rPr>
                <w:sz w:val="20"/>
                <w:szCs w:val="20"/>
                <w:color w:val="auto"/>
              </w:rPr>
            </w:pPr>
            <w:r>
              <w:rPr>
                <w:rFonts w:ascii="Arial" w:cs="Arial" w:eastAsia="Arial" w:hAnsi="Arial"/>
                <w:sz w:val="18"/>
                <w:szCs w:val="18"/>
                <w:color w:val="auto"/>
              </w:rPr>
              <w:t>To disapply pre-emption rights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217,137,254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99.50%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1,101,010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0.50%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2,736</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218,238,264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ind w:left="184" w:right="5720" w:hanging="184"/>
        <w:spacing w:after="0" w:line="280"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further disapply pre-emption rights as if section 561 of the Companies Act 2006 did not apply to any allotment of equity securities</w:t>
      </w:r>
    </w:p>
    <w:tbl>
      <w:tblPr>
        <w:tblLayout w:type="fixed"/>
        <w:tblInd w:w="4" w:type="dxa"/>
        <w:tblCellMar>
          <w:top w:w="0" w:type="dxa"/>
          <w:left w:w="0" w:type="dxa"/>
          <w:bottom w:w="0" w:type="dxa"/>
          <w:right w:w="0" w:type="dxa"/>
        </w:tblCellMar>
      </w:tblPr>
      <w:tr>
        <w:trPr>
          <w:trHeight w:val="203"/>
        </w:trPr>
        <w:tc>
          <w:tcPr>
            <w:tcW w:w="54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for cash or sale of treasury shares for cash</w:t>
            </w:r>
          </w:p>
        </w:tc>
        <w:tc>
          <w:tcPr>
            <w:tcW w:w="12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214,933,920</w:t>
            </w:r>
          </w:p>
        </w:tc>
        <w:tc>
          <w:tcPr>
            <w:tcW w:w="8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98.49%</w:t>
            </w:r>
          </w:p>
        </w:tc>
        <w:tc>
          <w:tcPr>
            <w:tcW w:w="9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3,304,344</w:t>
            </w:r>
          </w:p>
        </w:tc>
        <w:tc>
          <w:tcPr>
            <w:tcW w:w="7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1.51%</w:t>
            </w:r>
          </w:p>
        </w:tc>
        <w:tc>
          <w:tcPr>
            <w:tcW w:w="6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2,736</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w w:val="97"/>
              </w:rPr>
              <w:t>218,238,264</w:t>
            </w: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w w:val="85"/>
              </w:rPr>
              <w:t>016.</w:t>
            </w:r>
          </w:p>
        </w:tc>
        <w:tc>
          <w:tcPr>
            <w:tcW w:w="5100" w:type="dxa"/>
            <w:vAlign w:val="bottom"/>
          </w:tcPr>
          <w:p>
            <w:pPr>
              <w:ind w:left="20"/>
              <w:spacing w:after="0"/>
              <w:rPr>
                <w:sz w:val="20"/>
                <w:szCs w:val="20"/>
                <w:color w:val="auto"/>
              </w:rPr>
            </w:pPr>
            <w:r>
              <w:rPr>
                <w:rFonts w:ascii="Arial" w:cs="Arial" w:eastAsia="Arial" w:hAnsi="Arial"/>
                <w:sz w:val="18"/>
                <w:szCs w:val="18"/>
                <w:color w:val="auto"/>
              </w:rPr>
              <w:t>To authorize market purchase of own shares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217,711,818</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99.76%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528,167</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0.24%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218,239,985</w:t>
            </w:r>
          </w:p>
        </w:tc>
      </w:tr>
      <w:tr>
        <w:trPr>
          <w:trHeight w:val="202"/>
        </w:trPr>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017.</w:t>
            </w:r>
          </w:p>
        </w:tc>
        <w:tc>
          <w:tcPr>
            <w:tcW w:w="5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To authorize general meetings to be called on not less than 14 clear</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days’ notice</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217,917,408</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322,238</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0.15%</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218,239,646</w:t>
            </w:r>
          </w:p>
        </w:tc>
      </w:tr>
    </w:tbl>
    <w:p>
      <w:pPr>
        <w:sectPr>
          <w:pgSz w:w="11900" w:h="16838" w:orient="portrait"/>
          <w:cols w:equalWidth="0" w:num="1">
            <w:col w:w="11024"/>
          </w:cols>
          <w:pgMar w:left="436"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Notes:</w:t>
      </w:r>
    </w:p>
    <w:p>
      <w:pPr>
        <w:spacing w:after="0" w:line="131"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vote “Withheld” is not a vote in law and is not counted in the calculation of the votes “For” or “Against” a resolution.</w:t>
      </w:r>
    </w:p>
    <w:p>
      <w:pPr>
        <w:spacing w:after="0" w:line="130" w:lineRule="exact"/>
        <w:rPr>
          <w:rFonts w:ascii="Arial" w:cs="Arial" w:eastAsia="Arial" w:hAnsi="Arial"/>
          <w:sz w:val="18"/>
          <w:szCs w:val="18"/>
          <w:color w:val="auto"/>
        </w:rPr>
      </w:pPr>
    </w:p>
    <w:p>
      <w:pPr>
        <w:ind w:left="980" w:right="140" w:hanging="54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at June 9, 2023, the record date for the Annual General Meeting, the number of issued shares in the Company entitling the holders to attend and vote for or against all the resolutions at the AGM was 277,430,684 ordinary shares. This does not include 12,037,475 shares held in treasury by the Company. In accordance with the Company’s Articles of Association, on a poll every member present in person or by proxy has one vote for every share held.</w:t>
      </w:r>
    </w:p>
    <w:p>
      <w:pPr>
        <w:spacing w:after="0" w:line="92" w:lineRule="exact"/>
        <w:rPr>
          <w:rFonts w:ascii="Arial" w:cs="Arial" w:eastAsia="Arial" w:hAnsi="Arial"/>
          <w:sz w:val="18"/>
          <w:szCs w:val="18"/>
          <w:color w:val="auto"/>
        </w:rPr>
      </w:pPr>
    </w:p>
    <w:p>
      <w:pPr>
        <w:ind w:left="980" w:right="500" w:hanging="54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full text of the resolutions may be found in the Notice of the Annual General Meeting, copies of which are available on both the Company’s website </w:t>
      </w:r>
      <w:r>
        <w:rPr>
          <w:rFonts w:ascii="Arial" w:cs="Arial" w:eastAsia="Arial" w:hAnsi="Arial"/>
          <w:sz w:val="16"/>
          <w:szCs w:val="16"/>
          <w:u w:val="single" w:color="auto"/>
          <w:color w:val="auto"/>
        </w:rPr>
        <w:t>https://investors.puretechhealth.com/financials-filings/reports</w:t>
      </w:r>
      <w:r>
        <w:rPr>
          <w:rFonts w:ascii="Arial" w:cs="Arial" w:eastAsia="Arial" w:hAnsi="Arial"/>
          <w:sz w:val="16"/>
          <w:szCs w:val="16"/>
          <w:color w:val="auto"/>
        </w:rPr>
        <w:t xml:space="preserve"> and on the National Storage Mechanism.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27 therapeutics and therapeutic candidates, including two (Plenity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EndeavorRx</w:t>
      </w:r>
      <w:r>
        <w:rPr>
          <w:rFonts w:ascii="Arial" w:cs="Arial" w:eastAsia="Arial" w:hAnsi="Arial"/>
          <w:sz w:val="25"/>
          <w:szCs w:val="25"/>
          <w:color w:val="auto"/>
          <w:vertAlign w:val="superscript"/>
        </w:rPr>
        <w:t>®</w:t>
      </w:r>
      <w:r>
        <w:rPr>
          <w:rFonts w:ascii="Arial" w:cs="Arial" w:eastAsia="Arial" w:hAnsi="Arial"/>
          <w:sz w:val="17"/>
          <w:szCs w:val="17"/>
          <w:color w:val="auto"/>
        </w:rPr>
        <w:t>) that have received both US FDA clearance and European marketing authorization and a third (KarXT) that is expected to be filed soon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ectPr>
          <w:pgSz w:w="11900" w:h="16838" w:orient="portrait"/>
          <w:cols w:equalWidth="0" w:num="1">
            <w:col w:w="11000"/>
          </w:cols>
          <w:pgMar w:left="440" w:top="49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PureTech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IR@puretechhealth.com</w:t>
      </w:r>
    </w:p>
    <w:sectPr>
      <w:pgSz w:w="11900" w:h="16838" w:orient="portrait"/>
      <w:cols w:equalWidth="0" w:num="1">
        <w:col w:w="10980"/>
      </w:cols>
      <w:pgMar w:left="440" w:top="48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2023-06-14T15:35:21Z</dcterms:created>
  <dcterms:modified xsi:type="dcterms:W3CDTF">2023-06-14T15:35:21Z</dcterms:modified>
</cp:coreProperties>
</file>