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May 9, 2022, PureTech Health plc (LSE: PRTC, Nasdaq: PRTC) (the “Company”) announced the commencement of a $50 million share repurchase program (the “Program”) of its ordinary shares of one pence each (“Ordinary Shares”). The Company executed the Program in two equal tranches, the first of which was completed on October 26, 2022, and the second which was completed on February 7, 2024.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have continued during any close period to which the Company is subject. Any purchase of Ordinary Shares under the second tranche of the Program were carried out on the London Stock Exchange and any other UK recognized investment exchange which was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are held in treasury. Between May 9, 2022 and February 7, 2024, the Company repurchased an aggregate of 20,182,863 ordinary shares under the Share Buyback Programme, which represents approximately 7% of the Company’s issued share capital at the time the programme commenced. The Company intends to update its capital return strategy in light of the expected closing of the pending merger between its Founded Entity, Karuna Therapeutics, Inc. (Nasdaq: KRTX), and Bristol Meyers Squibb (NYSE: BMY).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month ended February 29, 2024, the Company had the following daily purchases of its own Ordinary Shares under the Program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w:t>
      </w:r>
    </w:p>
    <w:p>
      <w:pPr>
        <w:spacing w:after="0" w:line="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Volume Weighted</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6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17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Highest Price Paid</w:t>
            </w: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Lowest Price Paid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62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84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per Ordinary Share</w:t>
            </w:r>
          </w:p>
        </w:tc>
        <w:tc>
          <w:tcPr>
            <w:tcW w:w="1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1, 2024</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87,581</w:t>
            </w:r>
          </w:p>
        </w:tc>
        <w:tc>
          <w:tcPr>
            <w:tcW w:w="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197.26p</w:t>
            </w:r>
          </w:p>
        </w:tc>
        <w:tc>
          <w:tcPr>
            <w:tcW w:w="6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198.00p</w:t>
            </w:r>
          </w:p>
        </w:tc>
        <w:tc>
          <w:tcPr>
            <w:tcW w:w="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194.40p</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 2024</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61,102</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191.32p</w:t>
            </w: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194.40p</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189.40p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5, 2024</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67,637</w:t>
            </w:r>
          </w:p>
        </w:tc>
        <w:tc>
          <w:tcPr>
            <w:tcW w:w="1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190.35p</w:t>
            </w:r>
          </w:p>
        </w:tc>
        <w:tc>
          <w:tcPr>
            <w:tcW w:w="17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194.40p</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6, 2024</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77,754</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192.62p</w:t>
            </w: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195.00p</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7, 2024</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23,059</w:t>
            </w:r>
          </w:p>
        </w:tc>
        <w:tc>
          <w:tcPr>
            <w:tcW w:w="1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190.25p</w:t>
            </w:r>
          </w:p>
        </w:tc>
        <w:tc>
          <w:tcPr>
            <w:tcW w:w="17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195.20p</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188.00p</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During the month ended February 29, 2024, the Company repurchased an aggregate of 317,133 Ordinary Shares. As of February 29, 2024, the Company’s issued share capital was 289,468,159 shares, 19,518,418 of which were held in treasury, resulting in total voting rights in the Company of 269,949,741 shares. To view the details of the individual transactions, please paste the following URL(s) into the address bar of your browser with respect to each individual date of repurchase under the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1, 2024: </w:t>
      </w:r>
      <w:r>
        <w:rPr>
          <w:rFonts w:ascii="Times New Roman" w:cs="Times New Roman" w:eastAsia="Times New Roman" w:hAnsi="Times New Roman"/>
          <w:sz w:val="18"/>
          <w:szCs w:val="18"/>
          <w:u w:val="single" w:color="auto"/>
          <w:color w:val="auto"/>
        </w:rPr>
        <w:t>https://data.fca.org.uk/artefacts/NSM/RNS/5053857.html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2, 2024: </w:t>
      </w:r>
      <w:r>
        <w:rPr>
          <w:rFonts w:ascii="Times New Roman" w:cs="Times New Roman" w:eastAsia="Times New Roman" w:hAnsi="Times New Roman"/>
          <w:sz w:val="18"/>
          <w:szCs w:val="18"/>
          <w:u w:val="single" w:color="auto"/>
          <w:color w:val="auto"/>
        </w:rPr>
        <w:t>https://data.fca.org.uk/artefacts/NSM/RNS/5055380.html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5, 2024: </w:t>
      </w:r>
      <w:r>
        <w:rPr>
          <w:rFonts w:ascii="Times New Roman" w:cs="Times New Roman" w:eastAsia="Times New Roman" w:hAnsi="Times New Roman"/>
          <w:sz w:val="18"/>
          <w:szCs w:val="18"/>
          <w:u w:val="single" w:color="auto"/>
          <w:color w:val="auto"/>
        </w:rPr>
        <w:t>https://data.fca.org.uk/artefacts/NSM/RNS/5057001.html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6, 2024: </w:t>
      </w:r>
      <w:r>
        <w:rPr>
          <w:rFonts w:ascii="Times New Roman" w:cs="Times New Roman" w:eastAsia="Times New Roman" w:hAnsi="Times New Roman"/>
          <w:sz w:val="18"/>
          <w:szCs w:val="18"/>
          <w:u w:val="single" w:color="auto"/>
          <w:color w:val="auto"/>
        </w:rPr>
        <w:t>https://data.fca.org.uk/artefacts/NSM/RNS/5058561.html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February 7, 2024: </w:t>
      </w:r>
      <w:r>
        <w:rPr>
          <w:rFonts w:ascii="Times New Roman" w:cs="Times New Roman" w:eastAsia="Times New Roman" w:hAnsi="Times New Roman"/>
          <w:sz w:val="18"/>
          <w:szCs w:val="18"/>
          <w:u w:val="single" w:color="auto"/>
          <w:color w:val="auto"/>
        </w:rPr>
        <w:t>https://data.fca.org.uk/artefacts/NSM/RNS/5060068.html</w:t>
      </w:r>
    </w:p>
    <w:p>
      <w:pPr>
        <w:sectPr>
          <w:pgSz w:w="11900" w:h="16838" w:orient="portrait"/>
          <w:cols w:equalWidth="0" w:num="1">
            <w:col w:w="11000"/>
          </w:cols>
          <w:pgMar w:left="440" w:top="266"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4940" w:val="left"/>
          <w:tab w:leader="none" w:pos="5420" w:val="left"/>
        </w:tabs>
        <w:rPr>
          <w:sz w:val="20"/>
          <w:szCs w:val="20"/>
          <w:color w:val="auto"/>
        </w:rPr>
      </w:pPr>
      <w:r>
        <w:rPr>
          <w:rFonts w:ascii="Times New Roman" w:cs="Times New Roman" w:eastAsia="Times New Roman" w:hAnsi="Times New Roman"/>
          <w:sz w:val="18"/>
          <w:szCs w:val="18"/>
          <w:color w:val="auto"/>
        </w:rPr>
        <w:t>Date: March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540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2024-03-04T15:53:02Z</dcterms:created>
  <dcterms:modified xsi:type="dcterms:W3CDTF">2024-03-04T15:53:02Z</dcterms:modified>
</cp:coreProperties>
</file>