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563180d6k.htm"/>
      <w:bookmarkStart w:id="1" w:name="ksd563180d6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October, 2023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001-39670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PURETECH HEALTH PLC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6 Tide Street, Suite 400 </w:t>
      </w:r>
    </w:p>
    <w:p>
      <w:pPr>
        <w:pStyle w:val="TextBody"/>
        <w:bidi w:val="0"/>
        <w:spacing w:before="0" w:after="0"/>
        <w:jc w:val="center"/>
        <w:rPr>
          <w:rFonts w:ascii="Times New Roman" w:hAnsi="Times New Roman"/>
          <w:b/>
          <w:sz w:val="20"/>
        </w:rPr>
      </w:pPr>
      <w:r>
        <w:rPr>
          <w:rFonts w:ascii="Times New Roman" w:hAnsi="Times New Roman"/>
          <w:b/>
          <w:sz w:val="20"/>
        </w:rPr>
        <w:t xml:space="preserve">Boston, Massachusetts 02210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101(b)(1): ☐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101(b)(7): ☐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CONTAINED IN THIS REPORT ON FORM 6-K </w:t>
      </w:r>
    </w:p>
    <w:p>
      <w:pPr>
        <w:pStyle w:val="TextBody"/>
        <w:bidi w:val="0"/>
        <w:spacing w:before="240" w:after="0"/>
        <w:jc w:val="left"/>
        <w:rPr>
          <w:rFonts w:ascii="Times New Roman" w:hAnsi="Times New Roman"/>
          <w:sz w:val="20"/>
        </w:rPr>
      </w:pPr>
      <w:r>
        <w:rPr>
          <w:rFonts w:ascii="Times New Roman" w:hAnsi="Times New Roman"/>
          <w:sz w:val="20"/>
        </w:rPr>
        <w:t xml:space="preserve">On May 9, 2022, PureTech Health plc (LSE: PRTC, Nasdaq: PRTC) (the Company) announced the commencement of a $50 million share repurchase program (the Program) of its ordinary shares of one pence each (Ordinary Shares). The Company plans to execute the Program in two equal tranches, the first of which was completed on October 26, 2022. In respect of each of the two tranches, PureTech entered into an irrevocable non-discretionary instruction with Jefferies International Limited (Jefferies) in relation to the purchase by Jefferies of Ordinary Shares for an aggregate consideration (excluding expenses) of no greater than $25 million and the simultaneous on-sale of such Ordinary Shares by Jefferies to PureTech. Jefferies makes its trading decisions in relation to the Ordinary Shares independently of, and uninfluenced by, the Company. Purchases may continue during any close period to which the Company is subject. Any purchase of Ordinary Shares under the second tranche of the Program are carried out on the London Stock Exchange and any other UK recognized investment exchange which may be agreed, in accordance with pre-set parameters and in accordance with, and subject to limits, including those limits related to daily volume and price, prescribed by the Companys general authority to repurchase Ordinary Shares granted by its shareholders at its most recent annual general meeting on June 13, 2023, Chapter 12 of the Financial Conduct Authoritys UK Listing Rules, Article 5(1) of Regulation (EU) No. 596/2014 (as incorporated into UK domestic law by the European Union (Withdrawal) Act 2018) and Commission Delegated Regulation (EU) 2016/1052 (as incorporated into UK domestic law by the European Union (Withdrawal) Act 2018). All Ordinary Shares repurchased under the Program will be held in treasury. </w:t>
      </w:r>
    </w:p>
    <w:p>
      <w:pPr>
        <w:pStyle w:val="TextBody"/>
        <w:bidi w:val="0"/>
        <w:spacing w:before="240" w:after="0"/>
        <w:jc w:val="left"/>
        <w:rPr>
          <w:rFonts w:ascii="Times New Roman" w:hAnsi="Times New Roman"/>
          <w:sz w:val="20"/>
        </w:rPr>
      </w:pPr>
      <w:r>
        <w:rPr>
          <w:rFonts w:ascii="Times New Roman" w:hAnsi="Times New Roman"/>
          <w:sz w:val="20"/>
        </w:rPr>
        <w:t xml:space="preserve">During the month ended October 31, 2023, the Company had the following daily purchases of its own Ordinary Shares under the Program through Jefferies: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059"/>
        <w:gridCol w:w="137"/>
        <w:gridCol w:w="140"/>
        <w:gridCol w:w="1590"/>
        <w:gridCol w:w="60"/>
        <w:gridCol w:w="137"/>
        <w:gridCol w:w="142"/>
        <w:gridCol w:w="1903"/>
        <w:gridCol w:w="60"/>
        <w:gridCol w:w="137"/>
        <w:gridCol w:w="132"/>
        <w:gridCol w:w="1764"/>
        <w:gridCol w:w="59"/>
        <w:gridCol w:w="137"/>
        <w:gridCol w:w="130"/>
        <w:gridCol w:w="1736"/>
        <w:gridCol w:w="65"/>
      </w:tblGrid>
      <w:tr>
        <w:trPr/>
        <w:tc>
          <w:tcPr>
            <w:tcW w:w="1059"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05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137" w:type="dxa"/>
            <w:tcBorders/>
            <w:vAlign w:val="bottom"/>
          </w:tcPr>
          <w:p>
            <w:pPr>
              <w:pStyle w:val="TableContents"/>
              <w:bidi w:val="0"/>
              <w:spacing w:before="0" w:after="283"/>
              <w:jc w:val="left"/>
              <w:rPr/>
            </w:pPr>
            <w:r>
              <w:rPr/>
              <w:t>  </w:t>
            </w:r>
          </w:p>
        </w:tc>
        <w:tc>
          <w:tcPr>
            <w:tcW w:w="17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Ordinary Shares</w:t>
              <w:br/>
              <w:t>Repurchased</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0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Volume Weighted</w:t>
              <w:br/>
              <w:t>Average Price Paid</w:t>
              <w:br/>
              <w:t>per Ordinary Share</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8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Highest Price Paid</w:t>
            </w:r>
          </w:p>
        </w:tc>
        <w:tc>
          <w:tcPr>
            <w:tcW w:w="5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8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Lowest Price Paid</w:t>
            </w:r>
          </w:p>
        </w:tc>
        <w:tc>
          <w:tcPr>
            <w:tcW w:w="65" w:type="dxa"/>
            <w:tcBorders/>
            <w:vAlign w:val="bottom"/>
          </w:tcPr>
          <w:p>
            <w:pPr>
              <w:pStyle w:val="TableContents"/>
              <w:bidi w:val="0"/>
              <w:spacing w:before="0" w:after="283"/>
              <w:jc w:val="left"/>
              <w:rPr/>
            </w:pPr>
            <w:r>
              <w:rPr/>
              <w:t> </w:t>
            </w:r>
          </w:p>
        </w:tc>
      </w:tr>
      <w:tr>
        <w:trPr/>
        <w:tc>
          <w:tcPr>
            <w:tcW w:w="10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2, 2023</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90" w:type="dxa"/>
            <w:tcBorders/>
            <w:shd w:fill="CCEEFF" w:val="clear"/>
            <w:vAlign w:val="bottom"/>
          </w:tcPr>
          <w:p>
            <w:pPr>
              <w:pStyle w:val="TableContents"/>
              <w:bidi w:val="0"/>
              <w:spacing w:before="0" w:after="283"/>
              <w:jc w:val="right"/>
              <w:rPr/>
            </w:pPr>
            <w:r>
              <w:rPr/>
              <w:t>54,876</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3" w:type="dxa"/>
            <w:tcBorders/>
            <w:shd w:fill="CCEEFF" w:val="clear"/>
            <w:vAlign w:val="bottom"/>
          </w:tcPr>
          <w:p>
            <w:pPr>
              <w:pStyle w:val="TableContents"/>
              <w:bidi w:val="0"/>
              <w:spacing w:before="0" w:after="283"/>
              <w:jc w:val="right"/>
              <w:rPr/>
            </w:pPr>
            <w:r>
              <w:rPr/>
              <w:t>178.63p</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764" w:type="dxa"/>
            <w:tcBorders/>
            <w:shd w:fill="CCEEFF" w:val="clear"/>
            <w:vAlign w:val="bottom"/>
          </w:tcPr>
          <w:p>
            <w:pPr>
              <w:pStyle w:val="TableContents"/>
              <w:bidi w:val="0"/>
              <w:spacing w:before="0" w:after="283"/>
              <w:jc w:val="right"/>
              <w:rPr/>
            </w:pPr>
            <w:r>
              <w:rPr/>
              <w:t>182.60p</w:t>
            </w:r>
          </w:p>
        </w:tc>
        <w:tc>
          <w:tcPr>
            <w:tcW w:w="5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736" w:type="dxa"/>
            <w:tcBorders/>
            <w:shd w:fill="CCEEFF" w:val="clear"/>
            <w:vAlign w:val="bottom"/>
          </w:tcPr>
          <w:p>
            <w:pPr>
              <w:pStyle w:val="TableContents"/>
              <w:bidi w:val="0"/>
              <w:spacing w:before="0" w:after="283"/>
              <w:jc w:val="right"/>
              <w:rPr/>
            </w:pPr>
            <w:r>
              <w:rPr/>
              <w:t>175.60p</w:t>
            </w:r>
          </w:p>
        </w:tc>
        <w:tc>
          <w:tcPr>
            <w:tcW w:w="65" w:type="dxa"/>
            <w:tcBorders/>
            <w:shd w:fill="CCEEFF" w:val="clear"/>
            <w:vAlign w:val="bottom"/>
          </w:tcPr>
          <w:p>
            <w:pPr>
              <w:pStyle w:val="TableContents"/>
              <w:bidi w:val="0"/>
              <w:spacing w:before="0" w:after="283"/>
              <w:jc w:val="left"/>
              <w:rPr/>
            </w:pPr>
            <w:r>
              <w:rPr/>
              <w:t> </w:t>
            </w:r>
          </w:p>
        </w:tc>
      </w:tr>
      <w:tr>
        <w:trPr/>
        <w:tc>
          <w:tcPr>
            <w:tcW w:w="1059" w:type="dxa"/>
            <w:tcBorders/>
          </w:tcPr>
          <w:p>
            <w:pPr>
              <w:pStyle w:val="TableContents"/>
              <w:bidi w:val="0"/>
              <w:spacing w:before="0" w:after="0"/>
              <w:jc w:val="left"/>
              <w:rPr>
                <w:rFonts w:ascii="Times New Roman" w:hAnsi="Times New Roman"/>
                <w:sz w:val="20"/>
              </w:rPr>
            </w:pPr>
            <w:r>
              <w:rPr>
                <w:rFonts w:ascii="Times New Roman" w:hAnsi="Times New Roman"/>
                <w:sz w:val="20"/>
              </w:rPr>
              <w:t>October 3, 2023</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90" w:type="dxa"/>
            <w:tcBorders/>
            <w:vAlign w:val="bottom"/>
          </w:tcPr>
          <w:p>
            <w:pPr>
              <w:pStyle w:val="TableContents"/>
              <w:bidi w:val="0"/>
              <w:spacing w:before="0" w:after="283"/>
              <w:jc w:val="right"/>
              <w:rPr/>
            </w:pPr>
            <w:r>
              <w:rPr/>
              <w:t>57,326</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3" w:type="dxa"/>
            <w:tcBorders/>
            <w:vAlign w:val="bottom"/>
          </w:tcPr>
          <w:p>
            <w:pPr>
              <w:pStyle w:val="TableContents"/>
              <w:bidi w:val="0"/>
              <w:spacing w:before="0" w:after="283"/>
              <w:jc w:val="right"/>
              <w:rPr/>
            </w:pPr>
            <w:r>
              <w:rPr/>
              <w:t>172.31p</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64" w:type="dxa"/>
            <w:tcBorders/>
            <w:vAlign w:val="bottom"/>
          </w:tcPr>
          <w:p>
            <w:pPr>
              <w:pStyle w:val="TableContents"/>
              <w:bidi w:val="0"/>
              <w:spacing w:before="0" w:after="283"/>
              <w:jc w:val="right"/>
              <w:rPr/>
            </w:pPr>
            <w:r>
              <w:rPr/>
              <w:t>184.40p</w:t>
            </w:r>
          </w:p>
        </w:tc>
        <w:tc>
          <w:tcPr>
            <w:tcW w:w="5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36" w:type="dxa"/>
            <w:tcBorders/>
            <w:vAlign w:val="bottom"/>
          </w:tcPr>
          <w:p>
            <w:pPr>
              <w:pStyle w:val="TableContents"/>
              <w:bidi w:val="0"/>
              <w:spacing w:before="0" w:after="283"/>
              <w:jc w:val="right"/>
              <w:rPr/>
            </w:pPr>
            <w:r>
              <w:rPr/>
              <w:t>167.40p</w:t>
            </w:r>
          </w:p>
        </w:tc>
        <w:tc>
          <w:tcPr>
            <w:tcW w:w="65" w:type="dxa"/>
            <w:tcBorders/>
            <w:vAlign w:val="bottom"/>
          </w:tcPr>
          <w:p>
            <w:pPr>
              <w:pStyle w:val="TableContents"/>
              <w:bidi w:val="0"/>
              <w:spacing w:before="0" w:after="283"/>
              <w:jc w:val="left"/>
              <w:rPr/>
            </w:pPr>
            <w:r>
              <w:rPr/>
              <w:t> </w:t>
            </w:r>
          </w:p>
        </w:tc>
      </w:tr>
      <w:tr>
        <w:trPr/>
        <w:tc>
          <w:tcPr>
            <w:tcW w:w="10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4, 2023</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90" w:type="dxa"/>
            <w:tcBorders/>
            <w:shd w:fill="CCEEFF" w:val="clear"/>
            <w:vAlign w:val="bottom"/>
          </w:tcPr>
          <w:p>
            <w:pPr>
              <w:pStyle w:val="TableContents"/>
              <w:bidi w:val="0"/>
              <w:spacing w:before="0" w:after="283"/>
              <w:jc w:val="right"/>
              <w:rPr/>
            </w:pPr>
            <w:r>
              <w:rPr/>
              <w:t>57,432</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3" w:type="dxa"/>
            <w:tcBorders/>
            <w:shd w:fill="CCEEFF" w:val="clear"/>
            <w:vAlign w:val="bottom"/>
          </w:tcPr>
          <w:p>
            <w:pPr>
              <w:pStyle w:val="TableContents"/>
              <w:bidi w:val="0"/>
              <w:spacing w:before="0" w:after="283"/>
              <w:jc w:val="right"/>
              <w:rPr/>
            </w:pPr>
            <w:r>
              <w:rPr/>
              <w:t>173.38p</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764" w:type="dxa"/>
            <w:tcBorders/>
            <w:shd w:fill="CCEEFF" w:val="clear"/>
            <w:vAlign w:val="bottom"/>
          </w:tcPr>
          <w:p>
            <w:pPr>
              <w:pStyle w:val="TableContents"/>
              <w:bidi w:val="0"/>
              <w:spacing w:before="0" w:after="283"/>
              <w:jc w:val="right"/>
              <w:rPr/>
            </w:pPr>
            <w:r>
              <w:rPr/>
              <w:t>178.60p</w:t>
            </w:r>
          </w:p>
        </w:tc>
        <w:tc>
          <w:tcPr>
            <w:tcW w:w="5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736" w:type="dxa"/>
            <w:tcBorders/>
            <w:shd w:fill="CCEEFF" w:val="clear"/>
            <w:vAlign w:val="bottom"/>
          </w:tcPr>
          <w:p>
            <w:pPr>
              <w:pStyle w:val="TableContents"/>
              <w:bidi w:val="0"/>
              <w:spacing w:before="0" w:after="283"/>
              <w:jc w:val="right"/>
              <w:rPr/>
            </w:pPr>
            <w:r>
              <w:rPr/>
              <w:t>166.40p</w:t>
            </w:r>
          </w:p>
        </w:tc>
        <w:tc>
          <w:tcPr>
            <w:tcW w:w="65" w:type="dxa"/>
            <w:tcBorders/>
            <w:shd w:fill="CCEEFF" w:val="clear"/>
            <w:vAlign w:val="bottom"/>
          </w:tcPr>
          <w:p>
            <w:pPr>
              <w:pStyle w:val="TableContents"/>
              <w:bidi w:val="0"/>
              <w:spacing w:before="0" w:after="283"/>
              <w:jc w:val="left"/>
              <w:rPr/>
            </w:pPr>
            <w:r>
              <w:rPr/>
              <w:t> </w:t>
            </w:r>
          </w:p>
        </w:tc>
      </w:tr>
      <w:tr>
        <w:trPr/>
        <w:tc>
          <w:tcPr>
            <w:tcW w:w="1059" w:type="dxa"/>
            <w:tcBorders/>
          </w:tcPr>
          <w:p>
            <w:pPr>
              <w:pStyle w:val="TableContents"/>
              <w:bidi w:val="0"/>
              <w:spacing w:before="0" w:after="0"/>
              <w:jc w:val="left"/>
              <w:rPr>
                <w:rFonts w:ascii="Times New Roman" w:hAnsi="Times New Roman"/>
                <w:sz w:val="20"/>
              </w:rPr>
            </w:pPr>
            <w:r>
              <w:rPr>
                <w:rFonts w:ascii="Times New Roman" w:hAnsi="Times New Roman"/>
                <w:sz w:val="20"/>
              </w:rPr>
              <w:t>October 5, 2023</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90" w:type="dxa"/>
            <w:tcBorders/>
            <w:vAlign w:val="bottom"/>
          </w:tcPr>
          <w:p>
            <w:pPr>
              <w:pStyle w:val="TableContents"/>
              <w:bidi w:val="0"/>
              <w:spacing w:before="0" w:after="283"/>
              <w:jc w:val="right"/>
              <w:rPr/>
            </w:pPr>
            <w:r>
              <w:rPr/>
              <w:t>59,395</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3" w:type="dxa"/>
            <w:tcBorders/>
            <w:vAlign w:val="bottom"/>
          </w:tcPr>
          <w:p>
            <w:pPr>
              <w:pStyle w:val="TableContents"/>
              <w:bidi w:val="0"/>
              <w:spacing w:before="0" w:after="283"/>
              <w:jc w:val="right"/>
              <w:rPr/>
            </w:pPr>
            <w:r>
              <w:rPr/>
              <w:t>178.55p</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64" w:type="dxa"/>
            <w:tcBorders/>
            <w:vAlign w:val="bottom"/>
          </w:tcPr>
          <w:p>
            <w:pPr>
              <w:pStyle w:val="TableContents"/>
              <w:bidi w:val="0"/>
              <w:spacing w:before="0" w:after="283"/>
              <w:jc w:val="right"/>
              <w:rPr/>
            </w:pPr>
            <w:r>
              <w:rPr/>
              <w:t>183.00p</w:t>
            </w:r>
          </w:p>
        </w:tc>
        <w:tc>
          <w:tcPr>
            <w:tcW w:w="5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36" w:type="dxa"/>
            <w:tcBorders/>
            <w:vAlign w:val="bottom"/>
          </w:tcPr>
          <w:p>
            <w:pPr>
              <w:pStyle w:val="TableContents"/>
              <w:bidi w:val="0"/>
              <w:spacing w:before="0" w:after="283"/>
              <w:jc w:val="right"/>
              <w:rPr/>
            </w:pPr>
            <w:r>
              <w:rPr/>
              <w:t>177.00p</w:t>
            </w:r>
          </w:p>
        </w:tc>
        <w:tc>
          <w:tcPr>
            <w:tcW w:w="65" w:type="dxa"/>
            <w:tcBorders/>
            <w:vAlign w:val="bottom"/>
          </w:tcPr>
          <w:p>
            <w:pPr>
              <w:pStyle w:val="TableContents"/>
              <w:bidi w:val="0"/>
              <w:spacing w:before="0" w:after="283"/>
              <w:jc w:val="left"/>
              <w:rPr/>
            </w:pPr>
            <w:r>
              <w:rPr/>
              <w:t> </w:t>
            </w:r>
          </w:p>
        </w:tc>
      </w:tr>
      <w:tr>
        <w:trPr/>
        <w:tc>
          <w:tcPr>
            <w:tcW w:w="10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6, 2023</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90" w:type="dxa"/>
            <w:tcBorders/>
            <w:shd w:fill="CCEEFF" w:val="clear"/>
            <w:vAlign w:val="bottom"/>
          </w:tcPr>
          <w:p>
            <w:pPr>
              <w:pStyle w:val="TableContents"/>
              <w:bidi w:val="0"/>
              <w:spacing w:before="0" w:after="283"/>
              <w:jc w:val="right"/>
              <w:rPr/>
            </w:pPr>
            <w:r>
              <w:rPr/>
              <w:t>59,595</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3" w:type="dxa"/>
            <w:tcBorders/>
            <w:shd w:fill="CCEEFF" w:val="clear"/>
            <w:vAlign w:val="bottom"/>
          </w:tcPr>
          <w:p>
            <w:pPr>
              <w:pStyle w:val="TableContents"/>
              <w:bidi w:val="0"/>
              <w:spacing w:before="0" w:after="283"/>
              <w:jc w:val="right"/>
              <w:rPr/>
            </w:pPr>
            <w:r>
              <w:rPr/>
              <w:t>182.46p</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764" w:type="dxa"/>
            <w:tcBorders/>
            <w:shd w:fill="CCEEFF" w:val="clear"/>
            <w:vAlign w:val="bottom"/>
          </w:tcPr>
          <w:p>
            <w:pPr>
              <w:pStyle w:val="TableContents"/>
              <w:bidi w:val="0"/>
              <w:spacing w:before="0" w:after="283"/>
              <w:jc w:val="right"/>
              <w:rPr/>
            </w:pPr>
            <w:r>
              <w:rPr/>
              <w:t>184.40p</w:t>
            </w:r>
          </w:p>
        </w:tc>
        <w:tc>
          <w:tcPr>
            <w:tcW w:w="5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736" w:type="dxa"/>
            <w:tcBorders/>
            <w:shd w:fill="CCEEFF" w:val="clear"/>
            <w:vAlign w:val="bottom"/>
          </w:tcPr>
          <w:p>
            <w:pPr>
              <w:pStyle w:val="TableContents"/>
              <w:bidi w:val="0"/>
              <w:spacing w:before="0" w:after="283"/>
              <w:jc w:val="right"/>
              <w:rPr/>
            </w:pPr>
            <w:r>
              <w:rPr/>
              <w:t>179.80p</w:t>
            </w:r>
          </w:p>
        </w:tc>
        <w:tc>
          <w:tcPr>
            <w:tcW w:w="65" w:type="dxa"/>
            <w:tcBorders/>
            <w:shd w:fill="CCEEFF" w:val="clear"/>
            <w:vAlign w:val="bottom"/>
          </w:tcPr>
          <w:p>
            <w:pPr>
              <w:pStyle w:val="TableContents"/>
              <w:bidi w:val="0"/>
              <w:spacing w:before="0" w:after="283"/>
              <w:jc w:val="left"/>
              <w:rPr/>
            </w:pPr>
            <w:r>
              <w:rPr/>
              <w:t> </w:t>
            </w:r>
          </w:p>
        </w:tc>
      </w:tr>
      <w:tr>
        <w:trPr/>
        <w:tc>
          <w:tcPr>
            <w:tcW w:w="1059" w:type="dxa"/>
            <w:tcBorders/>
          </w:tcPr>
          <w:p>
            <w:pPr>
              <w:pStyle w:val="TableContents"/>
              <w:bidi w:val="0"/>
              <w:spacing w:before="0" w:after="0"/>
              <w:jc w:val="left"/>
              <w:rPr>
                <w:rFonts w:ascii="Times New Roman" w:hAnsi="Times New Roman"/>
                <w:sz w:val="20"/>
              </w:rPr>
            </w:pPr>
            <w:r>
              <w:rPr>
                <w:rFonts w:ascii="Times New Roman" w:hAnsi="Times New Roman"/>
                <w:sz w:val="20"/>
              </w:rPr>
              <w:t>October 9, 2023</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90" w:type="dxa"/>
            <w:tcBorders/>
            <w:vAlign w:val="bottom"/>
          </w:tcPr>
          <w:p>
            <w:pPr>
              <w:pStyle w:val="TableContents"/>
              <w:bidi w:val="0"/>
              <w:spacing w:before="0" w:after="283"/>
              <w:jc w:val="right"/>
              <w:rPr/>
            </w:pPr>
            <w:r>
              <w:rPr/>
              <w:t>60,246</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3" w:type="dxa"/>
            <w:tcBorders/>
            <w:vAlign w:val="bottom"/>
          </w:tcPr>
          <w:p>
            <w:pPr>
              <w:pStyle w:val="TableContents"/>
              <w:bidi w:val="0"/>
              <w:spacing w:before="0" w:after="283"/>
              <w:jc w:val="right"/>
              <w:rPr/>
            </w:pPr>
            <w:r>
              <w:rPr/>
              <w:t>183.68p</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64" w:type="dxa"/>
            <w:tcBorders/>
            <w:vAlign w:val="bottom"/>
          </w:tcPr>
          <w:p>
            <w:pPr>
              <w:pStyle w:val="TableContents"/>
              <w:bidi w:val="0"/>
              <w:spacing w:before="0" w:after="283"/>
              <w:jc w:val="right"/>
              <w:rPr/>
            </w:pPr>
            <w:r>
              <w:rPr/>
              <w:t>185.00p</w:t>
            </w:r>
          </w:p>
        </w:tc>
        <w:tc>
          <w:tcPr>
            <w:tcW w:w="5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36" w:type="dxa"/>
            <w:tcBorders/>
            <w:vAlign w:val="bottom"/>
          </w:tcPr>
          <w:p>
            <w:pPr>
              <w:pStyle w:val="TableContents"/>
              <w:bidi w:val="0"/>
              <w:spacing w:before="0" w:after="283"/>
              <w:jc w:val="right"/>
              <w:rPr/>
            </w:pPr>
            <w:r>
              <w:rPr/>
              <w:t>181.00p</w:t>
            </w:r>
          </w:p>
        </w:tc>
        <w:tc>
          <w:tcPr>
            <w:tcW w:w="65" w:type="dxa"/>
            <w:tcBorders/>
            <w:vAlign w:val="bottom"/>
          </w:tcPr>
          <w:p>
            <w:pPr>
              <w:pStyle w:val="TableContents"/>
              <w:bidi w:val="0"/>
              <w:spacing w:before="0" w:after="283"/>
              <w:jc w:val="left"/>
              <w:rPr/>
            </w:pPr>
            <w:r>
              <w:rPr/>
              <w:t> </w:t>
            </w:r>
          </w:p>
        </w:tc>
      </w:tr>
      <w:tr>
        <w:trPr/>
        <w:tc>
          <w:tcPr>
            <w:tcW w:w="10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10, 2023</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90" w:type="dxa"/>
            <w:tcBorders/>
            <w:shd w:fill="CCEEFF" w:val="clear"/>
            <w:vAlign w:val="bottom"/>
          </w:tcPr>
          <w:p>
            <w:pPr>
              <w:pStyle w:val="TableContents"/>
              <w:bidi w:val="0"/>
              <w:spacing w:before="0" w:after="283"/>
              <w:jc w:val="right"/>
              <w:rPr/>
            </w:pPr>
            <w:r>
              <w:rPr/>
              <w:t>13,692</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3" w:type="dxa"/>
            <w:tcBorders/>
            <w:shd w:fill="CCEEFF" w:val="clear"/>
            <w:vAlign w:val="bottom"/>
          </w:tcPr>
          <w:p>
            <w:pPr>
              <w:pStyle w:val="TableContents"/>
              <w:bidi w:val="0"/>
              <w:spacing w:before="0" w:after="283"/>
              <w:jc w:val="right"/>
              <w:rPr/>
            </w:pPr>
            <w:r>
              <w:rPr/>
              <w:t>184.65p</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764" w:type="dxa"/>
            <w:tcBorders/>
            <w:shd w:fill="CCEEFF" w:val="clear"/>
            <w:vAlign w:val="bottom"/>
          </w:tcPr>
          <w:p>
            <w:pPr>
              <w:pStyle w:val="TableContents"/>
              <w:bidi w:val="0"/>
              <w:spacing w:before="0" w:after="283"/>
              <w:jc w:val="right"/>
              <w:rPr/>
            </w:pPr>
            <w:r>
              <w:rPr/>
              <w:t>185.80p</w:t>
            </w:r>
          </w:p>
        </w:tc>
        <w:tc>
          <w:tcPr>
            <w:tcW w:w="5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736" w:type="dxa"/>
            <w:tcBorders/>
            <w:shd w:fill="CCEEFF" w:val="clear"/>
            <w:vAlign w:val="bottom"/>
          </w:tcPr>
          <w:p>
            <w:pPr>
              <w:pStyle w:val="TableContents"/>
              <w:bidi w:val="0"/>
              <w:spacing w:before="0" w:after="283"/>
              <w:jc w:val="right"/>
              <w:rPr/>
            </w:pPr>
            <w:r>
              <w:rPr/>
              <w:t>183.00p</w:t>
            </w:r>
          </w:p>
        </w:tc>
        <w:tc>
          <w:tcPr>
            <w:tcW w:w="65" w:type="dxa"/>
            <w:tcBorders/>
            <w:shd w:fill="CCEEFF" w:val="clear"/>
            <w:vAlign w:val="bottom"/>
          </w:tcPr>
          <w:p>
            <w:pPr>
              <w:pStyle w:val="TableContents"/>
              <w:bidi w:val="0"/>
              <w:spacing w:before="0" w:after="283"/>
              <w:jc w:val="left"/>
              <w:rPr/>
            </w:pPr>
            <w:r>
              <w:rPr/>
              <w:t> </w:t>
            </w:r>
          </w:p>
        </w:tc>
      </w:tr>
      <w:tr>
        <w:trPr/>
        <w:tc>
          <w:tcPr>
            <w:tcW w:w="1059" w:type="dxa"/>
            <w:tcBorders/>
          </w:tcPr>
          <w:p>
            <w:pPr>
              <w:pStyle w:val="TableContents"/>
              <w:bidi w:val="0"/>
              <w:spacing w:before="0" w:after="0"/>
              <w:jc w:val="left"/>
              <w:rPr>
                <w:rFonts w:ascii="Times New Roman" w:hAnsi="Times New Roman"/>
                <w:sz w:val="20"/>
              </w:rPr>
            </w:pPr>
            <w:r>
              <w:rPr>
                <w:rFonts w:ascii="Times New Roman" w:hAnsi="Times New Roman"/>
                <w:sz w:val="20"/>
              </w:rPr>
              <w:t>October 11, 2023</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90" w:type="dxa"/>
            <w:tcBorders/>
            <w:vAlign w:val="bottom"/>
          </w:tcPr>
          <w:p>
            <w:pPr>
              <w:pStyle w:val="TableContents"/>
              <w:bidi w:val="0"/>
              <w:spacing w:before="0" w:after="283"/>
              <w:jc w:val="right"/>
              <w:rPr/>
            </w:pPr>
            <w:r>
              <w:rPr/>
              <w:t>59,216</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3" w:type="dxa"/>
            <w:tcBorders/>
            <w:vAlign w:val="bottom"/>
          </w:tcPr>
          <w:p>
            <w:pPr>
              <w:pStyle w:val="TableContents"/>
              <w:bidi w:val="0"/>
              <w:spacing w:before="0" w:after="283"/>
              <w:jc w:val="right"/>
              <w:rPr/>
            </w:pPr>
            <w:r>
              <w:rPr/>
              <w:t>185.71p</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64" w:type="dxa"/>
            <w:tcBorders/>
            <w:vAlign w:val="bottom"/>
          </w:tcPr>
          <w:p>
            <w:pPr>
              <w:pStyle w:val="TableContents"/>
              <w:bidi w:val="0"/>
              <w:spacing w:before="0" w:after="283"/>
              <w:jc w:val="right"/>
              <w:rPr/>
            </w:pPr>
            <w:r>
              <w:rPr/>
              <w:t>189.00p</w:t>
            </w:r>
          </w:p>
        </w:tc>
        <w:tc>
          <w:tcPr>
            <w:tcW w:w="5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36" w:type="dxa"/>
            <w:tcBorders/>
            <w:vAlign w:val="bottom"/>
          </w:tcPr>
          <w:p>
            <w:pPr>
              <w:pStyle w:val="TableContents"/>
              <w:bidi w:val="0"/>
              <w:spacing w:before="0" w:after="283"/>
              <w:jc w:val="right"/>
              <w:rPr/>
            </w:pPr>
            <w:r>
              <w:rPr/>
              <w:t>181.20p</w:t>
            </w:r>
          </w:p>
        </w:tc>
        <w:tc>
          <w:tcPr>
            <w:tcW w:w="65" w:type="dxa"/>
            <w:tcBorders/>
            <w:vAlign w:val="bottom"/>
          </w:tcPr>
          <w:p>
            <w:pPr>
              <w:pStyle w:val="TableContents"/>
              <w:bidi w:val="0"/>
              <w:spacing w:before="0" w:after="283"/>
              <w:jc w:val="left"/>
              <w:rPr/>
            </w:pPr>
            <w:r>
              <w:rPr/>
              <w:t> </w:t>
            </w:r>
          </w:p>
        </w:tc>
      </w:tr>
      <w:tr>
        <w:trPr/>
        <w:tc>
          <w:tcPr>
            <w:tcW w:w="10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12, 2023</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90" w:type="dxa"/>
            <w:tcBorders/>
            <w:shd w:fill="CCEEFF" w:val="clear"/>
            <w:vAlign w:val="bottom"/>
          </w:tcPr>
          <w:p>
            <w:pPr>
              <w:pStyle w:val="TableContents"/>
              <w:bidi w:val="0"/>
              <w:spacing w:before="0" w:after="283"/>
              <w:jc w:val="right"/>
              <w:rPr/>
            </w:pPr>
            <w:r>
              <w:rPr/>
              <w:t>58,783</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3" w:type="dxa"/>
            <w:tcBorders/>
            <w:shd w:fill="CCEEFF" w:val="clear"/>
            <w:vAlign w:val="bottom"/>
          </w:tcPr>
          <w:p>
            <w:pPr>
              <w:pStyle w:val="TableContents"/>
              <w:bidi w:val="0"/>
              <w:spacing w:before="0" w:after="283"/>
              <w:jc w:val="right"/>
              <w:rPr/>
            </w:pPr>
            <w:r>
              <w:rPr/>
              <w:t>184.60p</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764" w:type="dxa"/>
            <w:tcBorders/>
            <w:shd w:fill="CCEEFF" w:val="clear"/>
            <w:vAlign w:val="bottom"/>
          </w:tcPr>
          <w:p>
            <w:pPr>
              <w:pStyle w:val="TableContents"/>
              <w:bidi w:val="0"/>
              <w:spacing w:before="0" w:after="283"/>
              <w:jc w:val="right"/>
              <w:rPr/>
            </w:pPr>
            <w:r>
              <w:rPr/>
              <w:t>188.40p</w:t>
            </w:r>
          </w:p>
        </w:tc>
        <w:tc>
          <w:tcPr>
            <w:tcW w:w="5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736" w:type="dxa"/>
            <w:tcBorders/>
            <w:shd w:fill="CCEEFF" w:val="clear"/>
            <w:vAlign w:val="bottom"/>
          </w:tcPr>
          <w:p>
            <w:pPr>
              <w:pStyle w:val="TableContents"/>
              <w:bidi w:val="0"/>
              <w:spacing w:before="0" w:after="283"/>
              <w:jc w:val="right"/>
              <w:rPr/>
            </w:pPr>
            <w:r>
              <w:rPr/>
              <w:t>183.00p</w:t>
            </w:r>
          </w:p>
        </w:tc>
        <w:tc>
          <w:tcPr>
            <w:tcW w:w="65" w:type="dxa"/>
            <w:tcBorders/>
            <w:shd w:fill="CCEEFF" w:val="clear"/>
            <w:vAlign w:val="bottom"/>
          </w:tcPr>
          <w:p>
            <w:pPr>
              <w:pStyle w:val="TableContents"/>
              <w:bidi w:val="0"/>
              <w:spacing w:before="0" w:after="283"/>
              <w:jc w:val="left"/>
              <w:rPr/>
            </w:pPr>
            <w:r>
              <w:rPr/>
              <w:t> </w:t>
            </w:r>
          </w:p>
        </w:tc>
      </w:tr>
      <w:tr>
        <w:trPr/>
        <w:tc>
          <w:tcPr>
            <w:tcW w:w="1059" w:type="dxa"/>
            <w:tcBorders/>
          </w:tcPr>
          <w:p>
            <w:pPr>
              <w:pStyle w:val="TableContents"/>
              <w:bidi w:val="0"/>
              <w:spacing w:before="0" w:after="0"/>
              <w:jc w:val="left"/>
              <w:rPr>
                <w:rFonts w:ascii="Times New Roman" w:hAnsi="Times New Roman"/>
                <w:sz w:val="20"/>
              </w:rPr>
            </w:pPr>
            <w:r>
              <w:rPr>
                <w:rFonts w:ascii="Times New Roman" w:hAnsi="Times New Roman"/>
                <w:sz w:val="20"/>
              </w:rPr>
              <w:t>October 13, 2023</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90" w:type="dxa"/>
            <w:tcBorders/>
            <w:vAlign w:val="bottom"/>
          </w:tcPr>
          <w:p>
            <w:pPr>
              <w:pStyle w:val="TableContents"/>
              <w:bidi w:val="0"/>
              <w:spacing w:before="0" w:after="283"/>
              <w:jc w:val="right"/>
              <w:rPr/>
            </w:pPr>
            <w:r>
              <w:rPr/>
              <w:t>56,788</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3" w:type="dxa"/>
            <w:tcBorders/>
            <w:vAlign w:val="bottom"/>
          </w:tcPr>
          <w:p>
            <w:pPr>
              <w:pStyle w:val="TableContents"/>
              <w:bidi w:val="0"/>
              <w:spacing w:before="0" w:after="283"/>
              <w:jc w:val="right"/>
              <w:rPr/>
            </w:pPr>
            <w:r>
              <w:rPr/>
              <w:t>177.57p</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64" w:type="dxa"/>
            <w:tcBorders/>
            <w:vAlign w:val="bottom"/>
          </w:tcPr>
          <w:p>
            <w:pPr>
              <w:pStyle w:val="TableContents"/>
              <w:bidi w:val="0"/>
              <w:spacing w:before="0" w:after="283"/>
              <w:jc w:val="right"/>
              <w:rPr/>
            </w:pPr>
            <w:r>
              <w:rPr/>
              <w:t>185.60p</w:t>
            </w:r>
          </w:p>
        </w:tc>
        <w:tc>
          <w:tcPr>
            <w:tcW w:w="5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36" w:type="dxa"/>
            <w:tcBorders/>
            <w:vAlign w:val="bottom"/>
          </w:tcPr>
          <w:p>
            <w:pPr>
              <w:pStyle w:val="TableContents"/>
              <w:bidi w:val="0"/>
              <w:spacing w:before="0" w:after="283"/>
              <w:jc w:val="right"/>
              <w:rPr/>
            </w:pPr>
            <w:r>
              <w:rPr/>
              <w:t>171.00p</w:t>
            </w:r>
          </w:p>
        </w:tc>
        <w:tc>
          <w:tcPr>
            <w:tcW w:w="65" w:type="dxa"/>
            <w:tcBorders/>
            <w:vAlign w:val="bottom"/>
          </w:tcPr>
          <w:p>
            <w:pPr>
              <w:pStyle w:val="TableContents"/>
              <w:bidi w:val="0"/>
              <w:spacing w:before="0" w:after="283"/>
              <w:jc w:val="left"/>
              <w:rPr/>
            </w:pPr>
            <w:r>
              <w:rPr/>
              <w:t> </w:t>
            </w:r>
          </w:p>
        </w:tc>
      </w:tr>
      <w:tr>
        <w:trPr/>
        <w:tc>
          <w:tcPr>
            <w:tcW w:w="10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16, 2023</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90" w:type="dxa"/>
            <w:tcBorders/>
            <w:shd w:fill="CCEEFF" w:val="clear"/>
            <w:vAlign w:val="bottom"/>
          </w:tcPr>
          <w:p>
            <w:pPr>
              <w:pStyle w:val="TableContents"/>
              <w:bidi w:val="0"/>
              <w:spacing w:before="0" w:after="283"/>
              <w:jc w:val="right"/>
              <w:rPr/>
            </w:pPr>
            <w:r>
              <w:rPr/>
              <w:t>51,734</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3" w:type="dxa"/>
            <w:tcBorders/>
            <w:shd w:fill="CCEEFF" w:val="clear"/>
            <w:vAlign w:val="bottom"/>
          </w:tcPr>
          <w:p>
            <w:pPr>
              <w:pStyle w:val="TableContents"/>
              <w:bidi w:val="0"/>
              <w:spacing w:before="0" w:after="283"/>
              <w:jc w:val="right"/>
              <w:rPr/>
            </w:pPr>
            <w:r>
              <w:rPr/>
              <w:t>170.91p</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764" w:type="dxa"/>
            <w:tcBorders/>
            <w:shd w:fill="CCEEFF" w:val="clear"/>
            <w:vAlign w:val="bottom"/>
          </w:tcPr>
          <w:p>
            <w:pPr>
              <w:pStyle w:val="TableContents"/>
              <w:bidi w:val="0"/>
              <w:spacing w:before="0" w:after="283"/>
              <w:jc w:val="right"/>
              <w:rPr/>
            </w:pPr>
            <w:r>
              <w:rPr/>
              <w:t>174.20p</w:t>
            </w:r>
          </w:p>
        </w:tc>
        <w:tc>
          <w:tcPr>
            <w:tcW w:w="5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736" w:type="dxa"/>
            <w:tcBorders/>
            <w:shd w:fill="CCEEFF" w:val="clear"/>
            <w:vAlign w:val="bottom"/>
          </w:tcPr>
          <w:p>
            <w:pPr>
              <w:pStyle w:val="TableContents"/>
              <w:bidi w:val="0"/>
              <w:spacing w:before="0" w:after="283"/>
              <w:jc w:val="right"/>
              <w:rPr/>
            </w:pPr>
            <w:r>
              <w:rPr/>
              <w:t>168.40p</w:t>
            </w:r>
          </w:p>
        </w:tc>
        <w:tc>
          <w:tcPr>
            <w:tcW w:w="65" w:type="dxa"/>
            <w:tcBorders/>
            <w:shd w:fill="CCEEFF" w:val="clear"/>
            <w:vAlign w:val="bottom"/>
          </w:tcPr>
          <w:p>
            <w:pPr>
              <w:pStyle w:val="TableContents"/>
              <w:bidi w:val="0"/>
              <w:spacing w:before="0" w:after="283"/>
              <w:jc w:val="left"/>
              <w:rPr/>
            </w:pPr>
            <w:r>
              <w:rPr/>
              <w:t> </w:t>
            </w:r>
          </w:p>
        </w:tc>
      </w:tr>
      <w:tr>
        <w:trPr/>
        <w:tc>
          <w:tcPr>
            <w:tcW w:w="1059" w:type="dxa"/>
            <w:tcBorders/>
          </w:tcPr>
          <w:p>
            <w:pPr>
              <w:pStyle w:val="TableContents"/>
              <w:bidi w:val="0"/>
              <w:spacing w:before="0" w:after="0"/>
              <w:jc w:val="left"/>
              <w:rPr>
                <w:rFonts w:ascii="Times New Roman" w:hAnsi="Times New Roman"/>
                <w:sz w:val="20"/>
              </w:rPr>
            </w:pPr>
            <w:r>
              <w:rPr>
                <w:rFonts w:ascii="Times New Roman" w:hAnsi="Times New Roman"/>
                <w:sz w:val="20"/>
              </w:rPr>
              <w:t>October 17, 2023</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90" w:type="dxa"/>
            <w:tcBorders/>
            <w:vAlign w:val="bottom"/>
          </w:tcPr>
          <w:p>
            <w:pPr>
              <w:pStyle w:val="TableContents"/>
              <w:bidi w:val="0"/>
              <w:spacing w:before="0" w:after="283"/>
              <w:jc w:val="right"/>
              <w:rPr/>
            </w:pPr>
            <w:r>
              <w:rPr/>
              <w:t>37,903</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3" w:type="dxa"/>
            <w:tcBorders/>
            <w:vAlign w:val="bottom"/>
          </w:tcPr>
          <w:p>
            <w:pPr>
              <w:pStyle w:val="TableContents"/>
              <w:bidi w:val="0"/>
              <w:spacing w:before="0" w:after="283"/>
              <w:jc w:val="right"/>
              <w:rPr/>
            </w:pPr>
            <w:r>
              <w:rPr/>
              <w:t>168.83p</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64" w:type="dxa"/>
            <w:tcBorders/>
            <w:vAlign w:val="bottom"/>
          </w:tcPr>
          <w:p>
            <w:pPr>
              <w:pStyle w:val="TableContents"/>
              <w:bidi w:val="0"/>
              <w:spacing w:before="0" w:after="283"/>
              <w:jc w:val="right"/>
              <w:rPr/>
            </w:pPr>
            <w:r>
              <w:rPr/>
              <w:t>170.80p</w:t>
            </w:r>
          </w:p>
        </w:tc>
        <w:tc>
          <w:tcPr>
            <w:tcW w:w="5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36" w:type="dxa"/>
            <w:tcBorders/>
            <w:vAlign w:val="bottom"/>
          </w:tcPr>
          <w:p>
            <w:pPr>
              <w:pStyle w:val="TableContents"/>
              <w:bidi w:val="0"/>
              <w:spacing w:before="0" w:after="283"/>
              <w:jc w:val="right"/>
              <w:rPr/>
            </w:pPr>
            <w:r>
              <w:rPr/>
              <w:t>167.20p</w:t>
            </w:r>
          </w:p>
        </w:tc>
        <w:tc>
          <w:tcPr>
            <w:tcW w:w="65" w:type="dxa"/>
            <w:tcBorders/>
            <w:vAlign w:val="bottom"/>
          </w:tcPr>
          <w:p>
            <w:pPr>
              <w:pStyle w:val="TableContents"/>
              <w:bidi w:val="0"/>
              <w:spacing w:before="0" w:after="283"/>
              <w:jc w:val="left"/>
              <w:rPr/>
            </w:pPr>
            <w:r>
              <w:rPr/>
              <w:t> </w:t>
            </w:r>
          </w:p>
        </w:tc>
      </w:tr>
      <w:tr>
        <w:trPr/>
        <w:tc>
          <w:tcPr>
            <w:tcW w:w="10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18, 2023</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90" w:type="dxa"/>
            <w:tcBorders/>
            <w:shd w:fill="CCEEFF" w:val="clear"/>
            <w:vAlign w:val="bottom"/>
          </w:tcPr>
          <w:p>
            <w:pPr>
              <w:pStyle w:val="TableContents"/>
              <w:bidi w:val="0"/>
              <w:spacing w:before="0" w:after="283"/>
              <w:jc w:val="right"/>
              <w:rPr/>
            </w:pPr>
            <w:r>
              <w:rPr/>
              <w:t>45,866</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3" w:type="dxa"/>
            <w:tcBorders/>
            <w:shd w:fill="CCEEFF" w:val="clear"/>
            <w:vAlign w:val="bottom"/>
          </w:tcPr>
          <w:p>
            <w:pPr>
              <w:pStyle w:val="TableContents"/>
              <w:bidi w:val="0"/>
              <w:spacing w:before="0" w:after="283"/>
              <w:jc w:val="right"/>
              <w:rPr/>
            </w:pPr>
            <w:r>
              <w:rPr/>
              <w:t>171.51p</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764" w:type="dxa"/>
            <w:tcBorders/>
            <w:shd w:fill="CCEEFF" w:val="clear"/>
            <w:vAlign w:val="bottom"/>
          </w:tcPr>
          <w:p>
            <w:pPr>
              <w:pStyle w:val="TableContents"/>
              <w:bidi w:val="0"/>
              <w:spacing w:before="0" w:after="283"/>
              <w:jc w:val="right"/>
              <w:rPr/>
            </w:pPr>
            <w:r>
              <w:rPr/>
              <w:t>176.00p</w:t>
            </w:r>
          </w:p>
        </w:tc>
        <w:tc>
          <w:tcPr>
            <w:tcW w:w="5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736" w:type="dxa"/>
            <w:tcBorders/>
            <w:shd w:fill="CCEEFF" w:val="clear"/>
            <w:vAlign w:val="bottom"/>
          </w:tcPr>
          <w:p>
            <w:pPr>
              <w:pStyle w:val="TableContents"/>
              <w:bidi w:val="0"/>
              <w:spacing w:before="0" w:after="283"/>
              <w:jc w:val="right"/>
              <w:rPr/>
            </w:pPr>
            <w:r>
              <w:rPr/>
              <w:t>167.80p</w:t>
            </w:r>
          </w:p>
        </w:tc>
        <w:tc>
          <w:tcPr>
            <w:tcW w:w="65" w:type="dxa"/>
            <w:tcBorders/>
            <w:shd w:fill="CCEEFF" w:val="clear"/>
            <w:vAlign w:val="bottom"/>
          </w:tcPr>
          <w:p>
            <w:pPr>
              <w:pStyle w:val="TableContents"/>
              <w:bidi w:val="0"/>
              <w:spacing w:before="0" w:after="283"/>
              <w:jc w:val="left"/>
              <w:rPr/>
            </w:pPr>
            <w:r>
              <w:rPr/>
              <w:t> </w:t>
            </w:r>
          </w:p>
        </w:tc>
      </w:tr>
      <w:tr>
        <w:trPr/>
        <w:tc>
          <w:tcPr>
            <w:tcW w:w="1059" w:type="dxa"/>
            <w:tcBorders/>
          </w:tcPr>
          <w:p>
            <w:pPr>
              <w:pStyle w:val="TableContents"/>
              <w:bidi w:val="0"/>
              <w:spacing w:before="0" w:after="0"/>
              <w:jc w:val="left"/>
              <w:rPr>
                <w:rFonts w:ascii="Times New Roman" w:hAnsi="Times New Roman"/>
                <w:sz w:val="20"/>
              </w:rPr>
            </w:pPr>
            <w:r>
              <w:rPr>
                <w:rFonts w:ascii="Times New Roman" w:hAnsi="Times New Roman"/>
                <w:sz w:val="20"/>
              </w:rPr>
              <w:t>October 19, 2023</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90" w:type="dxa"/>
            <w:tcBorders/>
            <w:vAlign w:val="bottom"/>
          </w:tcPr>
          <w:p>
            <w:pPr>
              <w:pStyle w:val="TableContents"/>
              <w:bidi w:val="0"/>
              <w:spacing w:before="0" w:after="283"/>
              <w:jc w:val="right"/>
              <w:rPr/>
            </w:pPr>
            <w:r>
              <w:rPr/>
              <w:t>40,535</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3" w:type="dxa"/>
            <w:tcBorders/>
            <w:vAlign w:val="bottom"/>
          </w:tcPr>
          <w:p>
            <w:pPr>
              <w:pStyle w:val="TableContents"/>
              <w:bidi w:val="0"/>
              <w:spacing w:before="0" w:after="283"/>
              <w:jc w:val="right"/>
              <w:rPr/>
            </w:pPr>
            <w:r>
              <w:rPr/>
              <w:t>169.64p</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64" w:type="dxa"/>
            <w:tcBorders/>
            <w:vAlign w:val="bottom"/>
          </w:tcPr>
          <w:p>
            <w:pPr>
              <w:pStyle w:val="TableContents"/>
              <w:bidi w:val="0"/>
              <w:spacing w:before="0" w:after="283"/>
              <w:jc w:val="right"/>
              <w:rPr/>
            </w:pPr>
            <w:r>
              <w:rPr/>
              <w:t>175.80p</w:t>
            </w:r>
          </w:p>
        </w:tc>
        <w:tc>
          <w:tcPr>
            <w:tcW w:w="5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36" w:type="dxa"/>
            <w:tcBorders/>
            <w:vAlign w:val="bottom"/>
          </w:tcPr>
          <w:p>
            <w:pPr>
              <w:pStyle w:val="TableContents"/>
              <w:bidi w:val="0"/>
              <w:spacing w:before="0" w:after="283"/>
              <w:jc w:val="right"/>
              <w:rPr/>
            </w:pPr>
            <w:r>
              <w:rPr/>
              <w:t>165.00p</w:t>
            </w:r>
          </w:p>
        </w:tc>
        <w:tc>
          <w:tcPr>
            <w:tcW w:w="65" w:type="dxa"/>
            <w:tcBorders/>
            <w:vAlign w:val="bottom"/>
          </w:tcPr>
          <w:p>
            <w:pPr>
              <w:pStyle w:val="TableContents"/>
              <w:bidi w:val="0"/>
              <w:spacing w:before="0" w:after="283"/>
              <w:jc w:val="left"/>
              <w:rPr/>
            </w:pPr>
            <w:r>
              <w:rPr/>
              <w:t> </w:t>
            </w:r>
          </w:p>
        </w:tc>
      </w:tr>
      <w:tr>
        <w:trPr/>
        <w:tc>
          <w:tcPr>
            <w:tcW w:w="10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20, 2023</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90" w:type="dxa"/>
            <w:tcBorders/>
            <w:shd w:fill="CCEEFF" w:val="clear"/>
            <w:vAlign w:val="bottom"/>
          </w:tcPr>
          <w:p>
            <w:pPr>
              <w:pStyle w:val="TableContents"/>
              <w:bidi w:val="0"/>
              <w:spacing w:before="0" w:after="283"/>
              <w:jc w:val="right"/>
              <w:rPr/>
            </w:pPr>
            <w:r>
              <w:rPr/>
              <w:t>30,962</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3" w:type="dxa"/>
            <w:tcBorders/>
            <w:shd w:fill="CCEEFF" w:val="clear"/>
            <w:vAlign w:val="bottom"/>
          </w:tcPr>
          <w:p>
            <w:pPr>
              <w:pStyle w:val="TableContents"/>
              <w:bidi w:val="0"/>
              <w:spacing w:before="0" w:after="283"/>
              <w:jc w:val="right"/>
              <w:rPr/>
            </w:pPr>
            <w:r>
              <w:rPr/>
              <w:t>166.20p</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764" w:type="dxa"/>
            <w:tcBorders/>
            <w:shd w:fill="CCEEFF" w:val="clear"/>
            <w:vAlign w:val="bottom"/>
          </w:tcPr>
          <w:p>
            <w:pPr>
              <w:pStyle w:val="TableContents"/>
              <w:bidi w:val="0"/>
              <w:spacing w:before="0" w:after="283"/>
              <w:jc w:val="right"/>
              <w:rPr/>
            </w:pPr>
            <w:r>
              <w:rPr/>
              <w:t>168.80p</w:t>
            </w:r>
          </w:p>
        </w:tc>
        <w:tc>
          <w:tcPr>
            <w:tcW w:w="5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736" w:type="dxa"/>
            <w:tcBorders/>
            <w:shd w:fill="CCEEFF" w:val="clear"/>
            <w:vAlign w:val="bottom"/>
          </w:tcPr>
          <w:p>
            <w:pPr>
              <w:pStyle w:val="TableContents"/>
              <w:bidi w:val="0"/>
              <w:spacing w:before="0" w:after="283"/>
              <w:jc w:val="right"/>
              <w:rPr/>
            </w:pPr>
            <w:r>
              <w:rPr/>
              <w:t>162.60p</w:t>
            </w:r>
          </w:p>
        </w:tc>
        <w:tc>
          <w:tcPr>
            <w:tcW w:w="65" w:type="dxa"/>
            <w:tcBorders/>
            <w:shd w:fill="CCEEFF" w:val="clear"/>
            <w:vAlign w:val="bottom"/>
          </w:tcPr>
          <w:p>
            <w:pPr>
              <w:pStyle w:val="TableContents"/>
              <w:bidi w:val="0"/>
              <w:spacing w:before="0" w:after="283"/>
              <w:jc w:val="left"/>
              <w:rPr/>
            </w:pPr>
            <w:r>
              <w:rPr/>
              <w:t> </w:t>
            </w:r>
          </w:p>
        </w:tc>
      </w:tr>
      <w:tr>
        <w:trPr/>
        <w:tc>
          <w:tcPr>
            <w:tcW w:w="1059" w:type="dxa"/>
            <w:tcBorders/>
          </w:tcPr>
          <w:p>
            <w:pPr>
              <w:pStyle w:val="TableContents"/>
              <w:bidi w:val="0"/>
              <w:spacing w:before="0" w:after="0"/>
              <w:jc w:val="left"/>
              <w:rPr>
                <w:rFonts w:ascii="Times New Roman" w:hAnsi="Times New Roman"/>
                <w:sz w:val="20"/>
              </w:rPr>
            </w:pPr>
            <w:r>
              <w:rPr>
                <w:rFonts w:ascii="Times New Roman" w:hAnsi="Times New Roman"/>
                <w:sz w:val="20"/>
              </w:rPr>
              <w:t>October 23, 2023</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90" w:type="dxa"/>
            <w:tcBorders/>
            <w:vAlign w:val="bottom"/>
          </w:tcPr>
          <w:p>
            <w:pPr>
              <w:pStyle w:val="TableContents"/>
              <w:bidi w:val="0"/>
              <w:spacing w:before="0" w:after="283"/>
              <w:jc w:val="right"/>
              <w:rPr/>
            </w:pPr>
            <w:r>
              <w:rPr/>
              <w:t>41,781</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3" w:type="dxa"/>
            <w:tcBorders/>
            <w:vAlign w:val="bottom"/>
          </w:tcPr>
          <w:p>
            <w:pPr>
              <w:pStyle w:val="TableContents"/>
              <w:bidi w:val="0"/>
              <w:spacing w:before="0" w:after="283"/>
              <w:jc w:val="right"/>
              <w:rPr/>
            </w:pPr>
            <w:r>
              <w:rPr/>
              <w:t>164.72p</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64" w:type="dxa"/>
            <w:tcBorders/>
            <w:vAlign w:val="bottom"/>
          </w:tcPr>
          <w:p>
            <w:pPr>
              <w:pStyle w:val="TableContents"/>
              <w:bidi w:val="0"/>
              <w:spacing w:before="0" w:after="283"/>
              <w:jc w:val="right"/>
              <w:rPr/>
            </w:pPr>
            <w:r>
              <w:rPr/>
              <w:t>167.60p</w:t>
            </w:r>
          </w:p>
        </w:tc>
        <w:tc>
          <w:tcPr>
            <w:tcW w:w="5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36" w:type="dxa"/>
            <w:tcBorders/>
            <w:vAlign w:val="bottom"/>
          </w:tcPr>
          <w:p>
            <w:pPr>
              <w:pStyle w:val="TableContents"/>
              <w:bidi w:val="0"/>
              <w:spacing w:before="0" w:after="283"/>
              <w:jc w:val="right"/>
              <w:rPr/>
            </w:pPr>
            <w:r>
              <w:rPr/>
              <w:t>162.00p</w:t>
            </w:r>
          </w:p>
        </w:tc>
        <w:tc>
          <w:tcPr>
            <w:tcW w:w="65" w:type="dxa"/>
            <w:tcBorders/>
            <w:vAlign w:val="bottom"/>
          </w:tcPr>
          <w:p>
            <w:pPr>
              <w:pStyle w:val="TableContents"/>
              <w:bidi w:val="0"/>
              <w:spacing w:before="0" w:after="283"/>
              <w:jc w:val="left"/>
              <w:rPr/>
            </w:pPr>
            <w:r>
              <w:rPr/>
              <w:t> </w:t>
            </w:r>
          </w:p>
        </w:tc>
      </w:tr>
      <w:tr>
        <w:trPr/>
        <w:tc>
          <w:tcPr>
            <w:tcW w:w="10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24, 2023</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90" w:type="dxa"/>
            <w:tcBorders/>
            <w:shd w:fill="CCEEFF" w:val="clear"/>
            <w:vAlign w:val="bottom"/>
          </w:tcPr>
          <w:p>
            <w:pPr>
              <w:pStyle w:val="TableContents"/>
              <w:bidi w:val="0"/>
              <w:spacing w:before="0" w:after="283"/>
              <w:jc w:val="right"/>
              <w:rPr/>
            </w:pPr>
            <w:r>
              <w:rPr/>
              <w:t>35,591</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3" w:type="dxa"/>
            <w:tcBorders/>
            <w:shd w:fill="CCEEFF" w:val="clear"/>
            <w:vAlign w:val="bottom"/>
          </w:tcPr>
          <w:p>
            <w:pPr>
              <w:pStyle w:val="TableContents"/>
              <w:bidi w:val="0"/>
              <w:spacing w:before="0" w:after="283"/>
              <w:jc w:val="right"/>
              <w:rPr/>
            </w:pPr>
            <w:r>
              <w:rPr/>
              <w:t>166.14p</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764" w:type="dxa"/>
            <w:tcBorders/>
            <w:shd w:fill="CCEEFF" w:val="clear"/>
            <w:vAlign w:val="bottom"/>
          </w:tcPr>
          <w:p>
            <w:pPr>
              <w:pStyle w:val="TableContents"/>
              <w:bidi w:val="0"/>
              <w:spacing w:before="0" w:after="283"/>
              <w:jc w:val="right"/>
              <w:rPr/>
            </w:pPr>
            <w:r>
              <w:rPr/>
              <w:t>169.20p</w:t>
            </w:r>
          </w:p>
        </w:tc>
        <w:tc>
          <w:tcPr>
            <w:tcW w:w="5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736" w:type="dxa"/>
            <w:tcBorders/>
            <w:shd w:fill="CCEEFF" w:val="clear"/>
            <w:vAlign w:val="bottom"/>
          </w:tcPr>
          <w:p>
            <w:pPr>
              <w:pStyle w:val="TableContents"/>
              <w:bidi w:val="0"/>
              <w:spacing w:before="0" w:after="283"/>
              <w:jc w:val="right"/>
              <w:rPr/>
            </w:pPr>
            <w:r>
              <w:rPr/>
              <w:t>164.60p</w:t>
            </w:r>
          </w:p>
        </w:tc>
        <w:tc>
          <w:tcPr>
            <w:tcW w:w="65" w:type="dxa"/>
            <w:tcBorders/>
            <w:shd w:fill="CCEEFF" w:val="clear"/>
            <w:vAlign w:val="bottom"/>
          </w:tcPr>
          <w:p>
            <w:pPr>
              <w:pStyle w:val="TableContents"/>
              <w:bidi w:val="0"/>
              <w:spacing w:before="0" w:after="283"/>
              <w:jc w:val="left"/>
              <w:rPr/>
            </w:pPr>
            <w:r>
              <w:rPr/>
              <w:t> </w:t>
            </w:r>
          </w:p>
        </w:tc>
      </w:tr>
      <w:tr>
        <w:trPr/>
        <w:tc>
          <w:tcPr>
            <w:tcW w:w="1059" w:type="dxa"/>
            <w:tcBorders/>
          </w:tcPr>
          <w:p>
            <w:pPr>
              <w:pStyle w:val="TableContents"/>
              <w:bidi w:val="0"/>
              <w:spacing w:before="0" w:after="0"/>
              <w:jc w:val="left"/>
              <w:rPr>
                <w:rFonts w:ascii="Times New Roman" w:hAnsi="Times New Roman"/>
                <w:sz w:val="20"/>
              </w:rPr>
            </w:pPr>
            <w:r>
              <w:rPr>
                <w:rFonts w:ascii="Times New Roman" w:hAnsi="Times New Roman"/>
                <w:sz w:val="20"/>
              </w:rPr>
              <w:t>October 25, 2023</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90" w:type="dxa"/>
            <w:tcBorders/>
            <w:vAlign w:val="bottom"/>
          </w:tcPr>
          <w:p>
            <w:pPr>
              <w:pStyle w:val="TableContents"/>
              <w:bidi w:val="0"/>
              <w:spacing w:before="0" w:after="283"/>
              <w:jc w:val="right"/>
              <w:rPr/>
            </w:pPr>
            <w:r>
              <w:rPr/>
              <w:t>38,361</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3" w:type="dxa"/>
            <w:tcBorders/>
            <w:vAlign w:val="bottom"/>
          </w:tcPr>
          <w:p>
            <w:pPr>
              <w:pStyle w:val="TableContents"/>
              <w:bidi w:val="0"/>
              <w:spacing w:before="0" w:after="283"/>
              <w:jc w:val="right"/>
              <w:rPr/>
            </w:pPr>
            <w:r>
              <w:rPr/>
              <w:t>166.20p</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64" w:type="dxa"/>
            <w:tcBorders/>
            <w:vAlign w:val="bottom"/>
          </w:tcPr>
          <w:p>
            <w:pPr>
              <w:pStyle w:val="TableContents"/>
              <w:bidi w:val="0"/>
              <w:spacing w:before="0" w:after="283"/>
              <w:jc w:val="right"/>
              <w:rPr/>
            </w:pPr>
            <w:r>
              <w:rPr/>
              <w:t>169.40p</w:t>
            </w:r>
          </w:p>
        </w:tc>
        <w:tc>
          <w:tcPr>
            <w:tcW w:w="5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36" w:type="dxa"/>
            <w:tcBorders/>
            <w:vAlign w:val="bottom"/>
          </w:tcPr>
          <w:p>
            <w:pPr>
              <w:pStyle w:val="TableContents"/>
              <w:bidi w:val="0"/>
              <w:spacing w:before="0" w:after="283"/>
              <w:jc w:val="right"/>
              <w:rPr/>
            </w:pPr>
            <w:r>
              <w:rPr/>
              <w:t>163.40p</w:t>
            </w:r>
          </w:p>
        </w:tc>
        <w:tc>
          <w:tcPr>
            <w:tcW w:w="65" w:type="dxa"/>
            <w:tcBorders/>
            <w:vAlign w:val="bottom"/>
          </w:tcPr>
          <w:p>
            <w:pPr>
              <w:pStyle w:val="TableContents"/>
              <w:bidi w:val="0"/>
              <w:spacing w:before="0" w:after="283"/>
              <w:jc w:val="left"/>
              <w:rPr/>
            </w:pPr>
            <w:r>
              <w:rPr/>
              <w:t> </w:t>
            </w:r>
          </w:p>
        </w:tc>
      </w:tr>
      <w:tr>
        <w:trPr/>
        <w:tc>
          <w:tcPr>
            <w:tcW w:w="10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26, 2023</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90" w:type="dxa"/>
            <w:tcBorders/>
            <w:shd w:fill="CCEEFF" w:val="clear"/>
            <w:vAlign w:val="bottom"/>
          </w:tcPr>
          <w:p>
            <w:pPr>
              <w:pStyle w:val="TableContents"/>
              <w:bidi w:val="0"/>
              <w:spacing w:before="0" w:after="283"/>
              <w:jc w:val="right"/>
              <w:rPr/>
            </w:pPr>
            <w:r>
              <w:rPr/>
              <w:t>44,415</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3" w:type="dxa"/>
            <w:tcBorders/>
            <w:shd w:fill="CCEEFF" w:val="clear"/>
            <w:vAlign w:val="bottom"/>
          </w:tcPr>
          <w:p>
            <w:pPr>
              <w:pStyle w:val="TableContents"/>
              <w:bidi w:val="0"/>
              <w:spacing w:before="0" w:after="283"/>
              <w:jc w:val="right"/>
              <w:rPr/>
            </w:pPr>
            <w:r>
              <w:rPr/>
              <w:t>158.31p</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764" w:type="dxa"/>
            <w:tcBorders/>
            <w:shd w:fill="CCEEFF" w:val="clear"/>
            <w:vAlign w:val="bottom"/>
          </w:tcPr>
          <w:p>
            <w:pPr>
              <w:pStyle w:val="TableContents"/>
              <w:bidi w:val="0"/>
              <w:spacing w:before="0" w:after="283"/>
              <w:jc w:val="right"/>
              <w:rPr/>
            </w:pPr>
            <w:r>
              <w:rPr/>
              <w:t>163.80p</w:t>
            </w:r>
          </w:p>
        </w:tc>
        <w:tc>
          <w:tcPr>
            <w:tcW w:w="5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736" w:type="dxa"/>
            <w:tcBorders/>
            <w:shd w:fill="CCEEFF" w:val="clear"/>
            <w:vAlign w:val="bottom"/>
          </w:tcPr>
          <w:p>
            <w:pPr>
              <w:pStyle w:val="TableContents"/>
              <w:bidi w:val="0"/>
              <w:spacing w:before="0" w:after="283"/>
              <w:jc w:val="right"/>
              <w:rPr/>
            </w:pPr>
            <w:r>
              <w:rPr/>
              <w:t>155.60p</w:t>
            </w:r>
          </w:p>
        </w:tc>
        <w:tc>
          <w:tcPr>
            <w:tcW w:w="65" w:type="dxa"/>
            <w:tcBorders/>
            <w:shd w:fill="CCEEFF" w:val="clear"/>
            <w:vAlign w:val="bottom"/>
          </w:tcPr>
          <w:p>
            <w:pPr>
              <w:pStyle w:val="TableContents"/>
              <w:bidi w:val="0"/>
              <w:spacing w:before="0" w:after="283"/>
              <w:jc w:val="left"/>
              <w:rPr/>
            </w:pPr>
            <w:r>
              <w:rPr/>
              <w:t> </w:t>
            </w:r>
          </w:p>
        </w:tc>
      </w:tr>
      <w:tr>
        <w:trPr/>
        <w:tc>
          <w:tcPr>
            <w:tcW w:w="1059" w:type="dxa"/>
            <w:tcBorders/>
          </w:tcPr>
          <w:p>
            <w:pPr>
              <w:pStyle w:val="TableContents"/>
              <w:bidi w:val="0"/>
              <w:spacing w:before="0" w:after="0"/>
              <w:jc w:val="left"/>
              <w:rPr>
                <w:rFonts w:ascii="Times New Roman" w:hAnsi="Times New Roman"/>
                <w:sz w:val="20"/>
              </w:rPr>
            </w:pPr>
            <w:r>
              <w:rPr>
                <w:rFonts w:ascii="Times New Roman" w:hAnsi="Times New Roman"/>
                <w:sz w:val="20"/>
              </w:rPr>
              <w:t>October 27, 2023</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90" w:type="dxa"/>
            <w:tcBorders/>
            <w:vAlign w:val="bottom"/>
          </w:tcPr>
          <w:p>
            <w:pPr>
              <w:pStyle w:val="TableContents"/>
              <w:bidi w:val="0"/>
              <w:spacing w:before="0" w:after="283"/>
              <w:jc w:val="right"/>
              <w:rPr/>
            </w:pPr>
            <w:r>
              <w:rPr/>
              <w:t>37,010</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3" w:type="dxa"/>
            <w:tcBorders/>
            <w:vAlign w:val="bottom"/>
          </w:tcPr>
          <w:p>
            <w:pPr>
              <w:pStyle w:val="TableContents"/>
              <w:bidi w:val="0"/>
              <w:spacing w:before="0" w:after="283"/>
              <w:jc w:val="right"/>
              <w:rPr/>
            </w:pPr>
            <w:r>
              <w:rPr/>
              <w:t>155.40p</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64" w:type="dxa"/>
            <w:tcBorders/>
            <w:vAlign w:val="bottom"/>
          </w:tcPr>
          <w:p>
            <w:pPr>
              <w:pStyle w:val="TableContents"/>
              <w:bidi w:val="0"/>
              <w:spacing w:before="0" w:after="283"/>
              <w:jc w:val="right"/>
              <w:rPr/>
            </w:pPr>
            <w:r>
              <w:rPr/>
              <w:t>158.80p</w:t>
            </w:r>
          </w:p>
        </w:tc>
        <w:tc>
          <w:tcPr>
            <w:tcW w:w="5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36" w:type="dxa"/>
            <w:tcBorders/>
            <w:vAlign w:val="bottom"/>
          </w:tcPr>
          <w:p>
            <w:pPr>
              <w:pStyle w:val="TableContents"/>
              <w:bidi w:val="0"/>
              <w:spacing w:before="0" w:after="283"/>
              <w:jc w:val="right"/>
              <w:rPr/>
            </w:pPr>
            <w:r>
              <w:rPr/>
              <w:t>152.40p</w:t>
            </w:r>
          </w:p>
        </w:tc>
        <w:tc>
          <w:tcPr>
            <w:tcW w:w="65" w:type="dxa"/>
            <w:tcBorders/>
            <w:vAlign w:val="bottom"/>
          </w:tcPr>
          <w:p>
            <w:pPr>
              <w:pStyle w:val="TableContents"/>
              <w:bidi w:val="0"/>
              <w:spacing w:before="0" w:after="283"/>
              <w:jc w:val="left"/>
              <w:rPr/>
            </w:pPr>
            <w:r>
              <w:rPr/>
              <w:t> </w:t>
            </w:r>
          </w:p>
        </w:tc>
      </w:tr>
      <w:tr>
        <w:trPr/>
        <w:tc>
          <w:tcPr>
            <w:tcW w:w="10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30, 2023</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90" w:type="dxa"/>
            <w:tcBorders/>
            <w:shd w:fill="CCEEFF" w:val="clear"/>
            <w:vAlign w:val="bottom"/>
          </w:tcPr>
          <w:p>
            <w:pPr>
              <w:pStyle w:val="TableContents"/>
              <w:bidi w:val="0"/>
              <w:spacing w:before="0" w:after="283"/>
              <w:jc w:val="right"/>
              <w:rPr/>
            </w:pPr>
            <w:r>
              <w:rPr/>
              <w:t>43,416</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3" w:type="dxa"/>
            <w:tcBorders/>
            <w:shd w:fill="CCEEFF" w:val="clear"/>
            <w:vAlign w:val="bottom"/>
          </w:tcPr>
          <w:p>
            <w:pPr>
              <w:pStyle w:val="TableContents"/>
              <w:bidi w:val="0"/>
              <w:spacing w:before="0" w:after="283"/>
              <w:jc w:val="right"/>
              <w:rPr/>
            </w:pPr>
            <w:r>
              <w:rPr/>
              <w:t>157.06p</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764" w:type="dxa"/>
            <w:tcBorders/>
            <w:shd w:fill="CCEEFF" w:val="clear"/>
            <w:vAlign w:val="bottom"/>
          </w:tcPr>
          <w:p>
            <w:pPr>
              <w:pStyle w:val="TableContents"/>
              <w:bidi w:val="0"/>
              <w:spacing w:before="0" w:after="283"/>
              <w:jc w:val="right"/>
              <w:rPr/>
            </w:pPr>
            <w:r>
              <w:rPr/>
              <w:t>160.00p</w:t>
            </w:r>
          </w:p>
        </w:tc>
        <w:tc>
          <w:tcPr>
            <w:tcW w:w="5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736" w:type="dxa"/>
            <w:tcBorders/>
            <w:shd w:fill="CCEEFF" w:val="clear"/>
            <w:vAlign w:val="bottom"/>
          </w:tcPr>
          <w:p>
            <w:pPr>
              <w:pStyle w:val="TableContents"/>
              <w:bidi w:val="0"/>
              <w:spacing w:before="0" w:after="283"/>
              <w:jc w:val="right"/>
              <w:rPr/>
            </w:pPr>
            <w:r>
              <w:rPr/>
              <w:t>154.40p</w:t>
            </w:r>
          </w:p>
        </w:tc>
        <w:tc>
          <w:tcPr>
            <w:tcW w:w="65" w:type="dxa"/>
            <w:tcBorders/>
            <w:shd w:fill="CCEEFF" w:val="clear"/>
            <w:vAlign w:val="bottom"/>
          </w:tcPr>
          <w:p>
            <w:pPr>
              <w:pStyle w:val="TableContents"/>
              <w:bidi w:val="0"/>
              <w:spacing w:before="0" w:after="283"/>
              <w:jc w:val="left"/>
              <w:rPr/>
            </w:pPr>
            <w:r>
              <w:rPr/>
              <w:t> </w:t>
            </w:r>
          </w:p>
        </w:tc>
      </w:tr>
      <w:tr>
        <w:trPr/>
        <w:tc>
          <w:tcPr>
            <w:tcW w:w="1059" w:type="dxa"/>
            <w:tcBorders/>
          </w:tcPr>
          <w:p>
            <w:pPr>
              <w:pStyle w:val="TableContents"/>
              <w:bidi w:val="0"/>
              <w:spacing w:before="0" w:after="0"/>
              <w:jc w:val="left"/>
              <w:rPr>
                <w:rFonts w:ascii="Times New Roman" w:hAnsi="Times New Roman"/>
                <w:sz w:val="20"/>
              </w:rPr>
            </w:pPr>
            <w:r>
              <w:rPr>
                <w:rFonts w:ascii="Times New Roman" w:hAnsi="Times New Roman"/>
                <w:sz w:val="20"/>
              </w:rPr>
              <w:t>October 31, 2023</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90" w:type="dxa"/>
            <w:tcBorders/>
            <w:vAlign w:val="bottom"/>
          </w:tcPr>
          <w:p>
            <w:pPr>
              <w:pStyle w:val="TableContents"/>
              <w:bidi w:val="0"/>
              <w:spacing w:before="0" w:after="283"/>
              <w:jc w:val="right"/>
              <w:rPr/>
            </w:pPr>
            <w:r>
              <w:rPr/>
              <w:t>49,200</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3" w:type="dxa"/>
            <w:tcBorders/>
            <w:vAlign w:val="bottom"/>
          </w:tcPr>
          <w:p>
            <w:pPr>
              <w:pStyle w:val="TableContents"/>
              <w:bidi w:val="0"/>
              <w:spacing w:before="0" w:after="283"/>
              <w:jc w:val="right"/>
              <w:rPr/>
            </w:pPr>
            <w:r>
              <w:rPr/>
              <w:t>154.92 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64" w:type="dxa"/>
            <w:tcBorders/>
            <w:vAlign w:val="bottom"/>
          </w:tcPr>
          <w:p>
            <w:pPr>
              <w:pStyle w:val="TableContents"/>
              <w:bidi w:val="0"/>
              <w:spacing w:before="0" w:after="283"/>
              <w:jc w:val="right"/>
              <w:rPr/>
            </w:pPr>
            <w:r>
              <w:rPr/>
              <w:t>158.60 </w:t>
            </w:r>
          </w:p>
        </w:tc>
        <w:tc>
          <w:tcPr>
            <w:tcW w:w="5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36" w:type="dxa"/>
            <w:tcBorders/>
            <w:vAlign w:val="bottom"/>
          </w:tcPr>
          <w:p>
            <w:pPr>
              <w:pStyle w:val="TableContents"/>
              <w:bidi w:val="0"/>
              <w:spacing w:before="0" w:after="283"/>
              <w:jc w:val="right"/>
              <w:rPr/>
            </w:pPr>
            <w:r>
              <w:rPr/>
              <w:t>151.40 </w:t>
            </w:r>
          </w:p>
        </w:tc>
        <w:tc>
          <w:tcPr>
            <w:tcW w:w="6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month ended October 31, 2023, the Company repurchased an aggregate of 1,034,123 Ordinary Shares. As of October 31, 2023, the Companys issued share capital was 289,468,159 shares, 15,963,277 of which were held in treasury, resulting in total voting rights in the Company of 273,504,882 shares. To view the details of the individual transactions, please paste the following URL(s) into the address bar of your browser with respect to each individual date of repurchase under the Program: </w:t>
      </w:r>
    </w:p>
    <w:p>
      <w:pPr>
        <w:pStyle w:val="TextBody"/>
        <w:bidi w:val="0"/>
        <w:spacing w:before="240" w:after="0"/>
        <w:jc w:val="left"/>
        <w:rPr>
          <w:rFonts w:ascii="Times New Roman" w:hAnsi="Times New Roman"/>
          <w:sz w:val="20"/>
        </w:rPr>
      </w:pPr>
      <w:r>
        <w:rPr>
          <w:rFonts w:ascii="Times New Roman" w:hAnsi="Times New Roman"/>
          <w:sz w:val="20"/>
        </w:rPr>
        <w:t xml:space="preserve">October 2, 2023: </w:t>
      </w:r>
      <w:r>
        <w:rPr>
          <w:rFonts w:ascii="Times New Roman" w:hAnsi="Times New Roman"/>
          <w:sz w:val="20"/>
          <w:u w:val="single"/>
        </w:rPr>
        <w:t>https://data.fca.org.uk/artefacts/NSM/RNS/4919741.html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October 3, 2023: </w:t>
      </w:r>
      <w:r>
        <w:rPr>
          <w:rFonts w:ascii="Times New Roman" w:hAnsi="Times New Roman"/>
          <w:sz w:val="20"/>
          <w:u w:val="single"/>
        </w:rPr>
        <w:t>https://data.fca.org.uk/artefacts/NSM/RNS/4921189.html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October 4, 2023: </w:t>
      </w:r>
      <w:r>
        <w:rPr>
          <w:rFonts w:ascii="Times New Roman" w:hAnsi="Times New Roman"/>
          <w:sz w:val="20"/>
          <w:u w:val="single"/>
        </w:rPr>
        <w:t>https://data.fca.org.uk/artefacts/NSM/RNS/4922669.html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October 5, 2023: </w:t>
      </w:r>
      <w:r>
        <w:rPr>
          <w:rFonts w:ascii="Times New Roman" w:hAnsi="Times New Roman"/>
          <w:sz w:val="20"/>
          <w:u w:val="single"/>
        </w:rPr>
        <w:t>https://data.fca.org.uk/artefacts/NSM/RNS/4924284.html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October 6, 2023: </w:t>
      </w:r>
      <w:r>
        <w:rPr>
          <w:rFonts w:ascii="Times New Roman" w:hAnsi="Times New Roman"/>
          <w:sz w:val="20"/>
          <w:u w:val="single"/>
        </w:rPr>
        <w:t>https://data.fca.org.uk/artefacts/NSM/RNS/4925776.html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October 9, 2023: </w:t>
      </w:r>
      <w:r>
        <w:rPr>
          <w:rFonts w:ascii="Times New Roman" w:hAnsi="Times New Roman"/>
          <w:sz w:val="20"/>
          <w:u w:val="single"/>
        </w:rPr>
        <w:t>https://data.fca.org.uk/artefacts/NSM/RNS/4930129.html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October 10, 2023: </w:t>
      </w:r>
      <w:r>
        <w:rPr>
          <w:rFonts w:ascii="Times New Roman" w:hAnsi="Times New Roman"/>
          <w:sz w:val="20"/>
          <w:u w:val="single"/>
        </w:rPr>
        <w:t>https://data.fca.org.uk/artefacts/NSM/RNS/4932303.html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October 11, 2023: </w:t>
      </w:r>
      <w:r>
        <w:rPr>
          <w:rFonts w:ascii="Times New Roman" w:hAnsi="Times New Roman"/>
          <w:sz w:val="20"/>
          <w:u w:val="single"/>
        </w:rPr>
        <w:t>https://data.fca.org.uk/artefacts/NSM/RNS/4933862.html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October 12, 2023: </w:t>
      </w:r>
      <w:r>
        <w:rPr>
          <w:rFonts w:ascii="Times New Roman" w:hAnsi="Times New Roman"/>
          <w:sz w:val="20"/>
          <w:u w:val="single"/>
        </w:rPr>
        <w:t>https://data.fca.org.uk/artefacts/NSM/RNS/4935287.html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October 13, 2023: </w:t>
      </w:r>
      <w:r>
        <w:rPr>
          <w:rFonts w:ascii="Times New Roman" w:hAnsi="Times New Roman"/>
          <w:sz w:val="20"/>
          <w:u w:val="single"/>
        </w:rPr>
        <w:t>https://data.fca.org.uk/artefacts/NSM/RNS/4936760.html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October 16, 2023: </w:t>
      </w:r>
      <w:r>
        <w:rPr>
          <w:rFonts w:ascii="Times New Roman" w:hAnsi="Times New Roman"/>
          <w:sz w:val="20"/>
          <w:u w:val="single"/>
        </w:rPr>
        <w:t>https://data.fca.org.uk/artefacts/NSM/RNS/4938299.html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October 17, 2023: </w:t>
      </w:r>
      <w:r>
        <w:rPr>
          <w:rFonts w:ascii="Times New Roman" w:hAnsi="Times New Roman"/>
          <w:sz w:val="20"/>
          <w:u w:val="single"/>
        </w:rPr>
        <w:t>https://data.fca.org.uk/artefacts/NSM/RNS/4939799.html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October 18, 2023: </w:t>
      </w:r>
      <w:r>
        <w:rPr>
          <w:rFonts w:ascii="Times New Roman" w:hAnsi="Times New Roman"/>
          <w:sz w:val="20"/>
          <w:u w:val="single"/>
        </w:rPr>
        <w:t>https://data.fca.org.uk/artefacts/NSM/RNS/4941258.html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October 19, 2023: </w:t>
      </w:r>
      <w:r>
        <w:rPr>
          <w:rFonts w:ascii="Times New Roman" w:hAnsi="Times New Roman"/>
          <w:sz w:val="20"/>
          <w:u w:val="single"/>
        </w:rPr>
        <w:t>https://data.fca.org.uk/artefacts/NSM/RNS/4942641.html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October 20, 2023: </w:t>
      </w:r>
      <w:r>
        <w:rPr>
          <w:rFonts w:ascii="Times New Roman" w:hAnsi="Times New Roman"/>
          <w:sz w:val="20"/>
          <w:u w:val="single"/>
        </w:rPr>
        <w:t>https://data.fca.org.uk/artefacts/NSM/RNS/4944071.html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October 23, 2023: </w:t>
      </w:r>
      <w:r>
        <w:rPr>
          <w:rFonts w:ascii="Times New Roman" w:hAnsi="Times New Roman"/>
          <w:sz w:val="20"/>
          <w:u w:val="single"/>
        </w:rPr>
        <w:t>https://data.fca.org.uk/artefacts/NSM/RNS/4945524.html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October 24, 2023: </w:t>
      </w:r>
      <w:r>
        <w:rPr>
          <w:rFonts w:ascii="Times New Roman" w:hAnsi="Times New Roman"/>
          <w:sz w:val="20"/>
          <w:u w:val="single"/>
        </w:rPr>
        <w:t>https://data.fca.org.uk/artefacts/NSM/RNS/4947041.html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October 25, 2023: </w:t>
      </w:r>
      <w:r>
        <w:rPr>
          <w:rFonts w:ascii="Times New Roman" w:hAnsi="Times New Roman"/>
          <w:sz w:val="20"/>
          <w:u w:val="single"/>
        </w:rPr>
        <w:t>https://data.fca.org.uk/artefacts/NSM/RNS/4948489.html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October 26, 2023: </w:t>
      </w:r>
      <w:r>
        <w:rPr>
          <w:rFonts w:ascii="Times New Roman" w:hAnsi="Times New Roman"/>
          <w:sz w:val="20"/>
          <w:u w:val="single"/>
        </w:rPr>
        <w:t>https://data.fca.org.uk/artefacts/NSM/RNS/4949985.html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October 27, 2023: </w:t>
      </w:r>
      <w:r>
        <w:rPr>
          <w:rFonts w:ascii="Times New Roman" w:hAnsi="Times New Roman"/>
          <w:sz w:val="20"/>
          <w:u w:val="single"/>
        </w:rPr>
        <w:t>https://data.fca.org.uk/artefacts/NSM/RNS/4951458.html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October 30, 2023: </w:t>
      </w:r>
      <w:r>
        <w:rPr>
          <w:rFonts w:ascii="Times New Roman" w:hAnsi="Times New Roman"/>
          <w:sz w:val="20"/>
          <w:u w:val="single"/>
        </w:rPr>
        <w:t>https://data.fca.org.uk/artefacts/NSM/RNS/4952977.html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October 31, 2023: </w:t>
      </w:r>
      <w:r>
        <w:rPr>
          <w:rFonts w:ascii="Times New Roman" w:hAnsi="Times New Roman"/>
          <w:sz w:val="20"/>
          <w:u w:val="single"/>
        </w:rPr>
        <w:t>https://data.fca.org.uk/artefacts/NSM/RNS/4954599.html</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63"/>
        <w:gridCol w:w="108"/>
        <w:gridCol w:w="450"/>
        <w:gridCol w:w="108"/>
        <w:gridCol w:w="606"/>
        <w:gridCol w:w="108"/>
        <w:gridCol w:w="4462"/>
      </w:tblGrid>
      <w:tr>
        <w:trPr/>
        <w:tc>
          <w:tcPr>
            <w:tcW w:w="436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462" w:type="dxa"/>
            <w:tcBorders/>
            <w:vAlign w:val="center"/>
          </w:tcPr>
          <w:p>
            <w:pPr>
              <w:pStyle w:val="TableContents"/>
              <w:bidi w:val="0"/>
              <w:spacing w:before="0" w:after="283"/>
              <w:jc w:val="left"/>
              <w:rPr>
                <w:sz w:val="4"/>
                <w:szCs w:val="4"/>
              </w:rPr>
            </w:pPr>
            <w:r>
              <w:rPr>
                <w:sz w:val="4"/>
                <w:szCs w:val="4"/>
              </w:rPr>
            </w:r>
          </w:p>
        </w:tc>
      </w:tr>
      <w:tr>
        <w:trPr/>
        <w:tc>
          <w:tcPr>
            <w:tcW w:w="436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734" w:type="dxa"/>
            <w:gridSpan w:val="5"/>
            <w:tcBorders/>
          </w:tcPr>
          <w:p>
            <w:pPr>
              <w:pStyle w:val="TableContents"/>
              <w:bidi w:val="0"/>
              <w:spacing w:before="0" w:after="283"/>
              <w:jc w:val="left"/>
              <w:rPr/>
            </w:pPr>
            <w:r>
              <w:rPr/>
              <w:t>PURETECH HEALTH PLC</w:t>
            </w:r>
          </w:p>
        </w:tc>
      </w:tr>
      <w:tr>
        <w:trPr>
          <w:trHeight w:val="240" w:hRule="atLeast"/>
        </w:trPr>
        <w:tc>
          <w:tcPr>
            <w:tcW w:w="4363" w:type="dxa"/>
            <w:tcBorders/>
            <w:vAlign w:val="center"/>
          </w:tcPr>
          <w:p>
            <w:pPr>
              <w:pStyle w:val="TableContents"/>
              <w:bidi w:val="0"/>
              <w:spacing w:before="0" w:after="283"/>
              <w:jc w:val="left"/>
              <w:rPr>
                <w:sz w:val="4"/>
                <w:szCs w:val="4"/>
              </w:rPr>
            </w:pPr>
            <w:r>
              <w:rPr>
                <w:sz w:val="4"/>
                <w:szCs w:val="4"/>
              </w:rPr>
            </w:r>
          </w:p>
        </w:tc>
        <w:tc>
          <w:tcPr>
            <w:tcW w:w="558" w:type="dxa"/>
            <w:gridSpan w:val="2"/>
            <w:tcBorders/>
            <w:vAlign w:val="center"/>
          </w:tcPr>
          <w:p>
            <w:pPr>
              <w:pStyle w:val="TableContents"/>
              <w:bidi w:val="0"/>
              <w:spacing w:before="0" w:after="283"/>
              <w:jc w:val="left"/>
              <w:rPr>
                <w:sz w:val="4"/>
                <w:szCs w:val="4"/>
              </w:rPr>
            </w:pPr>
            <w:r>
              <w:rPr>
                <w:sz w:val="4"/>
                <w:szCs w:val="4"/>
              </w:rPr>
            </w:r>
          </w:p>
        </w:tc>
        <w:tc>
          <w:tcPr>
            <w:tcW w:w="5284" w:type="dxa"/>
            <w:gridSpan w:val="4"/>
            <w:tcBorders/>
            <w:vAlign w:val="center"/>
          </w:tcPr>
          <w:p>
            <w:pPr>
              <w:pStyle w:val="TableContents"/>
              <w:bidi w:val="0"/>
              <w:spacing w:before="0" w:after="283"/>
              <w:jc w:val="left"/>
              <w:rPr>
                <w:sz w:val="4"/>
                <w:szCs w:val="4"/>
              </w:rPr>
            </w:pPr>
            <w:r>
              <w:rPr>
                <w:sz w:val="4"/>
                <w:szCs w:val="4"/>
              </w:rPr>
            </w:r>
          </w:p>
        </w:tc>
      </w:tr>
      <w:tr>
        <w:trPr/>
        <w:tc>
          <w:tcPr>
            <w:tcW w:w="4363" w:type="dxa"/>
            <w:tcBorders/>
          </w:tcPr>
          <w:p>
            <w:pPr>
              <w:pStyle w:val="TableContents"/>
              <w:bidi w:val="0"/>
              <w:spacing w:before="0" w:after="283"/>
              <w:jc w:val="left"/>
              <w:rPr/>
            </w:pPr>
            <w:r>
              <w:rPr/>
              <w:t>Date: November 2, 2023</w:t>
            </w:r>
          </w:p>
        </w:tc>
        <w:tc>
          <w:tcPr>
            <w:tcW w:w="108" w:type="dxa"/>
            <w:tcBorders/>
            <w:vAlign w:val="bottom"/>
          </w:tcPr>
          <w:p>
            <w:pPr>
              <w:pStyle w:val="TableContents"/>
              <w:bidi w:val="0"/>
              <w:spacing w:before="0" w:after="283"/>
              <w:jc w:val="left"/>
              <w:rPr/>
            </w:pPr>
            <w:r>
              <w:rPr/>
              <w:t> </w:t>
            </w:r>
          </w:p>
        </w:tc>
        <w:tc>
          <w:tcPr>
            <w:tcW w:w="450" w:type="dxa"/>
            <w:tcBorders/>
          </w:tcPr>
          <w:p>
            <w:pPr>
              <w:pStyle w:val="TableContents"/>
              <w:bidi w:val="0"/>
              <w:spacing w:before="0" w:after="283"/>
              <w:jc w:val="left"/>
              <w:rPr/>
            </w:pPr>
            <w:r>
              <w:rPr/>
              <w:t>By:</w:t>
            </w:r>
          </w:p>
        </w:tc>
        <w:tc>
          <w:tcPr>
            <w:tcW w:w="108" w:type="dxa"/>
            <w:tcBorders/>
            <w:vAlign w:val="bottom"/>
          </w:tcPr>
          <w:p>
            <w:pPr>
              <w:pStyle w:val="TableContents"/>
              <w:bidi w:val="0"/>
              <w:spacing w:before="0" w:after="283"/>
              <w:jc w:val="left"/>
              <w:rPr/>
            </w:pPr>
            <w:r>
              <w:rPr/>
              <w:t> </w:t>
            </w:r>
          </w:p>
        </w:tc>
        <w:tc>
          <w:tcPr>
            <w:tcW w:w="5176"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Daphne Zohar</w:t>
            </w:r>
          </w:p>
        </w:tc>
      </w:tr>
      <w:tr>
        <w:trPr/>
        <w:tc>
          <w:tcPr>
            <w:tcW w:w="436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50"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6" w:type="dxa"/>
            <w:tcBorders/>
          </w:tcPr>
          <w:p>
            <w:pPr>
              <w:pStyle w:val="TableContents"/>
              <w:bidi w:val="0"/>
              <w:spacing w:before="0" w:after="283"/>
              <w:jc w:val="left"/>
              <w:rPr/>
            </w:pPr>
            <w:r>
              <w:rPr/>
              <w:t>Name:</w:t>
            </w:r>
          </w:p>
        </w:tc>
        <w:tc>
          <w:tcPr>
            <w:tcW w:w="108" w:type="dxa"/>
            <w:tcBorders/>
            <w:vAlign w:val="bottom"/>
          </w:tcPr>
          <w:p>
            <w:pPr>
              <w:pStyle w:val="TableContents"/>
              <w:bidi w:val="0"/>
              <w:spacing w:before="0" w:after="283"/>
              <w:jc w:val="left"/>
              <w:rPr/>
            </w:pPr>
            <w:r>
              <w:rPr/>
              <w:t> </w:t>
            </w:r>
          </w:p>
        </w:tc>
        <w:tc>
          <w:tcPr>
            <w:tcW w:w="4462" w:type="dxa"/>
            <w:tcBorders/>
          </w:tcPr>
          <w:p>
            <w:pPr>
              <w:pStyle w:val="TableContents"/>
              <w:bidi w:val="0"/>
              <w:spacing w:before="0" w:after="283"/>
              <w:jc w:val="left"/>
              <w:rPr/>
            </w:pPr>
            <w:r>
              <w:rPr/>
              <w:t>Daphne Zohar</w:t>
            </w:r>
          </w:p>
        </w:tc>
      </w:tr>
      <w:tr>
        <w:trPr/>
        <w:tc>
          <w:tcPr>
            <w:tcW w:w="436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50"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6" w:type="dxa"/>
            <w:tcBorders/>
          </w:tcPr>
          <w:p>
            <w:pPr>
              <w:pStyle w:val="TableContents"/>
              <w:bidi w:val="0"/>
              <w:spacing w:before="0" w:after="283"/>
              <w:jc w:val="left"/>
              <w:rPr/>
            </w:pPr>
            <w:r>
              <w:rPr/>
              <w:t>Title:</w:t>
            </w:r>
          </w:p>
        </w:tc>
        <w:tc>
          <w:tcPr>
            <w:tcW w:w="108" w:type="dxa"/>
            <w:tcBorders/>
            <w:vAlign w:val="bottom"/>
          </w:tcPr>
          <w:p>
            <w:pPr>
              <w:pStyle w:val="TableContents"/>
              <w:bidi w:val="0"/>
              <w:spacing w:before="0" w:after="283"/>
              <w:jc w:val="left"/>
              <w:rPr/>
            </w:pPr>
            <w:r>
              <w:rPr/>
              <w:t> </w:t>
            </w:r>
          </w:p>
        </w:tc>
        <w:tc>
          <w:tcPr>
            <w:tcW w:w="4462" w:type="dxa"/>
            <w:tcBorders/>
          </w:tcPr>
          <w:p>
            <w:pPr>
              <w:pStyle w:val="TableContents"/>
              <w:bidi w:val="0"/>
              <w:spacing w:before="0" w:after="283"/>
              <w:jc w:val="left"/>
              <w:rPr/>
            </w:pPr>
            <w:r>
              <w:rPr/>
              <w:t>Chief Executive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853</Words>
  <Characters>5585</Characters>
  <CharactersWithSpaces>6689</CharactersWithSpaces>
  <Paragraphs>467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6-K</dc:title>
</cp:coreProperties>
</file>