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PureTech Health plc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60" w:type="dxa"/>
            <w:vAlign w:val="bottom"/>
            <w:tcBorders>
              <w:top w:val="single" w:sz="8" w:color="0000EE"/>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01/13/2022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GELESIS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NYSE: GLS</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 TIDE STREET, SUITE 400</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BOSTON</w:t>
            </w:r>
          </w:p>
        </w:tc>
        <w:tc>
          <w:tcPr>
            <w:tcW w:w="860" w:type="dxa"/>
            <w:vAlign w:val="bottom"/>
          </w:tcPr>
          <w:p>
            <w:pPr>
              <w:ind w:left="120"/>
              <w:spacing w:after="0"/>
              <w:rPr>
                <w:sz w:val="20"/>
                <w:szCs w:val="20"/>
                <w:color w:val="auto"/>
              </w:rPr>
            </w:pPr>
            <w:r>
              <w:rPr>
                <w:rFonts w:ascii="Arial" w:cs="Arial" w:eastAsia="Arial" w:hAnsi="Arial"/>
                <w:sz w:val="20"/>
                <w:szCs w:val="20"/>
                <w:color w:val="0000FF"/>
              </w:rPr>
              <w:t>MA</w:t>
            </w:r>
          </w:p>
        </w:tc>
        <w:tc>
          <w:tcPr>
            <w:tcW w:w="1300" w:type="dxa"/>
            <w:vAlign w:val="bottom"/>
          </w:tcPr>
          <w:p>
            <w:pPr>
              <w:ind w:left="300"/>
              <w:spacing w:after="0"/>
              <w:rPr>
                <w:sz w:val="20"/>
                <w:szCs w:val="20"/>
                <w:color w:val="auto"/>
              </w:rPr>
            </w:pPr>
            <w:r>
              <w:rPr>
                <w:rFonts w:ascii="Arial" w:cs="Arial" w:eastAsia="Arial" w:hAnsi="Arial"/>
                <w:sz w:val="20"/>
                <w:szCs w:val="20"/>
                <w:color w:val="0000FF"/>
              </w:rPr>
              <w:t>02210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7"/>
              </w:rPr>
              <w:t>Common Stock</w:t>
            </w: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00"/>
              <w:spacing w:after="0"/>
              <w:rPr>
                <w:sz w:val="20"/>
                <w:szCs w:val="20"/>
                <w:color w:val="auto"/>
              </w:rPr>
            </w:pPr>
            <w:r>
              <w:rPr>
                <w:rFonts w:ascii="Arial" w:cs="Arial" w:eastAsia="Arial" w:hAnsi="Arial"/>
                <w:sz w:val="20"/>
                <w:szCs w:val="20"/>
                <w:color w:val="0000FF"/>
              </w:rPr>
              <w:t>16,727,582</w:t>
            </w:r>
          </w:p>
        </w:tc>
        <w:tc>
          <w:tcPr>
            <w:tcW w:w="920" w:type="dxa"/>
            <w:vAlign w:val="bottom"/>
            <w:tcBorders>
              <w:bottom w:val="single" w:sz="8" w:color="2C2C2C"/>
            </w:tcBorders>
          </w:tcPr>
          <w:p>
            <w:pPr>
              <w:ind w:left="820"/>
              <w:spacing w:after="0"/>
              <w:rPr>
                <w:sz w:val="20"/>
                <w:szCs w:val="20"/>
                <w:color w:val="auto"/>
              </w:rPr>
            </w:pPr>
            <w:r>
              <w:rPr>
                <w:rFonts w:ascii="Arial" w:cs="Arial" w:eastAsia="Arial" w:hAnsi="Arial"/>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w w:val="97"/>
              </w:rPr>
              <w:t>See footnote</w:t>
            </w:r>
            <w:r>
              <w:rPr>
                <w:rFonts w:ascii="Arial" w:cs="Arial" w:eastAsia="Arial" w:hAnsi="Arial"/>
                <w:sz w:val="25"/>
                <w:szCs w:val="25"/>
                <w:color w:val="008000"/>
                <w:w w:val="97"/>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7"/>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tcBorders>
              <w:bottom w:val="single" w:sz="8" w:color="2C2C2C"/>
            </w:tcBorders>
            <w:gridSpan w:val="2"/>
          </w:tcPr>
          <w:p>
            <w:pPr>
              <w:ind w:left="600"/>
              <w:spacing w:after="0"/>
              <w:rPr>
                <w:sz w:val="20"/>
                <w:szCs w:val="20"/>
                <w:color w:val="auto"/>
              </w:rPr>
            </w:pPr>
            <w:r>
              <w:rPr>
                <w:rFonts w:ascii="Arial" w:cs="Arial" w:eastAsia="Arial" w:hAnsi="Arial"/>
                <w:sz w:val="13"/>
                <w:szCs w:val="13"/>
                <w:color w:val="008000"/>
              </w:rPr>
              <w:t>(2)</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5"/>
                <w:szCs w:val="15"/>
                <w:color w:val="0000FF"/>
                <w:w w:val="93"/>
              </w:rPr>
              <w:t>06/15/2027</w:t>
            </w:r>
          </w:p>
        </w:tc>
        <w:tc>
          <w:tcPr>
            <w:tcW w:w="18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77,760</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20"/>
                <w:szCs w:val="20"/>
                <w:color w:val="0000FF"/>
                <w:w w:val="87"/>
              </w:rPr>
              <w:t>4.05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Stock Option (Right to Buy)</w:t>
            </w:r>
          </w:p>
        </w:tc>
        <w:tc>
          <w:tcPr>
            <w:tcW w:w="1160" w:type="dxa"/>
            <w:vAlign w:val="bottom"/>
            <w:tcBorders>
              <w:bottom w:val="single" w:sz="8" w:color="2C2C2C"/>
            </w:tcBorders>
            <w:gridSpan w:val="2"/>
          </w:tcPr>
          <w:p>
            <w:pPr>
              <w:ind w:left="600"/>
              <w:spacing w:after="0"/>
              <w:rPr>
                <w:sz w:val="20"/>
                <w:szCs w:val="20"/>
                <w:color w:val="auto"/>
              </w:rPr>
            </w:pPr>
            <w:r>
              <w:rPr>
                <w:rFonts w:ascii="Arial" w:cs="Arial" w:eastAsia="Arial" w:hAnsi="Arial"/>
                <w:sz w:val="13"/>
                <w:szCs w:val="13"/>
                <w:color w:val="008000"/>
              </w:rPr>
              <w:t>(3)</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5"/>
                <w:szCs w:val="15"/>
                <w:color w:val="0000FF"/>
                <w:w w:val="93"/>
              </w:rPr>
              <w:t>07/17/2028</w:t>
            </w:r>
          </w:p>
        </w:tc>
        <w:tc>
          <w:tcPr>
            <w:tcW w:w="18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77,760</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20"/>
                <w:szCs w:val="20"/>
                <w:color w:val="0000FF"/>
                <w:w w:val="87"/>
              </w:rPr>
              <w:t>4.05</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rPr>
              <w:t>Stock Warrant</w:t>
            </w: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0"/>
              <w:spacing w:after="0"/>
              <w:rPr>
                <w:sz w:val="20"/>
                <w:szCs w:val="20"/>
                <w:color w:val="auto"/>
              </w:rPr>
            </w:pPr>
            <w:r>
              <w:rPr>
                <w:rFonts w:ascii="Arial" w:cs="Arial" w:eastAsia="Arial" w:hAnsi="Arial"/>
                <w:sz w:val="13"/>
                <w:szCs w:val="13"/>
                <w:color w:val="008000"/>
              </w:rPr>
              <w:t>(4)</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5"/>
                <w:szCs w:val="15"/>
                <w:color w:val="0000FF"/>
                <w:w w:val="93"/>
              </w:rPr>
              <w:t>08/16/2023</w:t>
            </w:r>
          </w:p>
        </w:tc>
        <w:tc>
          <w:tcPr>
            <w:tcW w:w="18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8"/>
              </w:rPr>
              <w:t>216,208</w:t>
            </w:r>
          </w:p>
        </w:tc>
        <w:tc>
          <w:tcPr>
            <w:tcW w:w="980" w:type="dxa"/>
            <w:vAlign w:val="bottom"/>
            <w:tcBorders>
              <w:bottom w:val="single" w:sz="8" w:color="2C2C2C"/>
            </w:tcBorders>
            <w:gridSpan w:val="2"/>
          </w:tcPr>
          <w:p>
            <w:pPr>
              <w:jc w:val="center"/>
              <w:spacing w:after="0"/>
              <w:rPr>
                <w:sz w:val="20"/>
                <w:szCs w:val="20"/>
                <w:color w:val="auto"/>
              </w:rPr>
            </w:pPr>
            <w:r>
              <w:rPr>
                <w:rFonts w:ascii="Arial" w:cs="Arial" w:eastAsia="Arial" w:hAnsi="Arial"/>
                <w:sz w:val="20"/>
                <w:szCs w:val="20"/>
                <w:color w:val="0000FF"/>
                <w:w w:val="87"/>
              </w:rPr>
              <w:t>0.02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84"/>
              </w:rPr>
              <w:t>Earnout Shares</w:t>
            </w:r>
            <w:r>
              <w:rPr>
                <w:rFonts w:ascii="Arial" w:cs="Arial" w:eastAsia="Arial" w:hAnsi="Arial"/>
                <w:sz w:val="25"/>
                <w:szCs w:val="25"/>
                <w:color w:val="008000"/>
                <w:w w:val="84"/>
                <w:vertAlign w:val="superscript"/>
              </w:rPr>
              <w:t>(5)</w:t>
            </w: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0"/>
              <w:spacing w:after="0"/>
              <w:rPr>
                <w:sz w:val="20"/>
                <w:szCs w:val="20"/>
                <w:color w:val="auto"/>
              </w:rPr>
            </w:pPr>
            <w:r>
              <w:rPr>
                <w:rFonts w:ascii="Arial" w:cs="Arial" w:eastAsia="Arial" w:hAnsi="Arial"/>
                <w:sz w:val="13"/>
                <w:szCs w:val="13"/>
                <w:color w:val="008000"/>
              </w:rPr>
              <w:t>(5)</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3"/>
                <w:szCs w:val="13"/>
                <w:color w:val="008000"/>
                <w:w w:val="87"/>
              </w:rPr>
              <w:t>(5)</w:t>
            </w:r>
          </w:p>
        </w:tc>
        <w:tc>
          <w:tcPr>
            <w:tcW w:w="182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7"/>
              </w:rPr>
              <w:t>4,526,622</w:t>
            </w:r>
          </w:p>
        </w:tc>
        <w:tc>
          <w:tcPr>
            <w:tcW w:w="600" w:type="dxa"/>
            <w:vAlign w:val="bottom"/>
            <w:tcBorders>
              <w:bottom w:val="single" w:sz="8" w:color="2C2C2C"/>
            </w:tcBorders>
          </w:tcPr>
          <w:p>
            <w:pPr>
              <w:jc w:val="center"/>
              <w:ind w:left="319"/>
              <w:spacing w:after="0"/>
              <w:rPr>
                <w:sz w:val="20"/>
                <w:szCs w:val="20"/>
                <w:color w:val="auto"/>
              </w:rPr>
            </w:pPr>
            <w:r>
              <w:rPr>
                <w:rFonts w:ascii="Arial" w:cs="Arial" w:eastAsia="Arial" w:hAnsi="Arial"/>
                <w:sz w:val="13"/>
                <w:szCs w:val="13"/>
                <w:color w:val="008000"/>
              </w:rPr>
              <w:t>(5)</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92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PureTech Health plc</w:t>
              </w:r>
            </w:hyperlink>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60"/>
              <w:spacing w:after="0"/>
              <w:rPr>
                <w:sz w:val="20"/>
                <w:szCs w:val="20"/>
                <w:color w:val="auto"/>
              </w:rPr>
            </w:pPr>
            <w:r>
              <w:rPr>
                <w:rFonts w:ascii="Arial" w:cs="Arial" w:eastAsia="Arial" w:hAnsi="Arial"/>
                <w:sz w:val="15"/>
                <w:szCs w:val="15"/>
                <w:color w:val="auto"/>
              </w:rPr>
              <w:t>(First)</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Arial" w:cs="Arial" w:eastAsia="Arial" w:hAnsi="Arial"/>
                <w:sz w:val="20"/>
                <w:szCs w:val="20"/>
                <w:color w:val="0000FF"/>
              </w:rPr>
              <w:t>6 TIDE STREET, SUITE 400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20"/>
                <w:szCs w:val="20"/>
                <w:color w:val="0000FF"/>
              </w:rPr>
              <w:t>BOSTON</w:t>
            </w:r>
          </w:p>
        </w:tc>
        <w:tc>
          <w:tcPr>
            <w:tcW w:w="1320" w:type="dxa"/>
            <w:vAlign w:val="bottom"/>
            <w:gridSpan w:val="3"/>
          </w:tcPr>
          <w:p>
            <w:pPr>
              <w:ind w:left="60"/>
              <w:spacing w:after="0"/>
              <w:rPr>
                <w:sz w:val="20"/>
                <w:szCs w:val="20"/>
                <w:color w:val="auto"/>
              </w:rPr>
            </w:pPr>
            <w:r>
              <w:rPr>
                <w:rFonts w:ascii="Arial" w:cs="Arial" w:eastAsia="Arial" w:hAnsi="Arial"/>
                <w:sz w:val="20"/>
                <w:szCs w:val="20"/>
                <w:color w:val="0000FF"/>
              </w:rPr>
              <w:t>MA</w:t>
            </w:r>
          </w:p>
        </w:tc>
        <w:tc>
          <w:tcPr>
            <w:tcW w:w="1160" w:type="dxa"/>
            <w:vAlign w:val="bottom"/>
            <w:gridSpan w:val="2"/>
          </w:tcPr>
          <w:p>
            <w:pPr>
              <w:ind w:left="120"/>
              <w:spacing w:after="0"/>
              <w:rPr>
                <w:sz w:val="20"/>
                <w:szCs w:val="20"/>
                <w:color w:val="auto"/>
              </w:rPr>
            </w:pPr>
            <w:r>
              <w:rPr>
                <w:rFonts w:ascii="Arial" w:cs="Arial" w:eastAsia="Arial" w:hAnsi="Arial"/>
                <w:sz w:val="20"/>
                <w:szCs w:val="20"/>
                <w:color w:val="0000FF"/>
              </w:rPr>
              <w:t>02210</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3"/>
          </w:tcPr>
          <w:p>
            <w:pPr>
              <w:ind w:left="60"/>
              <w:spacing w:after="0"/>
              <w:rPr>
                <w:sz w:val="20"/>
                <w:szCs w:val="20"/>
                <w:color w:val="auto"/>
              </w:rPr>
            </w:pPr>
            <w:r>
              <w:rPr>
                <w:rFonts w:ascii="Arial" w:cs="Arial" w:eastAsia="Arial" w:hAnsi="Arial"/>
                <w:sz w:val="15"/>
                <w:szCs w:val="15"/>
                <w:color w:val="auto"/>
              </w:rPr>
              <w:t>(State)</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92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PureTech Health LLC</w:t>
              </w:r>
            </w:hyperlink>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3"/>
          </w:tcPr>
          <w:p>
            <w:pPr>
              <w:ind w:left="60"/>
              <w:spacing w:after="0"/>
              <w:rPr>
                <w:sz w:val="20"/>
                <w:szCs w:val="20"/>
                <w:color w:val="auto"/>
              </w:rPr>
            </w:pPr>
            <w:r>
              <w:rPr>
                <w:rFonts w:ascii="Arial" w:cs="Arial" w:eastAsia="Arial" w:hAnsi="Arial"/>
                <w:sz w:val="15"/>
                <w:szCs w:val="15"/>
                <w:color w:val="auto"/>
              </w:rPr>
              <w:t>(First)</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Arial" w:cs="Arial" w:eastAsia="Arial" w:hAnsi="Arial"/>
                <w:sz w:val="20"/>
                <w:szCs w:val="20"/>
                <w:color w:val="0000FF"/>
              </w:rPr>
              <w:t>6 TIDE STREET, SUITE 400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20"/>
                <w:szCs w:val="20"/>
                <w:color w:val="0000FF"/>
              </w:rPr>
              <w:t>BOSTON</w:t>
            </w:r>
          </w:p>
        </w:tc>
        <w:tc>
          <w:tcPr>
            <w:tcW w:w="1320" w:type="dxa"/>
            <w:vAlign w:val="bottom"/>
            <w:gridSpan w:val="3"/>
          </w:tcPr>
          <w:p>
            <w:pPr>
              <w:ind w:left="60"/>
              <w:spacing w:after="0"/>
              <w:rPr>
                <w:sz w:val="20"/>
                <w:szCs w:val="20"/>
                <w:color w:val="auto"/>
              </w:rPr>
            </w:pPr>
            <w:r>
              <w:rPr>
                <w:rFonts w:ascii="Arial" w:cs="Arial" w:eastAsia="Arial" w:hAnsi="Arial"/>
                <w:sz w:val="20"/>
                <w:szCs w:val="20"/>
                <w:color w:val="0000FF"/>
              </w:rPr>
              <w:t>MA</w:t>
            </w:r>
          </w:p>
        </w:tc>
        <w:tc>
          <w:tcPr>
            <w:tcW w:w="1160" w:type="dxa"/>
            <w:vAlign w:val="bottom"/>
            <w:gridSpan w:val="2"/>
          </w:tcPr>
          <w:p>
            <w:pPr>
              <w:ind w:left="120"/>
              <w:spacing w:after="0"/>
              <w:rPr>
                <w:sz w:val="20"/>
                <w:szCs w:val="20"/>
                <w:color w:val="auto"/>
              </w:rPr>
            </w:pPr>
            <w:r>
              <w:rPr>
                <w:rFonts w:ascii="Arial" w:cs="Arial" w:eastAsia="Arial" w:hAnsi="Arial"/>
                <w:sz w:val="20"/>
                <w:szCs w:val="20"/>
                <w:color w:val="0000FF"/>
              </w:rPr>
              <w:t>02210</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2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PureTech Health LLC directly holds all of the securities reported in this Form 3. PureTech Health plc is the parent company of PureTech Health LLC, and has the power to direct the voting and disposition of securities held by PureTech Health LLC.</w:t>
      </w:r>
    </w:p>
    <w:p>
      <w:pPr>
        <w:spacing w:after="0" w:line="26"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is currently vested and exercisable.</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stock option is currently vested and exercisable.</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warrant is currently exercisable.</w:t>
      </w:r>
    </w:p>
    <w:p>
      <w:pPr>
        <w:spacing w:after="0" w:line="52" w:lineRule="exact"/>
        <w:rPr>
          <w:rFonts w:ascii="Arial" w:cs="Arial" w:eastAsia="Arial" w:hAnsi="Arial"/>
          <w:sz w:val="15"/>
          <w:szCs w:val="15"/>
          <w:color w:val="008000"/>
        </w:rPr>
      </w:pPr>
    </w:p>
    <w:p>
      <w:pPr>
        <w:ind w:firstLine="5"/>
        <w:spacing w:after="0" w:line="291"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On January 13, 2022, the reporting person received the right to acquire certain shares of the Issuer's Common Stock (the "Earnout Shares") pursuant to the Business Combination Agreement ("BCA") dated as of July 19, 2021, as amended on November 8, 2021, by and among Capstar Special Purpose Acquisition Corp., CPSR Merger Sub and Gelesis, Inc. ("Private Gelesis"). The Earnout Shares shall vest and be released upon the satisfaction of certain share price vesting conditions prior to January 13, 2027, as set forth in the BCA.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Daphne Zohar</w:t>
            </w:r>
          </w:p>
        </w:tc>
        <w:tc>
          <w:tcPr>
            <w:tcW w:w="900" w:type="dxa"/>
            <w:vAlign w:val="bottom"/>
          </w:tcPr>
          <w:p>
            <w:pPr>
              <w:spacing w:after="0"/>
              <w:rPr>
                <w:sz w:val="20"/>
                <w:szCs w:val="20"/>
                <w:color w:val="auto"/>
              </w:rPr>
            </w:pPr>
            <w:r>
              <w:rPr>
                <w:rFonts w:ascii="Arial" w:cs="Arial" w:eastAsia="Arial" w:hAnsi="Arial"/>
                <w:sz w:val="20"/>
                <w:szCs w:val="20"/>
                <w:color w:val="0000FF"/>
                <w:w w:val="87"/>
              </w:rPr>
              <w:t>01/21/2022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82999" TargetMode="External"/><Relationship Id="rId11" Type="http://schemas.openxmlformats.org/officeDocument/2006/relationships/hyperlink" Target="http://www.sec.gov/cgi-bin/browse-edgar?action=getcompany&amp;CIK=0001805087" TargetMode="External"/><Relationship Id="rId12" Type="http://schemas.openxmlformats.org/officeDocument/2006/relationships/hyperlink" Target="http://www.sec.gov/cgi-bin/browse-edgar?action=getcompany&amp;CIK=00017273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2022-01-21T15:37:54Z</dcterms:created>
  <dcterms:modified xsi:type="dcterms:W3CDTF">2022-01-21T15:37:54Z</dcterms:modified>
</cp:coreProperties>
</file>