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pBdr>
          <w:bottom w:val="single" w:sz="2" w:space="1" w:color="000000"/>
        </w:pBdr>
        <w:spacing w:lineRule="atLeast" w:line="141" w:before="0" w:after="0"/>
        <w:jc w:val="left"/>
        <w:rPr/>
      </w:pPr>
      <w:bookmarkStart w:id="0" w:name="d167783d6k.htm"/>
      <w:bookmarkStart w:id="1" w:name="ksd167783d6k"/>
      <w:bookmarkEnd w:id="0"/>
      <w:bookmarkEnd w:id="1"/>
      <w:r>
        <w:rPr/>
        <w:t> </w:t>
      </w:r>
    </w:p>
    <w:p>
      <w:pPr>
        <w:pStyle w:val="TextBody"/>
        <w:pBdr>
          <w:bottom w:val="single" w:sz="2" w:space="1" w:color="000000"/>
        </w:pBdr>
        <w:spacing w:lineRule="atLeast" w:line="141" w:before="0" w:after="40"/>
        <w:jc w:val="left"/>
        <w:rPr/>
      </w:pPr>
      <w:r>
        <w:rPr/>
        <w:t> </w:t>
      </w:r>
    </w:p>
    <w:p>
      <w:pPr>
        <w:pStyle w:val="TextBody"/>
        <w:spacing w:before="8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36"/>
        </w:rPr>
      </w:pPr>
      <w:r>
        <w:rPr>
          <w:rFonts w:ascii="Times New Roman" w:hAnsi="Times New Roman"/>
          <w:b/>
          <w:sz w:val="36"/>
        </w:rPr>
        <w:t xml:space="preserve">FORM 6-K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spacing w:before="240" w:after="0"/>
        <w:jc w:val="center"/>
        <w:rPr>
          <w:rFonts w:ascii="Times New Roman" w:hAnsi="Times New Roman"/>
          <w:b/>
          <w:sz w:val="20"/>
        </w:rPr>
      </w:pPr>
      <w:r>
        <w:rPr>
          <w:rFonts w:ascii="Times New Roman" w:hAnsi="Times New Roman"/>
          <w:b/>
          <w:sz w:val="20"/>
        </w:rPr>
        <w:t xml:space="preserve">For the month of April, 2023 </w:t>
      </w:r>
    </w:p>
    <w:p>
      <w:pPr>
        <w:pStyle w:val="TextBody"/>
        <w:spacing w:before="240" w:after="0"/>
        <w:jc w:val="center"/>
        <w:rPr>
          <w:rFonts w:ascii="Times New Roman" w:hAnsi="Times New Roman"/>
          <w:b/>
          <w:sz w:val="20"/>
        </w:rPr>
      </w:pPr>
      <w:r>
        <w:rPr>
          <w:rFonts w:ascii="Times New Roman" w:hAnsi="Times New Roman"/>
          <w:b/>
          <w:sz w:val="20"/>
        </w:rPr>
        <w:t xml:space="preserve">Commission File Number 001-39670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48"/>
        </w:rPr>
      </w:pPr>
      <w:r>
        <w:rPr>
          <w:rFonts w:ascii="Times New Roman" w:hAnsi="Times New Roman"/>
          <w:b/>
          <w:sz w:val="48"/>
        </w:rPr>
        <w:t xml:space="preserve">PURETECH HEALTH PLC </w:t>
      </w:r>
    </w:p>
    <w:p>
      <w:pPr>
        <w:pStyle w:val="TextBody"/>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center"/>
        <w:rPr>
          <w:rFonts w:ascii="Times New Roman" w:hAnsi="Times New Roman"/>
          <w:b/>
          <w:sz w:val="20"/>
        </w:rPr>
      </w:pPr>
      <w:r>
        <w:rPr>
          <w:rFonts w:ascii="Times New Roman" w:hAnsi="Times New Roman"/>
          <w:b/>
          <w:sz w:val="20"/>
        </w:rPr>
        <w:t xml:space="preserve">6 Tide Street, Suite 400 </w:t>
      </w:r>
    </w:p>
    <w:p>
      <w:pPr>
        <w:pStyle w:val="TextBody"/>
        <w:spacing w:before="0" w:after="0"/>
        <w:jc w:val="center"/>
        <w:rPr>
          <w:rFonts w:ascii="Times New Roman" w:hAnsi="Times New Roman"/>
          <w:b/>
          <w:sz w:val="20"/>
        </w:rPr>
      </w:pPr>
      <w:r>
        <w:rPr>
          <w:rFonts w:ascii="Times New Roman" w:hAnsi="Times New Roman"/>
          <w:b/>
          <w:sz w:val="20"/>
        </w:rPr>
        <w:t xml:space="preserve">Boston, Massachusetts 02210 </w:t>
      </w:r>
    </w:p>
    <w:p>
      <w:pPr>
        <w:pStyle w:val="TextBody"/>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spacing w:before="0" w:after="0"/>
        <w:jc w:val="left"/>
        <w:rPr/>
      </w:pPr>
      <w:r>
        <w:rPr/>
        <w:t> </w:t>
      </w:r>
    </w:p>
    <w:p>
      <w:pPr>
        <w:pStyle w:val="TextBody"/>
        <w:pBdr>
          <w:bottom w:val="single" w:sz="8" w:space="1" w:color="000000"/>
        </w:pBdr>
        <w:spacing w:lineRule="atLeast" w:line="141" w:before="0" w:after="40"/>
        <w:jc w:val="center"/>
        <w:rPr/>
      </w:pPr>
      <w:r>
        <w:rPr/>
        <w:t> </w:t>
      </w:r>
    </w:p>
    <w:p>
      <w:pPr>
        <w:pStyle w:val="TextBody"/>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of Form 20-F or Form 40-F. </w:t>
      </w:r>
    </w:p>
    <w:p>
      <w:pPr>
        <w:pStyle w:val="TextBody"/>
        <w:spacing w:before="240" w:after="0"/>
        <w:jc w:val="center"/>
        <w:rPr>
          <w:rFonts w:ascii="Times New Roman" w:hAnsi="Times New Roman"/>
          <w:sz w:val="20"/>
        </w:rPr>
      </w:pPr>
      <w:r>
        <w:rPr>
          <w:rFonts w:ascii="Times New Roman" w:hAnsi="Times New Roman"/>
          <w:sz w:val="20"/>
        </w:rPr>
        <w:t xml:space="preserve">Form 20-F  ☒            Form 40-F  ☐ </w:t>
      </w:r>
    </w:p>
    <w:p>
      <w:pPr>
        <w:pStyle w:val="TextBody"/>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101(b)(1):  ☐ </w:t>
      </w:r>
    </w:p>
    <w:p>
      <w:pPr>
        <w:pStyle w:val="TextBody"/>
        <w:spacing w:before="240" w:after="0"/>
        <w:jc w:val="left"/>
        <w:rPr>
          <w:rFonts w:ascii="Times New Roman" w:hAnsi="Times New Roman"/>
          <w:sz w:val="20"/>
        </w:rPr>
      </w:pPr>
      <w:r>
        <w:rPr>
          <w:rFonts w:ascii="Times New Roman" w:hAnsi="Times New Roman"/>
          <w:sz w:val="20"/>
        </w:rPr>
        <w:t xml:space="preserve">Indicate by check mark if the registrant is submitting the Form 6-K in paper as permitted by Regulation S-T Rule 101(b)(7):  ☐ </w:t>
      </w:r>
    </w:p>
    <w:p>
      <w:pPr>
        <w:pStyle w:val="TextBody"/>
        <w:spacing w:before="0" w:after="0"/>
        <w:jc w:val="left"/>
        <w:rPr/>
      </w:pPr>
      <w:r>
        <w:rPr/>
        <w:t> </w:t>
      </w:r>
    </w:p>
    <w:p>
      <w:pPr>
        <w:pStyle w:val="TextBody"/>
        <w:pBdr>
          <w:bottom w:val="single" w:sz="2" w:space="1" w:color="000000"/>
        </w:pBdr>
        <w:spacing w:lineRule="atLeast" w:line="141" w:before="0" w:after="0"/>
        <w:jc w:val="left"/>
        <w:rPr/>
      </w:pPr>
      <w:r>
        <w:rPr/>
        <w:t> </w:t>
      </w:r>
    </w:p>
    <w:p>
      <w:pPr>
        <w:pStyle w:val="TextBody"/>
        <w:pBdr>
          <w:bottom w:val="single" w:sz="2" w:space="1" w:color="000000"/>
        </w:pBdr>
        <w:spacing w:lineRule="atLeast" w:line="141" w:before="0" w:after="40"/>
        <w:jc w:val="left"/>
        <w:rPr/>
      </w:pPr>
      <w:r>
        <w:rPr/>
        <w:t>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INFORMATION CONTAINED IN THIS REPORT ON FORM 6-K </w:t>
      </w:r>
    </w:p>
    <w:p>
      <w:pPr>
        <w:pStyle w:val="TextBody"/>
        <w:spacing w:before="240" w:after="0"/>
        <w:jc w:val="left"/>
        <w:rPr>
          <w:rFonts w:ascii="Times New Roman" w:hAnsi="Times New Roman"/>
          <w:sz w:val="20"/>
        </w:rPr>
      </w:pPr>
      <w:r>
        <w:rPr>
          <w:rFonts w:ascii="Times New Roman" w:hAnsi="Times New Roman"/>
          <w:sz w:val="20"/>
        </w:rPr>
        <w:t xml:space="preserve">On May 9, 2022, PureTech Health plc (LSE: PRTC, Nasdaq: PRTC) (the Company) announced the commencement of a $50 million share repurchase program (the Program) of its ordinary shares of one pence each (Ordinary Shares). The Company plans to execute the Program in two equal tranches, the first of which was completed on October 26, 2022. In respect of each of the two tranches, PureTech entered into an irrevocable non-discretionary instruction with Jefferies International Limited (Jefferies) in relation to the purchase by Jefferies of Ordinary Shares for an aggregate consideration (excluding expenses) of no greater than $25 million and the simultaneous on-sale of such Ordinary Shares by Jefferies to PureTech. Jefferies makes its trading decisions in relation to the Ordinary Shares independently of, and uninfluenced by, the Company. Purchases may continue during any close period to which the Company is subject. Any purchase of Ordinary Shares under the second tranche of the Program are carried out on the London Stock Exchange and any other UK recognized investment exchange which may be agreed, in accordance with pre-set parameters and in accordance with, and subject to limits, including those limits related to daily volume and price, prescribed by the Companys general authority to repurchase Ordinary Shares granted by its shareholders at its most recent annual general meeting on June 15, 2022, Chapter 12 of the Financial Conduct Authoritys UK Listing Rules, Article 5(1) of Regulation (EU) No. 596/2014 (as incorporated into UK domestic law by the European Union (Withdrawal) Act 2018) and Commission Delegated Regulation (EU) 2016/1052 (as incorporated into UK domestic law by the European Union (Withdrawal) Act 2018). All Ordinary Shares repurchased under the Program will be held in treasury. </w:t>
      </w:r>
    </w:p>
    <w:p>
      <w:pPr>
        <w:pStyle w:val="TextBody"/>
        <w:spacing w:before="240" w:after="0"/>
        <w:jc w:val="left"/>
        <w:rPr>
          <w:rFonts w:ascii="Times New Roman" w:hAnsi="Times New Roman"/>
          <w:sz w:val="20"/>
        </w:rPr>
      </w:pPr>
      <w:r>
        <w:rPr>
          <w:rFonts w:ascii="Times New Roman" w:hAnsi="Times New Roman"/>
          <w:sz w:val="20"/>
        </w:rPr>
        <w:t xml:space="preserve">During the month ended April 30, 2023, the Company had the following daily purchases of its own Ordinary Shares under the Program through Jefferies: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837"/>
        <w:gridCol w:w="102"/>
        <w:gridCol w:w="1939"/>
        <w:gridCol w:w="102"/>
        <w:gridCol w:w="2041"/>
        <w:gridCol w:w="101"/>
        <w:gridCol w:w="2042"/>
        <w:gridCol w:w="101"/>
        <w:gridCol w:w="1940"/>
      </w:tblGrid>
      <w:tr>
        <w:trPr/>
        <w:tc>
          <w:tcPr>
            <w:tcW w:w="1837"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1939" w:type="dxa"/>
            <w:tcBorders/>
            <w:shd w:fill="auto" w:val="clear"/>
            <w:vAlign w:val="center"/>
          </w:tcPr>
          <w:p>
            <w:pPr>
              <w:pStyle w:val="TableContents"/>
              <w:spacing w:before="0" w:after="283"/>
              <w:rPr>
                <w:sz w:val="4"/>
                <w:szCs w:val="4"/>
              </w:rPr>
            </w:pPr>
            <w:r>
              <w:rPr>
                <w:sz w:val="4"/>
                <w:szCs w:val="4"/>
              </w:rPr>
            </w:r>
          </w:p>
        </w:tc>
        <w:tc>
          <w:tcPr>
            <w:tcW w:w="102" w:type="dxa"/>
            <w:tcBorders/>
            <w:shd w:fill="auto" w:val="clear"/>
            <w:vAlign w:val="bottom"/>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2042"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940" w:type="dxa"/>
            <w:tcBorders/>
            <w:shd w:fill="auto" w:val="clear"/>
            <w:vAlign w:val="center"/>
          </w:tcPr>
          <w:p>
            <w:pPr>
              <w:pStyle w:val="TableContents"/>
              <w:spacing w:before="0" w:after="283"/>
              <w:rPr>
                <w:sz w:val="4"/>
                <w:szCs w:val="4"/>
              </w:rPr>
            </w:pPr>
            <w:r>
              <w:rPr>
                <w:sz w:val="4"/>
                <w:szCs w:val="4"/>
              </w:rPr>
            </w:r>
          </w:p>
        </w:tc>
      </w:tr>
      <w:tr>
        <w:trPr/>
        <w:tc>
          <w:tcPr>
            <w:tcW w:w="1837"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Date</w:t>
            </w:r>
          </w:p>
        </w:tc>
        <w:tc>
          <w:tcPr>
            <w:tcW w:w="102" w:type="dxa"/>
            <w:tcBorders/>
            <w:shd w:fill="auto" w:val="clear"/>
            <w:vAlign w:val="bottom"/>
          </w:tcPr>
          <w:p>
            <w:pPr>
              <w:pStyle w:val="TableContents"/>
              <w:spacing w:before="0" w:after="283"/>
              <w:rPr/>
            </w:pPr>
            <w:r>
              <w:rPr/>
              <w:t> </w:t>
            </w:r>
          </w:p>
        </w:tc>
        <w:tc>
          <w:tcPr>
            <w:tcW w:w="1939"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Ordinary Shares</w:t>
              <w:br/>
              <w:t>Repurchased</w:t>
            </w:r>
          </w:p>
        </w:tc>
        <w:tc>
          <w:tcPr>
            <w:tcW w:w="102" w:type="dxa"/>
            <w:tcBorders/>
            <w:shd w:fill="auto" w:val="clear"/>
            <w:vAlign w:val="bottom"/>
          </w:tcPr>
          <w:p>
            <w:pPr>
              <w:pStyle w:val="TableContents"/>
              <w:spacing w:before="0" w:after="283"/>
              <w:rPr/>
            </w:pPr>
            <w:r>
              <w:rPr/>
              <w:t> </w:t>
            </w:r>
          </w:p>
        </w:tc>
        <w:tc>
          <w:tcPr>
            <w:tcW w:w="2041" w:type="dxa"/>
            <w:tcBorders>
              <w:bottom w:val="single" w:sz="8" w:space="0" w:color="000000"/>
            </w:tcBorders>
            <w:shd w:fill="auto" w:val="clear"/>
            <w:tcMar>
              <w:bottom w:w="28" w:type="dxa"/>
            </w:tcMar>
            <w:vAlign w:val="bottom"/>
          </w:tcPr>
          <w:p>
            <w:pPr>
              <w:pStyle w:val="TableContents"/>
              <w:spacing w:before="0" w:after="0"/>
              <w:jc w:val="center"/>
              <w:rPr>
                <w:rFonts w:ascii="Times New Roman" w:hAnsi="Times New Roman"/>
                <w:b/>
                <w:sz w:val="16"/>
              </w:rPr>
            </w:pPr>
            <w:r>
              <w:rPr>
                <w:rFonts w:ascii="Times New Roman" w:hAnsi="Times New Roman"/>
                <w:b/>
                <w:sz w:val="16"/>
              </w:rPr>
              <w:t>Volume Weighted</w:t>
            </w:r>
          </w:p>
          <w:p>
            <w:pPr>
              <w:pStyle w:val="TableContents"/>
              <w:spacing w:before="0" w:after="0"/>
              <w:jc w:val="center"/>
              <w:rPr>
                <w:rFonts w:ascii="Times New Roman" w:hAnsi="Times New Roman"/>
                <w:b/>
                <w:sz w:val="16"/>
              </w:rPr>
            </w:pPr>
            <w:r>
              <w:rPr>
                <w:rFonts w:ascii="Times New Roman" w:hAnsi="Times New Roman"/>
                <w:b/>
                <w:sz w:val="16"/>
              </w:rPr>
              <w:t>Average Price Paid</w:t>
            </w:r>
          </w:p>
          <w:p>
            <w:pPr>
              <w:pStyle w:val="TableContents"/>
              <w:spacing w:before="0" w:after="20"/>
              <w:jc w:val="center"/>
              <w:rPr>
                <w:rFonts w:ascii="Times New Roman" w:hAnsi="Times New Roman"/>
                <w:b/>
                <w:sz w:val="16"/>
              </w:rPr>
            </w:pPr>
            <w:r>
              <w:rPr>
                <w:rFonts w:ascii="Times New Roman" w:hAnsi="Times New Roman"/>
                <w:b/>
                <w:sz w:val="16"/>
              </w:rPr>
              <w:t>per Ordinary Share</w:t>
            </w:r>
          </w:p>
        </w:tc>
        <w:tc>
          <w:tcPr>
            <w:tcW w:w="101" w:type="dxa"/>
            <w:tcBorders/>
            <w:shd w:fill="auto" w:val="clear"/>
            <w:vAlign w:val="bottom"/>
          </w:tcPr>
          <w:p>
            <w:pPr>
              <w:pStyle w:val="TableContents"/>
              <w:spacing w:before="0" w:after="283"/>
              <w:rPr/>
            </w:pPr>
            <w:r>
              <w:rPr/>
              <w:t> </w:t>
            </w:r>
          </w:p>
        </w:tc>
        <w:tc>
          <w:tcPr>
            <w:tcW w:w="2042"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Highest Price Paid</w:t>
            </w:r>
          </w:p>
        </w:tc>
        <w:tc>
          <w:tcPr>
            <w:tcW w:w="101" w:type="dxa"/>
            <w:tcBorders/>
            <w:shd w:fill="auto" w:val="clear"/>
            <w:vAlign w:val="bottom"/>
          </w:tcPr>
          <w:p>
            <w:pPr>
              <w:pStyle w:val="TableContents"/>
              <w:spacing w:before="0" w:after="283"/>
              <w:rPr/>
            </w:pPr>
            <w:r>
              <w:rPr/>
              <w:t> </w:t>
            </w:r>
          </w:p>
        </w:tc>
        <w:tc>
          <w:tcPr>
            <w:tcW w:w="1940" w:type="dxa"/>
            <w:tcBorders>
              <w:bottom w:val="single" w:sz="8" w:space="0" w:color="000000"/>
            </w:tcBorders>
            <w:shd w:fill="auto" w:val="clear"/>
            <w:tcMar>
              <w:bottom w:w="28" w:type="dxa"/>
            </w:tcMar>
            <w:vAlign w:val="bottom"/>
          </w:tcPr>
          <w:p>
            <w:pPr>
              <w:pStyle w:val="TableContents"/>
              <w:spacing w:before="0" w:after="20"/>
              <w:jc w:val="center"/>
              <w:rPr>
                <w:rFonts w:ascii="Times New Roman" w:hAnsi="Times New Roman"/>
                <w:b/>
                <w:sz w:val="16"/>
              </w:rPr>
            </w:pPr>
            <w:r>
              <w:rPr>
                <w:rFonts w:ascii="Times New Roman" w:hAnsi="Times New Roman"/>
                <w:b/>
                <w:sz w:val="16"/>
              </w:rPr>
              <w:t>Lowest Price Paid</w:t>
            </w:r>
          </w:p>
        </w:tc>
      </w:tr>
      <w:tr>
        <w:trPr/>
        <w:tc>
          <w:tcPr>
            <w:tcW w:w="1837" w:type="dxa"/>
            <w:tcBorders/>
            <w:shd w:fill="auto" w:val="clear"/>
          </w:tcPr>
          <w:p>
            <w:pPr>
              <w:pStyle w:val="TableContents"/>
              <w:spacing w:before="0" w:after="283"/>
              <w:jc w:val="center"/>
              <w:rPr/>
            </w:pPr>
            <w:r>
              <w:rPr/>
              <w:t>April 3, 2023</w:t>
            </w:r>
          </w:p>
        </w:tc>
        <w:tc>
          <w:tcPr>
            <w:tcW w:w="102" w:type="dxa"/>
            <w:tcBorders/>
            <w:shd w:fill="auto" w:val="clear"/>
            <w:vAlign w:val="bottom"/>
          </w:tcPr>
          <w:p>
            <w:pPr>
              <w:pStyle w:val="TableContents"/>
              <w:spacing w:before="0" w:after="283"/>
              <w:rPr/>
            </w:pPr>
            <w:r>
              <w:rPr/>
              <w:t> </w:t>
            </w:r>
          </w:p>
        </w:tc>
        <w:tc>
          <w:tcPr>
            <w:tcW w:w="1939" w:type="dxa"/>
            <w:tcBorders/>
            <w:shd w:fill="auto" w:val="clear"/>
          </w:tcPr>
          <w:p>
            <w:pPr>
              <w:pStyle w:val="TableContents"/>
              <w:spacing w:before="0" w:after="283"/>
              <w:jc w:val="center"/>
              <w:rPr/>
            </w:pPr>
            <w:r>
              <w:rPr/>
              <w:t>10,482</w:t>
            </w:r>
          </w:p>
        </w:tc>
        <w:tc>
          <w:tcPr>
            <w:tcW w:w="102"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center"/>
              <w:rPr/>
            </w:pPr>
            <w:r>
              <w:rPr/>
              <w:t>221.83p</w:t>
            </w:r>
          </w:p>
        </w:tc>
        <w:tc>
          <w:tcPr>
            <w:tcW w:w="101"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223.50p</w:t>
            </w:r>
          </w:p>
        </w:tc>
        <w:tc>
          <w:tcPr>
            <w:tcW w:w="101" w:type="dxa"/>
            <w:tcBorders/>
            <w:shd w:fill="auto" w:val="clear"/>
            <w:vAlign w:val="bottom"/>
          </w:tcPr>
          <w:p>
            <w:pPr>
              <w:pStyle w:val="TableContents"/>
              <w:spacing w:before="0" w:after="283"/>
              <w:rPr/>
            </w:pPr>
            <w:r>
              <w:rPr/>
              <w:t> </w:t>
            </w:r>
          </w:p>
        </w:tc>
        <w:tc>
          <w:tcPr>
            <w:tcW w:w="1940" w:type="dxa"/>
            <w:tcBorders/>
            <w:shd w:fill="auto" w:val="clear"/>
          </w:tcPr>
          <w:p>
            <w:pPr>
              <w:pStyle w:val="TableContents"/>
              <w:spacing w:before="0" w:after="283"/>
              <w:jc w:val="center"/>
              <w:rPr/>
            </w:pPr>
            <w:r>
              <w:rPr/>
              <w:t>219.50p</w:t>
            </w:r>
          </w:p>
        </w:tc>
      </w:tr>
      <w:tr>
        <w:trPr/>
        <w:tc>
          <w:tcPr>
            <w:tcW w:w="1837" w:type="dxa"/>
            <w:tcBorders/>
            <w:shd w:fill="auto" w:val="clear"/>
          </w:tcPr>
          <w:p>
            <w:pPr>
              <w:pStyle w:val="TableContents"/>
              <w:spacing w:before="0" w:after="283"/>
              <w:jc w:val="center"/>
              <w:rPr/>
            </w:pPr>
            <w:r>
              <w:rPr/>
              <w:t>April 4, 2023</w:t>
            </w:r>
          </w:p>
        </w:tc>
        <w:tc>
          <w:tcPr>
            <w:tcW w:w="102" w:type="dxa"/>
            <w:tcBorders/>
            <w:shd w:fill="auto" w:val="clear"/>
            <w:vAlign w:val="bottom"/>
          </w:tcPr>
          <w:p>
            <w:pPr>
              <w:pStyle w:val="TableContents"/>
              <w:spacing w:before="0" w:after="283"/>
              <w:rPr/>
            </w:pPr>
            <w:r>
              <w:rPr/>
              <w:t> </w:t>
            </w:r>
          </w:p>
        </w:tc>
        <w:tc>
          <w:tcPr>
            <w:tcW w:w="1939" w:type="dxa"/>
            <w:tcBorders/>
            <w:shd w:fill="auto" w:val="clear"/>
          </w:tcPr>
          <w:p>
            <w:pPr>
              <w:pStyle w:val="TableContents"/>
              <w:spacing w:before="0" w:after="283"/>
              <w:jc w:val="center"/>
              <w:rPr/>
            </w:pPr>
            <w:r>
              <w:rPr/>
              <w:t>10,293</w:t>
            </w:r>
          </w:p>
        </w:tc>
        <w:tc>
          <w:tcPr>
            <w:tcW w:w="102"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center"/>
              <w:rPr/>
            </w:pPr>
            <w:r>
              <w:rPr/>
              <w:t>219.70p</w:t>
            </w:r>
          </w:p>
        </w:tc>
        <w:tc>
          <w:tcPr>
            <w:tcW w:w="101"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221.50p</w:t>
            </w:r>
          </w:p>
        </w:tc>
        <w:tc>
          <w:tcPr>
            <w:tcW w:w="101" w:type="dxa"/>
            <w:tcBorders/>
            <w:shd w:fill="auto" w:val="clear"/>
            <w:vAlign w:val="bottom"/>
          </w:tcPr>
          <w:p>
            <w:pPr>
              <w:pStyle w:val="TableContents"/>
              <w:spacing w:before="0" w:after="283"/>
              <w:rPr/>
            </w:pPr>
            <w:r>
              <w:rPr/>
              <w:t> </w:t>
            </w:r>
          </w:p>
        </w:tc>
        <w:tc>
          <w:tcPr>
            <w:tcW w:w="1940" w:type="dxa"/>
            <w:tcBorders/>
            <w:shd w:fill="auto" w:val="clear"/>
          </w:tcPr>
          <w:p>
            <w:pPr>
              <w:pStyle w:val="TableContents"/>
              <w:spacing w:before="0" w:after="283"/>
              <w:jc w:val="center"/>
              <w:rPr/>
            </w:pPr>
            <w:r>
              <w:rPr/>
              <w:t>218.00p</w:t>
            </w:r>
          </w:p>
        </w:tc>
      </w:tr>
      <w:tr>
        <w:trPr/>
        <w:tc>
          <w:tcPr>
            <w:tcW w:w="1837" w:type="dxa"/>
            <w:tcBorders/>
            <w:shd w:fill="auto" w:val="clear"/>
          </w:tcPr>
          <w:p>
            <w:pPr>
              <w:pStyle w:val="TableContents"/>
              <w:spacing w:before="0" w:after="283"/>
              <w:jc w:val="center"/>
              <w:rPr/>
            </w:pPr>
            <w:r>
              <w:rPr/>
              <w:t>April 5, 2023</w:t>
            </w:r>
          </w:p>
        </w:tc>
        <w:tc>
          <w:tcPr>
            <w:tcW w:w="102" w:type="dxa"/>
            <w:tcBorders/>
            <w:shd w:fill="auto" w:val="clear"/>
            <w:vAlign w:val="bottom"/>
          </w:tcPr>
          <w:p>
            <w:pPr>
              <w:pStyle w:val="TableContents"/>
              <w:spacing w:before="0" w:after="283"/>
              <w:rPr/>
            </w:pPr>
            <w:r>
              <w:rPr/>
              <w:t> </w:t>
            </w:r>
          </w:p>
        </w:tc>
        <w:tc>
          <w:tcPr>
            <w:tcW w:w="1939" w:type="dxa"/>
            <w:tcBorders/>
            <w:shd w:fill="auto" w:val="clear"/>
          </w:tcPr>
          <w:p>
            <w:pPr>
              <w:pStyle w:val="TableContents"/>
              <w:spacing w:before="0" w:after="283"/>
              <w:jc w:val="center"/>
              <w:rPr/>
            </w:pPr>
            <w:r>
              <w:rPr/>
              <w:t>10,403</w:t>
            </w:r>
          </w:p>
        </w:tc>
        <w:tc>
          <w:tcPr>
            <w:tcW w:w="102"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center"/>
              <w:rPr/>
            </w:pPr>
            <w:r>
              <w:rPr/>
              <w:t>217.24p</w:t>
            </w:r>
          </w:p>
        </w:tc>
        <w:tc>
          <w:tcPr>
            <w:tcW w:w="101"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220.00p</w:t>
            </w:r>
          </w:p>
        </w:tc>
        <w:tc>
          <w:tcPr>
            <w:tcW w:w="101" w:type="dxa"/>
            <w:tcBorders/>
            <w:shd w:fill="auto" w:val="clear"/>
            <w:vAlign w:val="bottom"/>
          </w:tcPr>
          <w:p>
            <w:pPr>
              <w:pStyle w:val="TableContents"/>
              <w:spacing w:before="0" w:after="283"/>
              <w:rPr/>
            </w:pPr>
            <w:r>
              <w:rPr/>
              <w:t> </w:t>
            </w:r>
          </w:p>
        </w:tc>
        <w:tc>
          <w:tcPr>
            <w:tcW w:w="1940" w:type="dxa"/>
            <w:tcBorders/>
            <w:shd w:fill="auto" w:val="clear"/>
          </w:tcPr>
          <w:p>
            <w:pPr>
              <w:pStyle w:val="TableContents"/>
              <w:spacing w:before="0" w:after="283"/>
              <w:jc w:val="center"/>
              <w:rPr/>
            </w:pPr>
            <w:r>
              <w:rPr/>
              <w:t>213.00p</w:t>
            </w:r>
          </w:p>
        </w:tc>
      </w:tr>
      <w:tr>
        <w:trPr/>
        <w:tc>
          <w:tcPr>
            <w:tcW w:w="1837" w:type="dxa"/>
            <w:tcBorders/>
            <w:shd w:fill="auto" w:val="clear"/>
          </w:tcPr>
          <w:p>
            <w:pPr>
              <w:pStyle w:val="TableContents"/>
              <w:spacing w:before="0" w:after="283"/>
              <w:jc w:val="center"/>
              <w:rPr/>
            </w:pPr>
            <w:r>
              <w:rPr/>
              <w:t>April 6, 2023</w:t>
            </w:r>
          </w:p>
        </w:tc>
        <w:tc>
          <w:tcPr>
            <w:tcW w:w="102" w:type="dxa"/>
            <w:tcBorders/>
            <w:shd w:fill="auto" w:val="clear"/>
            <w:vAlign w:val="bottom"/>
          </w:tcPr>
          <w:p>
            <w:pPr>
              <w:pStyle w:val="TableContents"/>
              <w:spacing w:before="0" w:after="283"/>
              <w:rPr/>
            </w:pPr>
            <w:r>
              <w:rPr/>
              <w:t> </w:t>
            </w:r>
          </w:p>
        </w:tc>
        <w:tc>
          <w:tcPr>
            <w:tcW w:w="1939" w:type="dxa"/>
            <w:tcBorders/>
            <w:shd w:fill="auto" w:val="clear"/>
          </w:tcPr>
          <w:p>
            <w:pPr>
              <w:pStyle w:val="TableContents"/>
              <w:spacing w:before="0" w:after="283"/>
              <w:jc w:val="center"/>
              <w:rPr/>
            </w:pPr>
            <w:r>
              <w:rPr/>
              <w:t>9,887</w:t>
            </w:r>
          </w:p>
        </w:tc>
        <w:tc>
          <w:tcPr>
            <w:tcW w:w="102"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center"/>
              <w:rPr/>
            </w:pPr>
            <w:r>
              <w:rPr/>
              <w:t>219.62p</w:t>
            </w:r>
          </w:p>
        </w:tc>
        <w:tc>
          <w:tcPr>
            <w:tcW w:w="101"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221.00p</w:t>
            </w:r>
          </w:p>
        </w:tc>
        <w:tc>
          <w:tcPr>
            <w:tcW w:w="101" w:type="dxa"/>
            <w:tcBorders/>
            <w:shd w:fill="auto" w:val="clear"/>
            <w:vAlign w:val="bottom"/>
          </w:tcPr>
          <w:p>
            <w:pPr>
              <w:pStyle w:val="TableContents"/>
              <w:spacing w:before="0" w:after="283"/>
              <w:rPr/>
            </w:pPr>
            <w:r>
              <w:rPr/>
              <w:t> </w:t>
            </w:r>
          </w:p>
        </w:tc>
        <w:tc>
          <w:tcPr>
            <w:tcW w:w="1940" w:type="dxa"/>
            <w:tcBorders/>
            <w:shd w:fill="auto" w:val="clear"/>
          </w:tcPr>
          <w:p>
            <w:pPr>
              <w:pStyle w:val="TableContents"/>
              <w:spacing w:before="0" w:after="283"/>
              <w:jc w:val="center"/>
              <w:rPr/>
            </w:pPr>
            <w:r>
              <w:rPr/>
              <w:t>218.00p</w:t>
            </w:r>
          </w:p>
        </w:tc>
      </w:tr>
      <w:tr>
        <w:trPr/>
        <w:tc>
          <w:tcPr>
            <w:tcW w:w="1837" w:type="dxa"/>
            <w:tcBorders/>
            <w:shd w:fill="auto" w:val="clear"/>
          </w:tcPr>
          <w:p>
            <w:pPr>
              <w:pStyle w:val="TableContents"/>
              <w:spacing w:before="0" w:after="283"/>
              <w:jc w:val="center"/>
              <w:rPr/>
            </w:pPr>
            <w:r>
              <w:rPr/>
              <w:t>April 11, 2023</w:t>
            </w:r>
          </w:p>
        </w:tc>
        <w:tc>
          <w:tcPr>
            <w:tcW w:w="102" w:type="dxa"/>
            <w:tcBorders/>
            <w:shd w:fill="auto" w:val="clear"/>
            <w:vAlign w:val="bottom"/>
          </w:tcPr>
          <w:p>
            <w:pPr>
              <w:pStyle w:val="TableContents"/>
              <w:spacing w:before="0" w:after="283"/>
              <w:rPr/>
            </w:pPr>
            <w:r>
              <w:rPr/>
              <w:t> </w:t>
            </w:r>
          </w:p>
        </w:tc>
        <w:tc>
          <w:tcPr>
            <w:tcW w:w="1939" w:type="dxa"/>
            <w:tcBorders/>
            <w:shd w:fill="auto" w:val="clear"/>
          </w:tcPr>
          <w:p>
            <w:pPr>
              <w:pStyle w:val="TableContents"/>
              <w:spacing w:before="0" w:after="283"/>
              <w:jc w:val="center"/>
              <w:rPr/>
            </w:pPr>
            <w:r>
              <w:rPr/>
              <w:t>10,076</w:t>
            </w:r>
          </w:p>
        </w:tc>
        <w:tc>
          <w:tcPr>
            <w:tcW w:w="102"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center"/>
              <w:rPr/>
            </w:pPr>
            <w:r>
              <w:rPr/>
              <w:t>222.44p</w:t>
            </w:r>
          </w:p>
        </w:tc>
        <w:tc>
          <w:tcPr>
            <w:tcW w:w="101"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224.00p</w:t>
            </w:r>
          </w:p>
        </w:tc>
        <w:tc>
          <w:tcPr>
            <w:tcW w:w="101" w:type="dxa"/>
            <w:tcBorders/>
            <w:shd w:fill="auto" w:val="clear"/>
            <w:vAlign w:val="bottom"/>
          </w:tcPr>
          <w:p>
            <w:pPr>
              <w:pStyle w:val="TableContents"/>
              <w:spacing w:before="0" w:after="283"/>
              <w:rPr/>
            </w:pPr>
            <w:r>
              <w:rPr/>
              <w:t> </w:t>
            </w:r>
          </w:p>
        </w:tc>
        <w:tc>
          <w:tcPr>
            <w:tcW w:w="1940" w:type="dxa"/>
            <w:tcBorders/>
            <w:shd w:fill="auto" w:val="clear"/>
          </w:tcPr>
          <w:p>
            <w:pPr>
              <w:pStyle w:val="TableContents"/>
              <w:spacing w:before="0" w:after="283"/>
              <w:jc w:val="center"/>
              <w:rPr/>
            </w:pPr>
            <w:r>
              <w:rPr/>
              <w:t>219.00p</w:t>
            </w:r>
          </w:p>
        </w:tc>
      </w:tr>
      <w:tr>
        <w:trPr/>
        <w:tc>
          <w:tcPr>
            <w:tcW w:w="1837" w:type="dxa"/>
            <w:tcBorders/>
            <w:shd w:fill="auto" w:val="clear"/>
          </w:tcPr>
          <w:p>
            <w:pPr>
              <w:pStyle w:val="TableContents"/>
              <w:spacing w:before="0" w:after="283"/>
              <w:jc w:val="center"/>
              <w:rPr/>
            </w:pPr>
            <w:r>
              <w:rPr/>
              <w:t>April 12, 2023</w:t>
            </w:r>
          </w:p>
        </w:tc>
        <w:tc>
          <w:tcPr>
            <w:tcW w:w="102" w:type="dxa"/>
            <w:tcBorders/>
            <w:shd w:fill="auto" w:val="clear"/>
            <w:vAlign w:val="bottom"/>
          </w:tcPr>
          <w:p>
            <w:pPr>
              <w:pStyle w:val="TableContents"/>
              <w:spacing w:before="0" w:after="283"/>
              <w:rPr/>
            </w:pPr>
            <w:r>
              <w:rPr/>
              <w:t> </w:t>
            </w:r>
          </w:p>
        </w:tc>
        <w:tc>
          <w:tcPr>
            <w:tcW w:w="1939" w:type="dxa"/>
            <w:tcBorders/>
            <w:shd w:fill="auto" w:val="clear"/>
          </w:tcPr>
          <w:p>
            <w:pPr>
              <w:pStyle w:val="TableContents"/>
              <w:spacing w:before="0" w:after="283"/>
              <w:jc w:val="center"/>
              <w:rPr/>
            </w:pPr>
            <w:r>
              <w:rPr/>
              <w:t>10,584</w:t>
            </w:r>
          </w:p>
        </w:tc>
        <w:tc>
          <w:tcPr>
            <w:tcW w:w="102"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center"/>
              <w:rPr/>
            </w:pPr>
            <w:r>
              <w:rPr/>
              <w:t>219.31p</w:t>
            </w:r>
          </w:p>
        </w:tc>
        <w:tc>
          <w:tcPr>
            <w:tcW w:w="101"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225.50p</w:t>
            </w:r>
          </w:p>
        </w:tc>
        <w:tc>
          <w:tcPr>
            <w:tcW w:w="101" w:type="dxa"/>
            <w:tcBorders/>
            <w:shd w:fill="auto" w:val="clear"/>
            <w:vAlign w:val="bottom"/>
          </w:tcPr>
          <w:p>
            <w:pPr>
              <w:pStyle w:val="TableContents"/>
              <w:spacing w:before="0" w:after="283"/>
              <w:rPr/>
            </w:pPr>
            <w:r>
              <w:rPr/>
              <w:t> </w:t>
            </w:r>
          </w:p>
        </w:tc>
        <w:tc>
          <w:tcPr>
            <w:tcW w:w="1940" w:type="dxa"/>
            <w:tcBorders/>
            <w:shd w:fill="auto" w:val="clear"/>
          </w:tcPr>
          <w:p>
            <w:pPr>
              <w:pStyle w:val="TableContents"/>
              <w:spacing w:before="0" w:after="283"/>
              <w:jc w:val="center"/>
              <w:rPr/>
            </w:pPr>
            <w:r>
              <w:rPr/>
              <w:t>216.00p</w:t>
            </w:r>
          </w:p>
        </w:tc>
      </w:tr>
      <w:tr>
        <w:trPr/>
        <w:tc>
          <w:tcPr>
            <w:tcW w:w="1837" w:type="dxa"/>
            <w:tcBorders/>
            <w:shd w:fill="auto" w:val="clear"/>
          </w:tcPr>
          <w:p>
            <w:pPr>
              <w:pStyle w:val="TableContents"/>
              <w:spacing w:before="0" w:after="283"/>
              <w:jc w:val="center"/>
              <w:rPr/>
            </w:pPr>
            <w:r>
              <w:rPr/>
              <w:t>April 13, 2023</w:t>
            </w:r>
          </w:p>
        </w:tc>
        <w:tc>
          <w:tcPr>
            <w:tcW w:w="102" w:type="dxa"/>
            <w:tcBorders/>
            <w:shd w:fill="auto" w:val="clear"/>
            <w:vAlign w:val="bottom"/>
          </w:tcPr>
          <w:p>
            <w:pPr>
              <w:pStyle w:val="TableContents"/>
              <w:spacing w:before="0" w:after="283"/>
              <w:rPr/>
            </w:pPr>
            <w:r>
              <w:rPr/>
              <w:t> </w:t>
            </w:r>
          </w:p>
        </w:tc>
        <w:tc>
          <w:tcPr>
            <w:tcW w:w="1939" w:type="dxa"/>
            <w:tcBorders/>
            <w:shd w:fill="auto" w:val="clear"/>
          </w:tcPr>
          <w:p>
            <w:pPr>
              <w:pStyle w:val="TableContents"/>
              <w:spacing w:before="0" w:after="283"/>
              <w:jc w:val="center"/>
              <w:rPr/>
            </w:pPr>
            <w:r>
              <w:rPr/>
              <w:t>10,410</w:t>
            </w:r>
          </w:p>
        </w:tc>
        <w:tc>
          <w:tcPr>
            <w:tcW w:w="102"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center"/>
              <w:rPr/>
            </w:pPr>
            <w:r>
              <w:rPr/>
              <w:t>217.91p</w:t>
            </w:r>
          </w:p>
        </w:tc>
        <w:tc>
          <w:tcPr>
            <w:tcW w:w="101"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219.00p</w:t>
            </w:r>
          </w:p>
        </w:tc>
        <w:tc>
          <w:tcPr>
            <w:tcW w:w="101" w:type="dxa"/>
            <w:tcBorders/>
            <w:shd w:fill="auto" w:val="clear"/>
            <w:vAlign w:val="bottom"/>
          </w:tcPr>
          <w:p>
            <w:pPr>
              <w:pStyle w:val="TableContents"/>
              <w:spacing w:before="0" w:after="283"/>
              <w:rPr/>
            </w:pPr>
            <w:r>
              <w:rPr/>
              <w:t> </w:t>
            </w:r>
          </w:p>
        </w:tc>
        <w:tc>
          <w:tcPr>
            <w:tcW w:w="1940" w:type="dxa"/>
            <w:tcBorders/>
            <w:shd w:fill="auto" w:val="clear"/>
          </w:tcPr>
          <w:p>
            <w:pPr>
              <w:pStyle w:val="TableContents"/>
              <w:spacing w:before="0" w:after="283"/>
              <w:jc w:val="center"/>
              <w:rPr/>
            </w:pPr>
            <w:r>
              <w:rPr/>
              <w:t>216.00p</w:t>
            </w:r>
          </w:p>
        </w:tc>
      </w:tr>
      <w:tr>
        <w:trPr/>
        <w:tc>
          <w:tcPr>
            <w:tcW w:w="1837" w:type="dxa"/>
            <w:tcBorders/>
            <w:shd w:fill="auto" w:val="clear"/>
          </w:tcPr>
          <w:p>
            <w:pPr>
              <w:pStyle w:val="TableContents"/>
              <w:spacing w:before="0" w:after="283"/>
              <w:jc w:val="center"/>
              <w:rPr/>
            </w:pPr>
            <w:r>
              <w:rPr/>
              <w:t>April 14, 2023</w:t>
            </w:r>
          </w:p>
        </w:tc>
        <w:tc>
          <w:tcPr>
            <w:tcW w:w="102" w:type="dxa"/>
            <w:tcBorders/>
            <w:shd w:fill="auto" w:val="clear"/>
            <w:vAlign w:val="bottom"/>
          </w:tcPr>
          <w:p>
            <w:pPr>
              <w:pStyle w:val="TableContents"/>
              <w:spacing w:before="0" w:after="283"/>
              <w:rPr/>
            </w:pPr>
            <w:r>
              <w:rPr/>
              <w:t> </w:t>
            </w:r>
          </w:p>
        </w:tc>
        <w:tc>
          <w:tcPr>
            <w:tcW w:w="1939" w:type="dxa"/>
            <w:tcBorders/>
            <w:shd w:fill="auto" w:val="clear"/>
          </w:tcPr>
          <w:p>
            <w:pPr>
              <w:pStyle w:val="TableContents"/>
              <w:spacing w:before="0" w:after="283"/>
              <w:jc w:val="center"/>
              <w:rPr/>
            </w:pPr>
            <w:r>
              <w:rPr/>
              <w:t>9,667</w:t>
            </w:r>
          </w:p>
        </w:tc>
        <w:tc>
          <w:tcPr>
            <w:tcW w:w="102"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center"/>
              <w:rPr/>
            </w:pPr>
            <w:r>
              <w:rPr/>
              <w:t>219.87p</w:t>
            </w:r>
          </w:p>
        </w:tc>
        <w:tc>
          <w:tcPr>
            <w:tcW w:w="101"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222.50p</w:t>
            </w:r>
          </w:p>
        </w:tc>
        <w:tc>
          <w:tcPr>
            <w:tcW w:w="101" w:type="dxa"/>
            <w:tcBorders/>
            <w:shd w:fill="auto" w:val="clear"/>
            <w:vAlign w:val="bottom"/>
          </w:tcPr>
          <w:p>
            <w:pPr>
              <w:pStyle w:val="TableContents"/>
              <w:spacing w:before="0" w:after="283"/>
              <w:rPr/>
            </w:pPr>
            <w:r>
              <w:rPr/>
              <w:t> </w:t>
            </w:r>
          </w:p>
        </w:tc>
        <w:tc>
          <w:tcPr>
            <w:tcW w:w="1940" w:type="dxa"/>
            <w:tcBorders/>
            <w:shd w:fill="auto" w:val="clear"/>
          </w:tcPr>
          <w:p>
            <w:pPr>
              <w:pStyle w:val="TableContents"/>
              <w:spacing w:before="0" w:after="283"/>
              <w:jc w:val="center"/>
              <w:rPr/>
            </w:pPr>
            <w:r>
              <w:rPr/>
              <w:t>218.00p</w:t>
            </w:r>
          </w:p>
        </w:tc>
      </w:tr>
      <w:tr>
        <w:trPr/>
        <w:tc>
          <w:tcPr>
            <w:tcW w:w="1837" w:type="dxa"/>
            <w:tcBorders/>
            <w:shd w:fill="auto" w:val="clear"/>
          </w:tcPr>
          <w:p>
            <w:pPr>
              <w:pStyle w:val="TableContents"/>
              <w:spacing w:before="0" w:after="283"/>
              <w:jc w:val="center"/>
              <w:rPr/>
            </w:pPr>
            <w:r>
              <w:rPr/>
              <w:t>April 17, 2023</w:t>
            </w:r>
          </w:p>
        </w:tc>
        <w:tc>
          <w:tcPr>
            <w:tcW w:w="102" w:type="dxa"/>
            <w:tcBorders/>
            <w:shd w:fill="auto" w:val="clear"/>
            <w:vAlign w:val="bottom"/>
          </w:tcPr>
          <w:p>
            <w:pPr>
              <w:pStyle w:val="TableContents"/>
              <w:spacing w:before="0" w:after="283"/>
              <w:rPr/>
            </w:pPr>
            <w:r>
              <w:rPr/>
              <w:t> </w:t>
            </w:r>
          </w:p>
        </w:tc>
        <w:tc>
          <w:tcPr>
            <w:tcW w:w="1939" w:type="dxa"/>
            <w:tcBorders/>
            <w:shd w:fill="auto" w:val="clear"/>
          </w:tcPr>
          <w:p>
            <w:pPr>
              <w:pStyle w:val="TableContents"/>
              <w:spacing w:before="0" w:after="283"/>
              <w:jc w:val="center"/>
              <w:rPr/>
            </w:pPr>
            <w:r>
              <w:rPr/>
              <w:t>8,712</w:t>
            </w:r>
          </w:p>
        </w:tc>
        <w:tc>
          <w:tcPr>
            <w:tcW w:w="102"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center"/>
              <w:rPr/>
            </w:pPr>
            <w:r>
              <w:rPr/>
              <w:t>219.90p</w:t>
            </w:r>
          </w:p>
        </w:tc>
        <w:tc>
          <w:tcPr>
            <w:tcW w:w="101"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222.00p</w:t>
            </w:r>
          </w:p>
        </w:tc>
        <w:tc>
          <w:tcPr>
            <w:tcW w:w="101" w:type="dxa"/>
            <w:tcBorders/>
            <w:shd w:fill="auto" w:val="clear"/>
            <w:vAlign w:val="bottom"/>
          </w:tcPr>
          <w:p>
            <w:pPr>
              <w:pStyle w:val="TableContents"/>
              <w:spacing w:before="0" w:after="283"/>
              <w:rPr/>
            </w:pPr>
            <w:r>
              <w:rPr/>
              <w:t> </w:t>
            </w:r>
          </w:p>
        </w:tc>
        <w:tc>
          <w:tcPr>
            <w:tcW w:w="1940" w:type="dxa"/>
            <w:tcBorders/>
            <w:shd w:fill="auto" w:val="clear"/>
          </w:tcPr>
          <w:p>
            <w:pPr>
              <w:pStyle w:val="TableContents"/>
              <w:spacing w:before="0" w:after="283"/>
              <w:jc w:val="center"/>
              <w:rPr/>
            </w:pPr>
            <w:r>
              <w:rPr/>
              <w:t>218.50p</w:t>
            </w:r>
          </w:p>
        </w:tc>
      </w:tr>
      <w:tr>
        <w:trPr/>
        <w:tc>
          <w:tcPr>
            <w:tcW w:w="1837" w:type="dxa"/>
            <w:tcBorders/>
            <w:shd w:fill="auto" w:val="clear"/>
          </w:tcPr>
          <w:p>
            <w:pPr>
              <w:pStyle w:val="TableContents"/>
              <w:spacing w:before="0" w:after="283"/>
              <w:jc w:val="center"/>
              <w:rPr/>
            </w:pPr>
            <w:r>
              <w:rPr/>
              <w:t>April 18, 2023</w:t>
            </w:r>
          </w:p>
        </w:tc>
        <w:tc>
          <w:tcPr>
            <w:tcW w:w="102" w:type="dxa"/>
            <w:tcBorders/>
            <w:shd w:fill="auto" w:val="clear"/>
            <w:vAlign w:val="bottom"/>
          </w:tcPr>
          <w:p>
            <w:pPr>
              <w:pStyle w:val="TableContents"/>
              <w:spacing w:before="0" w:after="283"/>
              <w:rPr/>
            </w:pPr>
            <w:r>
              <w:rPr/>
              <w:t> </w:t>
            </w:r>
          </w:p>
        </w:tc>
        <w:tc>
          <w:tcPr>
            <w:tcW w:w="1939" w:type="dxa"/>
            <w:tcBorders/>
            <w:shd w:fill="auto" w:val="clear"/>
          </w:tcPr>
          <w:p>
            <w:pPr>
              <w:pStyle w:val="TableContents"/>
              <w:spacing w:before="0" w:after="283"/>
              <w:jc w:val="center"/>
              <w:rPr/>
            </w:pPr>
            <w:r>
              <w:rPr/>
              <w:t>8,380</w:t>
            </w:r>
          </w:p>
        </w:tc>
        <w:tc>
          <w:tcPr>
            <w:tcW w:w="102"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center"/>
              <w:rPr/>
            </w:pPr>
            <w:r>
              <w:rPr/>
              <w:t>221.50p</w:t>
            </w:r>
          </w:p>
        </w:tc>
        <w:tc>
          <w:tcPr>
            <w:tcW w:w="101"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223.50p</w:t>
            </w:r>
          </w:p>
        </w:tc>
        <w:tc>
          <w:tcPr>
            <w:tcW w:w="101" w:type="dxa"/>
            <w:tcBorders/>
            <w:shd w:fill="auto" w:val="clear"/>
            <w:vAlign w:val="bottom"/>
          </w:tcPr>
          <w:p>
            <w:pPr>
              <w:pStyle w:val="TableContents"/>
              <w:spacing w:before="0" w:after="283"/>
              <w:rPr/>
            </w:pPr>
            <w:r>
              <w:rPr/>
              <w:t> </w:t>
            </w:r>
          </w:p>
        </w:tc>
        <w:tc>
          <w:tcPr>
            <w:tcW w:w="1940" w:type="dxa"/>
            <w:tcBorders/>
            <w:shd w:fill="auto" w:val="clear"/>
          </w:tcPr>
          <w:p>
            <w:pPr>
              <w:pStyle w:val="TableContents"/>
              <w:spacing w:before="0" w:after="283"/>
              <w:jc w:val="center"/>
              <w:rPr/>
            </w:pPr>
            <w:r>
              <w:rPr/>
              <w:t>217.00p</w:t>
            </w:r>
          </w:p>
        </w:tc>
      </w:tr>
      <w:tr>
        <w:trPr/>
        <w:tc>
          <w:tcPr>
            <w:tcW w:w="1837" w:type="dxa"/>
            <w:tcBorders/>
            <w:shd w:fill="auto" w:val="clear"/>
          </w:tcPr>
          <w:p>
            <w:pPr>
              <w:pStyle w:val="TableContents"/>
              <w:spacing w:before="0" w:after="283"/>
              <w:jc w:val="center"/>
              <w:rPr/>
            </w:pPr>
            <w:r>
              <w:rPr/>
              <w:t>April 19, 2023</w:t>
            </w:r>
          </w:p>
        </w:tc>
        <w:tc>
          <w:tcPr>
            <w:tcW w:w="102" w:type="dxa"/>
            <w:tcBorders/>
            <w:shd w:fill="auto" w:val="clear"/>
            <w:vAlign w:val="bottom"/>
          </w:tcPr>
          <w:p>
            <w:pPr>
              <w:pStyle w:val="TableContents"/>
              <w:spacing w:before="0" w:after="283"/>
              <w:rPr/>
            </w:pPr>
            <w:r>
              <w:rPr/>
              <w:t> </w:t>
            </w:r>
          </w:p>
        </w:tc>
        <w:tc>
          <w:tcPr>
            <w:tcW w:w="1939" w:type="dxa"/>
            <w:tcBorders/>
            <w:shd w:fill="auto" w:val="clear"/>
          </w:tcPr>
          <w:p>
            <w:pPr>
              <w:pStyle w:val="TableContents"/>
              <w:spacing w:before="0" w:after="283"/>
              <w:jc w:val="center"/>
              <w:rPr/>
            </w:pPr>
            <w:r>
              <w:rPr/>
              <w:t>8,067</w:t>
            </w:r>
          </w:p>
        </w:tc>
        <w:tc>
          <w:tcPr>
            <w:tcW w:w="102"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center"/>
              <w:rPr/>
            </w:pPr>
            <w:r>
              <w:rPr/>
              <w:t>215.78p</w:t>
            </w:r>
          </w:p>
        </w:tc>
        <w:tc>
          <w:tcPr>
            <w:tcW w:w="101"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218.00p</w:t>
            </w:r>
          </w:p>
        </w:tc>
        <w:tc>
          <w:tcPr>
            <w:tcW w:w="101" w:type="dxa"/>
            <w:tcBorders/>
            <w:shd w:fill="auto" w:val="clear"/>
            <w:vAlign w:val="bottom"/>
          </w:tcPr>
          <w:p>
            <w:pPr>
              <w:pStyle w:val="TableContents"/>
              <w:spacing w:before="0" w:after="283"/>
              <w:rPr/>
            </w:pPr>
            <w:r>
              <w:rPr/>
              <w:t> </w:t>
            </w:r>
          </w:p>
        </w:tc>
        <w:tc>
          <w:tcPr>
            <w:tcW w:w="1940" w:type="dxa"/>
            <w:tcBorders/>
            <w:shd w:fill="auto" w:val="clear"/>
          </w:tcPr>
          <w:p>
            <w:pPr>
              <w:pStyle w:val="TableContents"/>
              <w:spacing w:before="0" w:after="283"/>
              <w:jc w:val="center"/>
              <w:rPr/>
            </w:pPr>
            <w:r>
              <w:rPr/>
              <w:t>211.50p</w:t>
            </w:r>
          </w:p>
        </w:tc>
      </w:tr>
      <w:tr>
        <w:trPr/>
        <w:tc>
          <w:tcPr>
            <w:tcW w:w="1837" w:type="dxa"/>
            <w:tcBorders/>
            <w:shd w:fill="auto" w:val="clear"/>
          </w:tcPr>
          <w:p>
            <w:pPr>
              <w:pStyle w:val="TableContents"/>
              <w:spacing w:before="0" w:after="283"/>
              <w:jc w:val="center"/>
              <w:rPr/>
            </w:pPr>
            <w:r>
              <w:rPr/>
              <w:t>April 20, 2023</w:t>
            </w:r>
          </w:p>
        </w:tc>
        <w:tc>
          <w:tcPr>
            <w:tcW w:w="102" w:type="dxa"/>
            <w:tcBorders/>
            <w:shd w:fill="auto" w:val="clear"/>
            <w:vAlign w:val="bottom"/>
          </w:tcPr>
          <w:p>
            <w:pPr>
              <w:pStyle w:val="TableContents"/>
              <w:spacing w:before="0" w:after="283"/>
              <w:rPr/>
            </w:pPr>
            <w:r>
              <w:rPr/>
              <w:t> </w:t>
            </w:r>
          </w:p>
        </w:tc>
        <w:tc>
          <w:tcPr>
            <w:tcW w:w="1939" w:type="dxa"/>
            <w:tcBorders/>
            <w:shd w:fill="auto" w:val="clear"/>
          </w:tcPr>
          <w:p>
            <w:pPr>
              <w:pStyle w:val="TableContents"/>
              <w:spacing w:before="0" w:after="283"/>
              <w:jc w:val="center"/>
              <w:rPr/>
            </w:pPr>
            <w:r>
              <w:rPr/>
              <w:t>8,614</w:t>
            </w:r>
          </w:p>
        </w:tc>
        <w:tc>
          <w:tcPr>
            <w:tcW w:w="102"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center"/>
              <w:rPr/>
            </w:pPr>
            <w:r>
              <w:rPr/>
              <w:t>205.27p</w:t>
            </w:r>
          </w:p>
        </w:tc>
        <w:tc>
          <w:tcPr>
            <w:tcW w:w="101"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210.00p</w:t>
            </w:r>
          </w:p>
        </w:tc>
        <w:tc>
          <w:tcPr>
            <w:tcW w:w="101" w:type="dxa"/>
            <w:tcBorders/>
            <w:shd w:fill="auto" w:val="clear"/>
            <w:vAlign w:val="bottom"/>
          </w:tcPr>
          <w:p>
            <w:pPr>
              <w:pStyle w:val="TableContents"/>
              <w:spacing w:before="0" w:after="283"/>
              <w:rPr/>
            </w:pPr>
            <w:r>
              <w:rPr/>
              <w:t> </w:t>
            </w:r>
          </w:p>
        </w:tc>
        <w:tc>
          <w:tcPr>
            <w:tcW w:w="1940" w:type="dxa"/>
            <w:tcBorders/>
            <w:shd w:fill="auto" w:val="clear"/>
          </w:tcPr>
          <w:p>
            <w:pPr>
              <w:pStyle w:val="TableContents"/>
              <w:spacing w:before="0" w:after="283"/>
              <w:jc w:val="center"/>
              <w:rPr/>
            </w:pPr>
            <w:r>
              <w:rPr/>
              <w:t>202.50p</w:t>
            </w:r>
          </w:p>
        </w:tc>
      </w:tr>
      <w:tr>
        <w:trPr/>
        <w:tc>
          <w:tcPr>
            <w:tcW w:w="1837" w:type="dxa"/>
            <w:tcBorders/>
            <w:shd w:fill="auto" w:val="clear"/>
          </w:tcPr>
          <w:p>
            <w:pPr>
              <w:pStyle w:val="TableContents"/>
              <w:spacing w:before="0" w:after="283"/>
              <w:jc w:val="center"/>
              <w:rPr/>
            </w:pPr>
            <w:r>
              <w:rPr/>
              <w:t>April 21, 2023</w:t>
            </w:r>
          </w:p>
        </w:tc>
        <w:tc>
          <w:tcPr>
            <w:tcW w:w="102" w:type="dxa"/>
            <w:tcBorders/>
            <w:shd w:fill="auto" w:val="clear"/>
            <w:vAlign w:val="bottom"/>
          </w:tcPr>
          <w:p>
            <w:pPr>
              <w:pStyle w:val="TableContents"/>
              <w:spacing w:before="0" w:after="283"/>
              <w:rPr/>
            </w:pPr>
            <w:r>
              <w:rPr/>
              <w:t> </w:t>
            </w:r>
          </w:p>
        </w:tc>
        <w:tc>
          <w:tcPr>
            <w:tcW w:w="1939" w:type="dxa"/>
            <w:tcBorders/>
            <w:shd w:fill="auto" w:val="clear"/>
          </w:tcPr>
          <w:p>
            <w:pPr>
              <w:pStyle w:val="TableContents"/>
              <w:spacing w:before="0" w:after="283"/>
              <w:jc w:val="center"/>
              <w:rPr/>
            </w:pPr>
            <w:r>
              <w:rPr/>
              <w:t>8,522</w:t>
            </w:r>
          </w:p>
        </w:tc>
        <w:tc>
          <w:tcPr>
            <w:tcW w:w="102"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center"/>
              <w:rPr/>
            </w:pPr>
            <w:r>
              <w:rPr/>
              <w:t>213.19p</w:t>
            </w:r>
          </w:p>
        </w:tc>
        <w:tc>
          <w:tcPr>
            <w:tcW w:w="101"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217.00p</w:t>
            </w:r>
          </w:p>
        </w:tc>
        <w:tc>
          <w:tcPr>
            <w:tcW w:w="101" w:type="dxa"/>
            <w:tcBorders/>
            <w:shd w:fill="auto" w:val="clear"/>
            <w:vAlign w:val="bottom"/>
          </w:tcPr>
          <w:p>
            <w:pPr>
              <w:pStyle w:val="TableContents"/>
              <w:spacing w:before="0" w:after="283"/>
              <w:rPr/>
            </w:pPr>
            <w:r>
              <w:rPr/>
              <w:t> </w:t>
            </w:r>
          </w:p>
        </w:tc>
        <w:tc>
          <w:tcPr>
            <w:tcW w:w="1940" w:type="dxa"/>
            <w:tcBorders/>
            <w:shd w:fill="auto" w:val="clear"/>
          </w:tcPr>
          <w:p>
            <w:pPr>
              <w:pStyle w:val="TableContents"/>
              <w:spacing w:before="0" w:after="283"/>
              <w:jc w:val="center"/>
              <w:rPr/>
            </w:pPr>
            <w:r>
              <w:rPr/>
              <w:t>208.00p</w:t>
            </w:r>
          </w:p>
        </w:tc>
      </w:tr>
      <w:tr>
        <w:trPr/>
        <w:tc>
          <w:tcPr>
            <w:tcW w:w="1837" w:type="dxa"/>
            <w:tcBorders/>
            <w:shd w:fill="auto" w:val="clear"/>
          </w:tcPr>
          <w:p>
            <w:pPr>
              <w:pStyle w:val="TableContents"/>
              <w:spacing w:before="0" w:after="283"/>
              <w:jc w:val="center"/>
              <w:rPr/>
            </w:pPr>
            <w:r>
              <w:rPr/>
              <w:t>April 24, 2023</w:t>
            </w:r>
          </w:p>
        </w:tc>
        <w:tc>
          <w:tcPr>
            <w:tcW w:w="102" w:type="dxa"/>
            <w:tcBorders/>
            <w:shd w:fill="auto" w:val="clear"/>
            <w:vAlign w:val="bottom"/>
          </w:tcPr>
          <w:p>
            <w:pPr>
              <w:pStyle w:val="TableContents"/>
              <w:spacing w:before="0" w:after="283"/>
              <w:rPr/>
            </w:pPr>
            <w:r>
              <w:rPr/>
              <w:t> </w:t>
            </w:r>
          </w:p>
        </w:tc>
        <w:tc>
          <w:tcPr>
            <w:tcW w:w="1939" w:type="dxa"/>
            <w:tcBorders/>
            <w:shd w:fill="auto" w:val="clear"/>
          </w:tcPr>
          <w:p>
            <w:pPr>
              <w:pStyle w:val="TableContents"/>
              <w:spacing w:before="0" w:after="283"/>
              <w:jc w:val="center"/>
              <w:rPr/>
            </w:pPr>
            <w:r>
              <w:rPr/>
              <w:t>8,537</w:t>
            </w:r>
          </w:p>
        </w:tc>
        <w:tc>
          <w:tcPr>
            <w:tcW w:w="102"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center"/>
              <w:rPr/>
            </w:pPr>
            <w:r>
              <w:rPr/>
              <w:t>214.13p</w:t>
            </w:r>
          </w:p>
        </w:tc>
        <w:tc>
          <w:tcPr>
            <w:tcW w:w="101"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217.50p</w:t>
            </w:r>
          </w:p>
        </w:tc>
        <w:tc>
          <w:tcPr>
            <w:tcW w:w="101" w:type="dxa"/>
            <w:tcBorders/>
            <w:shd w:fill="auto" w:val="clear"/>
            <w:vAlign w:val="bottom"/>
          </w:tcPr>
          <w:p>
            <w:pPr>
              <w:pStyle w:val="TableContents"/>
              <w:spacing w:before="0" w:after="283"/>
              <w:rPr/>
            </w:pPr>
            <w:r>
              <w:rPr/>
              <w:t> </w:t>
            </w:r>
          </w:p>
        </w:tc>
        <w:tc>
          <w:tcPr>
            <w:tcW w:w="1940" w:type="dxa"/>
            <w:tcBorders/>
            <w:shd w:fill="auto" w:val="clear"/>
          </w:tcPr>
          <w:p>
            <w:pPr>
              <w:pStyle w:val="TableContents"/>
              <w:spacing w:before="0" w:after="283"/>
              <w:jc w:val="center"/>
              <w:rPr/>
            </w:pPr>
            <w:r>
              <w:rPr/>
              <w:t>211.50p</w:t>
            </w:r>
          </w:p>
        </w:tc>
      </w:tr>
      <w:tr>
        <w:trPr/>
        <w:tc>
          <w:tcPr>
            <w:tcW w:w="1837" w:type="dxa"/>
            <w:tcBorders/>
            <w:shd w:fill="auto" w:val="clear"/>
          </w:tcPr>
          <w:p>
            <w:pPr>
              <w:pStyle w:val="TableContents"/>
              <w:spacing w:before="0" w:after="283"/>
              <w:jc w:val="center"/>
              <w:rPr/>
            </w:pPr>
            <w:r>
              <w:rPr/>
              <w:t>April 25, 2023</w:t>
            </w:r>
          </w:p>
        </w:tc>
        <w:tc>
          <w:tcPr>
            <w:tcW w:w="102" w:type="dxa"/>
            <w:tcBorders/>
            <w:shd w:fill="auto" w:val="clear"/>
            <w:vAlign w:val="bottom"/>
          </w:tcPr>
          <w:p>
            <w:pPr>
              <w:pStyle w:val="TableContents"/>
              <w:spacing w:before="0" w:after="283"/>
              <w:rPr/>
            </w:pPr>
            <w:r>
              <w:rPr/>
              <w:t> </w:t>
            </w:r>
          </w:p>
        </w:tc>
        <w:tc>
          <w:tcPr>
            <w:tcW w:w="1939" w:type="dxa"/>
            <w:tcBorders/>
            <w:shd w:fill="auto" w:val="clear"/>
          </w:tcPr>
          <w:p>
            <w:pPr>
              <w:pStyle w:val="TableContents"/>
              <w:spacing w:before="0" w:after="283"/>
              <w:jc w:val="center"/>
              <w:rPr/>
            </w:pPr>
            <w:r>
              <w:rPr/>
              <w:t>8,355</w:t>
            </w:r>
          </w:p>
        </w:tc>
        <w:tc>
          <w:tcPr>
            <w:tcW w:w="102" w:type="dxa"/>
            <w:tcBorders/>
            <w:shd w:fill="auto" w:val="clear"/>
            <w:vAlign w:val="bottom"/>
          </w:tcPr>
          <w:p>
            <w:pPr>
              <w:pStyle w:val="TableContents"/>
              <w:spacing w:before="0" w:after="283"/>
              <w:rPr/>
            </w:pPr>
            <w:r>
              <w:rPr/>
              <w:t> </w:t>
            </w:r>
          </w:p>
        </w:tc>
        <w:tc>
          <w:tcPr>
            <w:tcW w:w="2041" w:type="dxa"/>
            <w:tcBorders/>
            <w:shd w:fill="auto" w:val="clear"/>
          </w:tcPr>
          <w:p>
            <w:pPr>
              <w:pStyle w:val="TableContents"/>
              <w:spacing w:before="0" w:after="283"/>
              <w:jc w:val="center"/>
              <w:rPr/>
            </w:pPr>
            <w:r>
              <w:rPr/>
              <w:t>215.06p</w:t>
            </w:r>
          </w:p>
        </w:tc>
        <w:tc>
          <w:tcPr>
            <w:tcW w:w="101" w:type="dxa"/>
            <w:tcBorders/>
            <w:shd w:fill="auto" w:val="clear"/>
            <w:vAlign w:val="bottom"/>
          </w:tcPr>
          <w:p>
            <w:pPr>
              <w:pStyle w:val="TableContents"/>
              <w:spacing w:before="0" w:after="283"/>
              <w:rPr/>
            </w:pPr>
            <w:r>
              <w:rPr/>
              <w:t> </w:t>
            </w:r>
          </w:p>
        </w:tc>
        <w:tc>
          <w:tcPr>
            <w:tcW w:w="2042" w:type="dxa"/>
            <w:tcBorders/>
            <w:shd w:fill="auto" w:val="clear"/>
          </w:tcPr>
          <w:p>
            <w:pPr>
              <w:pStyle w:val="TableContents"/>
              <w:spacing w:before="0" w:after="283"/>
              <w:jc w:val="center"/>
              <w:rPr/>
            </w:pPr>
            <w:r>
              <w:rPr/>
              <w:t>218.50p</w:t>
            </w:r>
          </w:p>
        </w:tc>
        <w:tc>
          <w:tcPr>
            <w:tcW w:w="101" w:type="dxa"/>
            <w:tcBorders/>
            <w:shd w:fill="auto" w:val="clear"/>
            <w:vAlign w:val="bottom"/>
          </w:tcPr>
          <w:p>
            <w:pPr>
              <w:pStyle w:val="TableContents"/>
              <w:spacing w:before="0" w:after="283"/>
              <w:rPr/>
            </w:pPr>
            <w:r>
              <w:rPr/>
              <w:t> </w:t>
            </w:r>
          </w:p>
        </w:tc>
        <w:tc>
          <w:tcPr>
            <w:tcW w:w="1940" w:type="dxa"/>
            <w:tcBorders/>
            <w:shd w:fill="auto" w:val="clear"/>
          </w:tcPr>
          <w:p>
            <w:pPr>
              <w:pStyle w:val="TableContents"/>
              <w:spacing w:before="0" w:after="283"/>
              <w:jc w:val="center"/>
              <w:rPr/>
            </w:pPr>
            <w:r>
              <w:rPr/>
              <w:t>210.00p</w:t>
            </w:r>
          </w:p>
        </w:tc>
      </w:tr>
    </w:tbl>
    <w:p>
      <w:pPr>
        <w:pStyle w:val="HorizontalLine"/>
        <w:pBdr>
          <w:bottom w:val="double" w:sz="6" w:space="0" w:color="808080"/>
        </w:pBdr>
        <w:rPr/>
      </w:pPr>
      <w:r>
        <w:br w:type="page"/>
      </w:r>
      <w:r>
        <w:rPr/>
      </w:r>
    </w:p>
    <w:tbl>
      <w:tblPr>
        <w:tblW w:w="5000" w:type="pct"/>
        <w:jc w:val="center"/>
        <w:tblInd w:w="0" w:type="dxa"/>
        <w:tblCellMar>
          <w:top w:w="0" w:type="dxa"/>
          <w:left w:w="0" w:type="dxa"/>
          <w:bottom w:w="0" w:type="dxa"/>
          <w:right w:w="0" w:type="dxa"/>
        </w:tblCellMar>
      </w:tblPr>
      <w:tblGrid>
        <w:gridCol w:w="1837"/>
        <w:gridCol w:w="101"/>
        <w:gridCol w:w="1940"/>
        <w:gridCol w:w="100"/>
        <w:gridCol w:w="2043"/>
        <w:gridCol w:w="100"/>
        <w:gridCol w:w="2043"/>
        <w:gridCol w:w="101"/>
        <w:gridCol w:w="1940"/>
      </w:tblGrid>
      <w:tr>
        <w:trPr/>
        <w:tc>
          <w:tcPr>
            <w:tcW w:w="1837"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940"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2043"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2043"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1940" w:type="dxa"/>
            <w:tcBorders/>
            <w:shd w:fill="auto" w:val="clear"/>
            <w:vAlign w:val="center"/>
          </w:tcPr>
          <w:p>
            <w:pPr>
              <w:pStyle w:val="TableContents"/>
              <w:spacing w:before="0" w:after="283"/>
              <w:rPr>
                <w:sz w:val="4"/>
                <w:szCs w:val="4"/>
              </w:rPr>
            </w:pPr>
            <w:r>
              <w:rPr>
                <w:sz w:val="4"/>
                <w:szCs w:val="4"/>
              </w:rPr>
            </w:r>
          </w:p>
        </w:tc>
      </w:tr>
      <w:tr>
        <w:trPr/>
        <w:tc>
          <w:tcPr>
            <w:tcW w:w="1837" w:type="dxa"/>
            <w:tcBorders/>
            <w:shd w:fill="auto" w:val="clear"/>
          </w:tcPr>
          <w:p>
            <w:pPr>
              <w:pStyle w:val="TableContents"/>
              <w:spacing w:before="0" w:after="283"/>
              <w:jc w:val="center"/>
              <w:rPr/>
            </w:pPr>
            <w:r>
              <w:rPr/>
              <w:t>April 26, 2023</w:t>
            </w:r>
          </w:p>
        </w:tc>
        <w:tc>
          <w:tcPr>
            <w:tcW w:w="101" w:type="dxa"/>
            <w:tcBorders/>
            <w:shd w:fill="auto" w:val="clear"/>
            <w:vAlign w:val="bottom"/>
          </w:tcPr>
          <w:p>
            <w:pPr>
              <w:pStyle w:val="TableContents"/>
              <w:spacing w:before="0" w:after="283"/>
              <w:rPr/>
            </w:pPr>
            <w:r>
              <w:rPr/>
              <w:t> </w:t>
            </w:r>
          </w:p>
        </w:tc>
        <w:tc>
          <w:tcPr>
            <w:tcW w:w="1940" w:type="dxa"/>
            <w:tcBorders/>
            <w:shd w:fill="auto" w:val="clear"/>
          </w:tcPr>
          <w:p>
            <w:pPr>
              <w:pStyle w:val="TableContents"/>
              <w:spacing w:before="0" w:after="283"/>
              <w:jc w:val="center"/>
              <w:rPr/>
            </w:pPr>
            <w:r>
              <w:rPr/>
              <w:t>7,954</w:t>
            </w:r>
          </w:p>
        </w:tc>
        <w:tc>
          <w:tcPr>
            <w:tcW w:w="100" w:type="dxa"/>
            <w:tcBorders/>
            <w:shd w:fill="auto" w:val="clear"/>
            <w:vAlign w:val="bottom"/>
          </w:tcPr>
          <w:p>
            <w:pPr>
              <w:pStyle w:val="TableContents"/>
              <w:spacing w:before="0" w:after="283"/>
              <w:rPr/>
            </w:pPr>
            <w:r>
              <w:rPr/>
              <w:t> </w:t>
            </w:r>
          </w:p>
        </w:tc>
        <w:tc>
          <w:tcPr>
            <w:tcW w:w="2043" w:type="dxa"/>
            <w:tcBorders/>
            <w:shd w:fill="auto" w:val="clear"/>
          </w:tcPr>
          <w:p>
            <w:pPr>
              <w:pStyle w:val="TableContents"/>
              <w:spacing w:before="0" w:after="283"/>
              <w:jc w:val="center"/>
              <w:rPr/>
            </w:pPr>
            <w:r>
              <w:rPr/>
              <w:t>210.26p</w:t>
            </w:r>
          </w:p>
        </w:tc>
        <w:tc>
          <w:tcPr>
            <w:tcW w:w="100" w:type="dxa"/>
            <w:tcBorders/>
            <w:shd w:fill="auto" w:val="clear"/>
            <w:vAlign w:val="bottom"/>
          </w:tcPr>
          <w:p>
            <w:pPr>
              <w:pStyle w:val="TableContents"/>
              <w:spacing w:before="0" w:after="283"/>
              <w:rPr/>
            </w:pPr>
            <w:r>
              <w:rPr/>
              <w:t> </w:t>
            </w:r>
          </w:p>
        </w:tc>
        <w:tc>
          <w:tcPr>
            <w:tcW w:w="2043" w:type="dxa"/>
            <w:tcBorders/>
            <w:shd w:fill="auto" w:val="clear"/>
          </w:tcPr>
          <w:p>
            <w:pPr>
              <w:pStyle w:val="TableContents"/>
              <w:spacing w:before="0" w:after="283"/>
              <w:jc w:val="center"/>
              <w:rPr/>
            </w:pPr>
            <w:r>
              <w:rPr/>
              <w:t>212.50p</w:t>
            </w:r>
          </w:p>
        </w:tc>
        <w:tc>
          <w:tcPr>
            <w:tcW w:w="101" w:type="dxa"/>
            <w:tcBorders/>
            <w:shd w:fill="auto" w:val="clear"/>
            <w:vAlign w:val="bottom"/>
          </w:tcPr>
          <w:p>
            <w:pPr>
              <w:pStyle w:val="TableContents"/>
              <w:spacing w:before="0" w:after="283"/>
              <w:rPr/>
            </w:pPr>
            <w:r>
              <w:rPr/>
              <w:t> </w:t>
            </w:r>
          </w:p>
        </w:tc>
        <w:tc>
          <w:tcPr>
            <w:tcW w:w="1940" w:type="dxa"/>
            <w:tcBorders/>
            <w:shd w:fill="auto" w:val="clear"/>
          </w:tcPr>
          <w:p>
            <w:pPr>
              <w:pStyle w:val="TableContents"/>
              <w:spacing w:before="0" w:after="283"/>
              <w:jc w:val="center"/>
              <w:rPr/>
            </w:pPr>
            <w:r>
              <w:rPr/>
              <w:t>208.00p</w:t>
            </w:r>
          </w:p>
        </w:tc>
      </w:tr>
      <w:tr>
        <w:trPr/>
        <w:tc>
          <w:tcPr>
            <w:tcW w:w="1837" w:type="dxa"/>
            <w:tcBorders/>
            <w:shd w:fill="auto" w:val="clear"/>
          </w:tcPr>
          <w:p>
            <w:pPr>
              <w:pStyle w:val="TableContents"/>
              <w:spacing w:before="0" w:after="283"/>
              <w:jc w:val="center"/>
              <w:rPr/>
            </w:pPr>
            <w:r>
              <w:rPr/>
              <w:t>April 27, 2023</w:t>
            </w:r>
          </w:p>
        </w:tc>
        <w:tc>
          <w:tcPr>
            <w:tcW w:w="101" w:type="dxa"/>
            <w:tcBorders/>
            <w:shd w:fill="auto" w:val="clear"/>
            <w:vAlign w:val="bottom"/>
          </w:tcPr>
          <w:p>
            <w:pPr>
              <w:pStyle w:val="TableContents"/>
              <w:spacing w:before="0" w:after="283"/>
              <w:rPr/>
            </w:pPr>
            <w:r>
              <w:rPr/>
              <w:t> </w:t>
            </w:r>
          </w:p>
        </w:tc>
        <w:tc>
          <w:tcPr>
            <w:tcW w:w="1940" w:type="dxa"/>
            <w:tcBorders/>
            <w:shd w:fill="auto" w:val="clear"/>
          </w:tcPr>
          <w:p>
            <w:pPr>
              <w:pStyle w:val="TableContents"/>
              <w:spacing w:before="0" w:after="283"/>
              <w:jc w:val="center"/>
              <w:rPr/>
            </w:pPr>
            <w:r>
              <w:rPr/>
              <w:t>7,937</w:t>
            </w:r>
          </w:p>
        </w:tc>
        <w:tc>
          <w:tcPr>
            <w:tcW w:w="100" w:type="dxa"/>
            <w:tcBorders/>
            <w:shd w:fill="auto" w:val="clear"/>
            <w:vAlign w:val="bottom"/>
          </w:tcPr>
          <w:p>
            <w:pPr>
              <w:pStyle w:val="TableContents"/>
              <w:spacing w:before="0" w:after="283"/>
              <w:rPr/>
            </w:pPr>
            <w:r>
              <w:rPr/>
              <w:t> </w:t>
            </w:r>
          </w:p>
        </w:tc>
        <w:tc>
          <w:tcPr>
            <w:tcW w:w="2043" w:type="dxa"/>
            <w:tcBorders/>
            <w:shd w:fill="auto" w:val="clear"/>
          </w:tcPr>
          <w:p>
            <w:pPr>
              <w:pStyle w:val="TableContents"/>
              <w:spacing w:before="0" w:after="283"/>
              <w:jc w:val="center"/>
              <w:rPr/>
            </w:pPr>
            <w:r>
              <w:rPr/>
              <w:t>211.54p</w:t>
            </w:r>
          </w:p>
        </w:tc>
        <w:tc>
          <w:tcPr>
            <w:tcW w:w="100" w:type="dxa"/>
            <w:tcBorders/>
            <w:shd w:fill="auto" w:val="clear"/>
            <w:vAlign w:val="bottom"/>
          </w:tcPr>
          <w:p>
            <w:pPr>
              <w:pStyle w:val="TableContents"/>
              <w:spacing w:before="0" w:after="283"/>
              <w:rPr/>
            </w:pPr>
            <w:r>
              <w:rPr/>
              <w:t> </w:t>
            </w:r>
          </w:p>
        </w:tc>
        <w:tc>
          <w:tcPr>
            <w:tcW w:w="2043" w:type="dxa"/>
            <w:tcBorders/>
            <w:shd w:fill="auto" w:val="clear"/>
          </w:tcPr>
          <w:p>
            <w:pPr>
              <w:pStyle w:val="TableContents"/>
              <w:spacing w:before="0" w:after="283"/>
              <w:jc w:val="center"/>
              <w:rPr/>
            </w:pPr>
            <w:r>
              <w:rPr/>
              <w:t>214.50p</w:t>
            </w:r>
          </w:p>
        </w:tc>
        <w:tc>
          <w:tcPr>
            <w:tcW w:w="101" w:type="dxa"/>
            <w:tcBorders/>
            <w:shd w:fill="auto" w:val="clear"/>
            <w:vAlign w:val="bottom"/>
          </w:tcPr>
          <w:p>
            <w:pPr>
              <w:pStyle w:val="TableContents"/>
              <w:spacing w:before="0" w:after="283"/>
              <w:rPr/>
            </w:pPr>
            <w:r>
              <w:rPr/>
              <w:t> </w:t>
            </w:r>
          </w:p>
        </w:tc>
        <w:tc>
          <w:tcPr>
            <w:tcW w:w="1940" w:type="dxa"/>
            <w:tcBorders/>
            <w:shd w:fill="auto" w:val="clear"/>
          </w:tcPr>
          <w:p>
            <w:pPr>
              <w:pStyle w:val="TableContents"/>
              <w:spacing w:before="0" w:after="283"/>
              <w:jc w:val="center"/>
              <w:rPr/>
            </w:pPr>
            <w:r>
              <w:rPr/>
              <w:t>208.00p</w:t>
            </w:r>
          </w:p>
        </w:tc>
      </w:tr>
      <w:tr>
        <w:trPr/>
        <w:tc>
          <w:tcPr>
            <w:tcW w:w="1837" w:type="dxa"/>
            <w:tcBorders/>
            <w:shd w:fill="auto" w:val="clear"/>
          </w:tcPr>
          <w:p>
            <w:pPr>
              <w:pStyle w:val="TableContents"/>
              <w:spacing w:before="0" w:after="283"/>
              <w:jc w:val="center"/>
              <w:rPr/>
            </w:pPr>
            <w:r>
              <w:rPr/>
              <w:t>April 28, 2023</w:t>
            </w:r>
          </w:p>
        </w:tc>
        <w:tc>
          <w:tcPr>
            <w:tcW w:w="101" w:type="dxa"/>
            <w:tcBorders/>
            <w:shd w:fill="auto" w:val="clear"/>
            <w:vAlign w:val="bottom"/>
          </w:tcPr>
          <w:p>
            <w:pPr>
              <w:pStyle w:val="TableContents"/>
              <w:spacing w:before="0" w:after="283"/>
              <w:rPr/>
            </w:pPr>
            <w:r>
              <w:rPr/>
              <w:t> </w:t>
            </w:r>
          </w:p>
        </w:tc>
        <w:tc>
          <w:tcPr>
            <w:tcW w:w="1940" w:type="dxa"/>
            <w:tcBorders/>
            <w:shd w:fill="auto" w:val="clear"/>
          </w:tcPr>
          <w:p>
            <w:pPr>
              <w:pStyle w:val="TableContents"/>
              <w:spacing w:before="0" w:after="283"/>
              <w:jc w:val="center"/>
              <w:rPr/>
            </w:pPr>
            <w:r>
              <w:rPr/>
              <w:t>8,263</w:t>
            </w:r>
          </w:p>
        </w:tc>
        <w:tc>
          <w:tcPr>
            <w:tcW w:w="100" w:type="dxa"/>
            <w:tcBorders/>
            <w:shd w:fill="auto" w:val="clear"/>
            <w:vAlign w:val="bottom"/>
          </w:tcPr>
          <w:p>
            <w:pPr>
              <w:pStyle w:val="TableContents"/>
              <w:spacing w:before="0" w:after="283"/>
              <w:rPr/>
            </w:pPr>
            <w:r>
              <w:rPr/>
              <w:t> </w:t>
            </w:r>
          </w:p>
        </w:tc>
        <w:tc>
          <w:tcPr>
            <w:tcW w:w="2043" w:type="dxa"/>
            <w:tcBorders/>
            <w:shd w:fill="auto" w:val="clear"/>
          </w:tcPr>
          <w:p>
            <w:pPr>
              <w:pStyle w:val="TableContents"/>
              <w:spacing w:before="0" w:after="283"/>
              <w:jc w:val="center"/>
              <w:rPr/>
            </w:pPr>
            <w:r>
              <w:rPr/>
              <w:t>208.66p</w:t>
            </w:r>
          </w:p>
        </w:tc>
        <w:tc>
          <w:tcPr>
            <w:tcW w:w="100" w:type="dxa"/>
            <w:tcBorders/>
            <w:shd w:fill="auto" w:val="clear"/>
            <w:vAlign w:val="bottom"/>
          </w:tcPr>
          <w:p>
            <w:pPr>
              <w:pStyle w:val="TableContents"/>
              <w:spacing w:before="0" w:after="283"/>
              <w:rPr/>
            </w:pPr>
            <w:r>
              <w:rPr/>
              <w:t> </w:t>
            </w:r>
          </w:p>
        </w:tc>
        <w:tc>
          <w:tcPr>
            <w:tcW w:w="2043" w:type="dxa"/>
            <w:tcBorders/>
            <w:shd w:fill="auto" w:val="clear"/>
          </w:tcPr>
          <w:p>
            <w:pPr>
              <w:pStyle w:val="TableContents"/>
              <w:spacing w:before="0" w:after="283"/>
              <w:jc w:val="center"/>
              <w:rPr/>
            </w:pPr>
            <w:r>
              <w:rPr/>
              <w:t>203.00p</w:t>
            </w:r>
          </w:p>
        </w:tc>
        <w:tc>
          <w:tcPr>
            <w:tcW w:w="101" w:type="dxa"/>
            <w:tcBorders/>
            <w:shd w:fill="auto" w:val="clear"/>
            <w:vAlign w:val="bottom"/>
          </w:tcPr>
          <w:p>
            <w:pPr>
              <w:pStyle w:val="TableContents"/>
              <w:spacing w:before="0" w:after="283"/>
              <w:rPr/>
            </w:pPr>
            <w:r>
              <w:rPr/>
              <w:t> </w:t>
            </w:r>
          </w:p>
        </w:tc>
        <w:tc>
          <w:tcPr>
            <w:tcW w:w="1940" w:type="dxa"/>
            <w:tcBorders/>
            <w:shd w:fill="auto" w:val="clear"/>
          </w:tcPr>
          <w:p>
            <w:pPr>
              <w:pStyle w:val="TableContents"/>
              <w:spacing w:before="0" w:after="283"/>
              <w:jc w:val="center"/>
              <w:rPr/>
            </w:pPr>
            <w:r>
              <w:rPr/>
              <w:t>213.00p</w:t>
            </w:r>
          </w:p>
        </w:tc>
      </w:tr>
    </w:tbl>
    <w:p>
      <w:pPr>
        <w:pStyle w:val="TextBody"/>
        <w:spacing w:before="240" w:after="0"/>
        <w:jc w:val="left"/>
        <w:rPr>
          <w:rFonts w:ascii="Times New Roman" w:hAnsi="Times New Roman"/>
          <w:sz w:val="20"/>
        </w:rPr>
      </w:pPr>
      <w:r>
        <w:rPr>
          <w:rFonts w:ascii="Times New Roman" w:hAnsi="Times New Roman"/>
          <w:sz w:val="20"/>
        </w:rPr>
        <w:t xml:space="preserve">During the month ended April 30, 2023, the Company repurchased an aggregate of 165,143 Ordinary Shares. As of April 30, 2023, the Companys issued share capital was 289,468,159 shares, 11,195,573 of which were held in treasury, resulting in total voting rights in the Company of 278,272,586 shares. To view the details of the individual transactions, please paste the following URL(s) into the address bar of your browser with respect to each individual date of repurchase under the Program: </w:t>
      </w:r>
    </w:p>
    <w:p>
      <w:pPr>
        <w:pStyle w:val="TextBody"/>
        <w:spacing w:before="240" w:after="0"/>
        <w:jc w:val="left"/>
        <w:rPr>
          <w:rFonts w:ascii="Times New Roman" w:hAnsi="Times New Roman"/>
          <w:sz w:val="20"/>
        </w:rPr>
      </w:pPr>
      <w:r>
        <w:rPr>
          <w:rFonts w:ascii="Times New Roman" w:hAnsi="Times New Roman"/>
          <w:sz w:val="20"/>
        </w:rPr>
        <w:t xml:space="preserve">April 3, 2023: </w:t>
      </w:r>
      <w:r>
        <w:rPr>
          <w:rFonts w:ascii="Times New Roman" w:hAnsi="Times New Roman"/>
          <w:sz w:val="20"/>
          <w:u w:val="single"/>
        </w:rPr>
        <w:t>https://data.fca.org.uk/artefacts/NSM/RNS/4727519.html</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 w:hAnsi="Times New Roman"/>
          <w:sz w:val="20"/>
        </w:rPr>
        <w:t xml:space="preserve">April 4, 2023: </w:t>
      </w:r>
      <w:r>
        <w:rPr>
          <w:rFonts w:ascii="Times New Roman" w:hAnsi="Times New Roman"/>
          <w:sz w:val="20"/>
          <w:u w:val="single"/>
        </w:rPr>
        <w:t>https://data.fca.org.uk/artefacts/NSM/RNS/4729148.html</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 w:hAnsi="Times New Roman"/>
          <w:sz w:val="20"/>
        </w:rPr>
        <w:t xml:space="preserve">April 5, 2023: </w:t>
      </w:r>
      <w:r>
        <w:rPr>
          <w:rFonts w:ascii="Times New Roman" w:hAnsi="Times New Roman"/>
          <w:sz w:val="20"/>
          <w:u w:val="single"/>
        </w:rPr>
        <w:t>https://data.fca.org.uk/artefacts/NSM/RNS/4730772.html</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 w:hAnsi="Times New Roman"/>
          <w:sz w:val="20"/>
        </w:rPr>
        <w:t xml:space="preserve">April 6, 2023: </w:t>
      </w:r>
      <w:r>
        <w:rPr>
          <w:rFonts w:ascii="Times New Roman" w:hAnsi="Times New Roman"/>
          <w:sz w:val="20"/>
          <w:u w:val="single"/>
        </w:rPr>
        <w:t>https://data.fca.org.uk/artefacts/NSM/RNS/4732344.html</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 w:hAnsi="Times New Roman"/>
          <w:sz w:val="20"/>
        </w:rPr>
        <w:t xml:space="preserve">April 11, 2023: </w:t>
      </w:r>
      <w:r>
        <w:rPr>
          <w:rFonts w:ascii="Times New Roman" w:hAnsi="Times New Roman"/>
          <w:sz w:val="20"/>
          <w:u w:val="single"/>
        </w:rPr>
        <w:t>https://data.fca.org.uk/artefacts/NSM/RNS/4734159.html</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 w:hAnsi="Times New Roman"/>
          <w:sz w:val="20"/>
        </w:rPr>
        <w:t xml:space="preserve">April 12, 2023: </w:t>
      </w:r>
      <w:r>
        <w:rPr>
          <w:rFonts w:ascii="Times New Roman" w:hAnsi="Times New Roman"/>
          <w:sz w:val="20"/>
          <w:u w:val="single"/>
        </w:rPr>
        <w:t>https://data.fca.org.uk/artefacts/NSM/RNS/4735684.html</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 w:hAnsi="Times New Roman"/>
          <w:sz w:val="20"/>
        </w:rPr>
        <w:t xml:space="preserve">April 13, 2023: </w:t>
      </w:r>
      <w:r>
        <w:rPr>
          <w:rFonts w:ascii="Times New Roman" w:hAnsi="Times New Roman"/>
          <w:sz w:val="20"/>
          <w:u w:val="single"/>
        </w:rPr>
        <w:t>https://data.fca.org.uk/artefacts/NSM/RNS/4737201.html</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 w:hAnsi="Times New Roman"/>
          <w:sz w:val="20"/>
        </w:rPr>
        <w:t xml:space="preserve">April 14, 2023: </w:t>
      </w:r>
      <w:r>
        <w:rPr>
          <w:rFonts w:ascii="Times New Roman" w:hAnsi="Times New Roman"/>
          <w:sz w:val="20"/>
          <w:u w:val="single"/>
        </w:rPr>
        <w:t>https://data.fca.org.uk/artefacts/NSM/RNS/4738607.html</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 w:hAnsi="Times New Roman"/>
          <w:sz w:val="20"/>
        </w:rPr>
        <w:t xml:space="preserve">April 17, 2023: </w:t>
      </w:r>
      <w:r>
        <w:rPr>
          <w:rFonts w:ascii="Times New Roman" w:hAnsi="Times New Roman"/>
          <w:sz w:val="20"/>
          <w:u w:val="single"/>
        </w:rPr>
        <w:t>https://data.fca.org.uk/artefacts/NSM/RNS/4740218.html</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 w:hAnsi="Times New Roman"/>
          <w:sz w:val="20"/>
        </w:rPr>
        <w:t xml:space="preserve">April 18, 2023: </w:t>
      </w:r>
      <w:r>
        <w:rPr>
          <w:rFonts w:ascii="Times New Roman" w:hAnsi="Times New Roman"/>
          <w:sz w:val="20"/>
          <w:u w:val="single"/>
        </w:rPr>
        <w:t>https://data.fca.org.uk/artefacts/NSM/RNS/4741941.html</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 w:hAnsi="Times New Roman"/>
          <w:sz w:val="20"/>
        </w:rPr>
        <w:t xml:space="preserve">April 19, 2023: </w:t>
      </w:r>
      <w:r>
        <w:rPr>
          <w:rFonts w:ascii="Times New Roman" w:hAnsi="Times New Roman"/>
          <w:sz w:val="20"/>
          <w:u w:val="single"/>
        </w:rPr>
        <w:t>https://data.fca.org.uk/artefacts/NSM/RNS/4743461.html</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 w:hAnsi="Times New Roman"/>
          <w:sz w:val="20"/>
        </w:rPr>
        <w:t xml:space="preserve">April 20, 2023: </w:t>
      </w:r>
      <w:r>
        <w:rPr>
          <w:rFonts w:ascii="Times New Roman" w:hAnsi="Times New Roman"/>
          <w:sz w:val="20"/>
          <w:u w:val="single"/>
        </w:rPr>
        <w:t>https://data.fca.org.uk/artefacts/NSM/RNS/4745113.html</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 w:hAnsi="Times New Roman"/>
          <w:sz w:val="20"/>
        </w:rPr>
        <w:t xml:space="preserve">April 21, 2023: </w:t>
      </w:r>
      <w:r>
        <w:rPr>
          <w:rFonts w:ascii="Times New Roman" w:hAnsi="Times New Roman"/>
          <w:sz w:val="20"/>
          <w:u w:val="single"/>
        </w:rPr>
        <w:t>https://data.fca.org.uk/artefacts/NSM/RNS/4746586.html</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 w:hAnsi="Times New Roman"/>
          <w:sz w:val="20"/>
        </w:rPr>
        <w:t xml:space="preserve">April 24, 2023: </w:t>
      </w:r>
      <w:r>
        <w:rPr>
          <w:rFonts w:ascii="Times New Roman" w:hAnsi="Times New Roman"/>
          <w:sz w:val="20"/>
          <w:u w:val="single"/>
        </w:rPr>
        <w:t>https://data.fca.org.uk/artefacts/NSM/RNS/4748164.html</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 w:hAnsi="Times New Roman"/>
          <w:sz w:val="20"/>
        </w:rPr>
        <w:t xml:space="preserve">April 25, 2023: </w:t>
      </w:r>
      <w:r>
        <w:rPr>
          <w:rFonts w:ascii="Times New Roman" w:hAnsi="Times New Roman"/>
          <w:sz w:val="20"/>
          <w:u w:val="single"/>
        </w:rPr>
        <w:t>https://data.fca.org.uk/artefacts/NSM/RNS/4749761.html</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 w:hAnsi="Times New Roman"/>
          <w:sz w:val="20"/>
        </w:rPr>
        <w:t xml:space="preserve">April 26, 2023: </w:t>
      </w:r>
      <w:r>
        <w:rPr>
          <w:rFonts w:ascii="Times New Roman" w:hAnsi="Times New Roman"/>
          <w:sz w:val="20"/>
          <w:u w:val="single"/>
        </w:rPr>
        <w:t>https://data.fca.org.uk/artefacts/NSM/RNS/4751521.html</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 w:hAnsi="Times New Roman"/>
          <w:sz w:val="20"/>
        </w:rPr>
        <w:t xml:space="preserve">April 27, 2023: </w:t>
      </w:r>
      <w:r>
        <w:rPr>
          <w:rFonts w:ascii="Times New Roman" w:hAnsi="Times New Roman"/>
          <w:sz w:val="20"/>
          <w:u w:val="single"/>
        </w:rPr>
        <w:t>https://data.fca.org.uk/artefacts/NSM/RNS/4753091.html</w:t>
      </w:r>
      <w:r>
        <w:rPr>
          <w:rFonts w:ascii="Times New Roman" w:hAnsi="Times New Roman"/>
          <w:sz w:val="20"/>
        </w:rPr>
        <w:t xml:space="preserve"> </w:t>
      </w:r>
    </w:p>
    <w:p>
      <w:pPr>
        <w:pStyle w:val="TextBody"/>
        <w:spacing w:before="0" w:after="0"/>
        <w:jc w:val="left"/>
        <w:rPr>
          <w:rFonts w:ascii="Times New Roman" w:hAnsi="Times New Roman"/>
          <w:sz w:val="20"/>
        </w:rPr>
      </w:pPr>
      <w:r>
        <w:rPr>
          <w:rFonts w:ascii="Times New Roman" w:hAnsi="Times New Roman"/>
          <w:sz w:val="20"/>
        </w:rPr>
        <w:t xml:space="preserve">April 28, 2023: </w:t>
      </w:r>
      <w:r>
        <w:rPr>
          <w:rFonts w:ascii="Times New Roman" w:hAnsi="Times New Roman"/>
          <w:sz w:val="20"/>
          <w:u w:val="single"/>
        </w:rPr>
        <w:t>https://data.fca.org.uk/artefacts/NSM/RNS/4754883.html</w:t>
      </w:r>
      <w:r>
        <w:rPr>
          <w:rFonts w:ascii="Times New Roman" w:hAnsi="Times New Roman"/>
          <w:sz w:val="20"/>
        </w:rPr>
        <w:t xml:space="preserve"> </w:t>
      </w:r>
      <w:r>
        <w:br w:type="page"/>
      </w:r>
    </w:p>
    <w:p>
      <w:pPr>
        <w:pStyle w:val="HorizontalLine"/>
        <w:pBdr>
          <w:bottom w:val="double" w:sz="6" w:space="0" w:color="808080"/>
        </w:pBdr>
        <w:rPr/>
      </w:pPr>
      <w:r>
        <w:rPr/>
      </w:r>
    </w:p>
    <w:p>
      <w:pPr>
        <w:pStyle w:val="TextBody"/>
        <w:spacing w:before="0" w:after="0"/>
        <w:jc w:val="center"/>
        <w:rPr>
          <w:rFonts w:ascii="Times New Roman" w:hAnsi="Times New Roman"/>
          <w:b/>
          <w:sz w:val="20"/>
        </w:rPr>
      </w:pPr>
      <w:r>
        <w:rPr>
          <w:rFonts w:ascii="Times New Roman" w:hAnsi="Times New Roman"/>
          <w:b/>
          <w:sz w:val="20"/>
        </w:rPr>
        <w:t xml:space="preserve">SIGNATURES </w:t>
      </w:r>
    </w:p>
    <w:p>
      <w:pPr>
        <w:pStyle w:val="TextBody"/>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3"/>
        <w:gridCol w:w="108"/>
        <w:gridCol w:w="476"/>
        <w:gridCol w:w="108"/>
        <w:gridCol w:w="661"/>
        <w:gridCol w:w="108"/>
        <w:gridCol w:w="4671"/>
      </w:tblGrid>
      <w:tr>
        <w:trPr/>
        <w:tc>
          <w:tcPr>
            <w:tcW w:w="4073"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476"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661"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4671" w:type="dxa"/>
            <w:tcBorders/>
            <w:shd w:fill="auto" w:val="clear"/>
            <w:vAlign w:val="center"/>
          </w:tcPr>
          <w:p>
            <w:pPr>
              <w:pStyle w:val="TableContents"/>
              <w:spacing w:before="0" w:after="283"/>
              <w:rPr>
                <w:sz w:val="4"/>
                <w:szCs w:val="4"/>
              </w:rPr>
            </w:pPr>
            <w:r>
              <w:rPr>
                <w:sz w:val="4"/>
                <w:szCs w:val="4"/>
              </w:rPr>
            </w:r>
          </w:p>
        </w:tc>
      </w:tr>
      <w:tr>
        <w:trPr/>
        <w:tc>
          <w:tcPr>
            <w:tcW w:w="4073"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6024" w:type="dxa"/>
            <w:gridSpan w:val="5"/>
            <w:tcBorders/>
            <w:shd w:fill="auto" w:val="clear"/>
            <w:vAlign w:val="bottom"/>
          </w:tcPr>
          <w:p>
            <w:pPr>
              <w:pStyle w:val="TableContents"/>
              <w:spacing w:before="0" w:after="283"/>
              <w:rPr/>
            </w:pPr>
            <w:r>
              <w:rPr/>
              <w:t>PURETECH HEALTH PLC</w:t>
            </w:r>
          </w:p>
        </w:tc>
      </w:tr>
      <w:tr>
        <w:trPr>
          <w:trHeight w:val="240" w:hRule="atLeast"/>
        </w:trPr>
        <w:tc>
          <w:tcPr>
            <w:tcW w:w="4073" w:type="dxa"/>
            <w:tcBorders/>
            <w:shd w:fill="auto" w:val="clear"/>
            <w:vAlign w:val="center"/>
          </w:tcPr>
          <w:p>
            <w:pPr>
              <w:pStyle w:val="TableContents"/>
              <w:spacing w:before="0" w:after="283"/>
              <w:rPr>
                <w:sz w:val="4"/>
                <w:szCs w:val="4"/>
              </w:rPr>
            </w:pPr>
            <w:r>
              <w:rPr>
                <w:sz w:val="4"/>
                <w:szCs w:val="4"/>
              </w:rPr>
            </w:r>
          </w:p>
        </w:tc>
        <w:tc>
          <w:tcPr>
            <w:tcW w:w="584" w:type="dxa"/>
            <w:gridSpan w:val="2"/>
            <w:tcBorders/>
            <w:shd w:fill="auto" w:val="clear"/>
            <w:vAlign w:val="center"/>
          </w:tcPr>
          <w:p>
            <w:pPr>
              <w:pStyle w:val="TableContents"/>
              <w:spacing w:before="0" w:after="283"/>
              <w:rPr>
                <w:sz w:val="4"/>
                <w:szCs w:val="4"/>
              </w:rPr>
            </w:pPr>
            <w:r>
              <w:rPr>
                <w:sz w:val="4"/>
                <w:szCs w:val="4"/>
              </w:rPr>
            </w:r>
          </w:p>
        </w:tc>
        <w:tc>
          <w:tcPr>
            <w:tcW w:w="5548" w:type="dxa"/>
            <w:gridSpan w:val="4"/>
            <w:tcBorders/>
            <w:shd w:fill="auto" w:val="clear"/>
            <w:vAlign w:val="center"/>
          </w:tcPr>
          <w:p>
            <w:pPr>
              <w:pStyle w:val="TableContents"/>
              <w:spacing w:before="0" w:after="283"/>
              <w:rPr>
                <w:sz w:val="4"/>
                <w:szCs w:val="4"/>
              </w:rPr>
            </w:pPr>
            <w:r>
              <w:rPr>
                <w:sz w:val="4"/>
                <w:szCs w:val="4"/>
              </w:rPr>
            </w:r>
          </w:p>
        </w:tc>
      </w:tr>
      <w:tr>
        <w:trPr/>
        <w:tc>
          <w:tcPr>
            <w:tcW w:w="4073" w:type="dxa"/>
            <w:tcBorders/>
            <w:shd w:fill="auto" w:val="clear"/>
          </w:tcPr>
          <w:p>
            <w:pPr>
              <w:pStyle w:val="TableContents"/>
              <w:spacing w:before="0" w:after="283"/>
              <w:rPr/>
            </w:pPr>
            <w:r>
              <w:rPr/>
              <w:t>Date: May 3, 2023</w:t>
            </w:r>
          </w:p>
        </w:tc>
        <w:tc>
          <w:tcPr>
            <w:tcW w:w="108" w:type="dxa"/>
            <w:tcBorders/>
            <w:shd w:fill="auto" w:val="clear"/>
            <w:vAlign w:val="bottom"/>
          </w:tcPr>
          <w:p>
            <w:pPr>
              <w:pStyle w:val="TableContents"/>
              <w:spacing w:before="0" w:after="283"/>
              <w:rPr/>
            </w:pPr>
            <w:r>
              <w:rPr/>
              <w:t> </w:t>
            </w:r>
          </w:p>
        </w:tc>
        <w:tc>
          <w:tcPr>
            <w:tcW w:w="476" w:type="dxa"/>
            <w:tcBorders/>
            <w:shd w:fill="auto" w:val="clear"/>
          </w:tcPr>
          <w:p>
            <w:pPr>
              <w:pStyle w:val="TableContents"/>
              <w:spacing w:before="0" w:after="283"/>
              <w:rPr/>
            </w:pPr>
            <w:r>
              <w:rPr/>
              <w:t>By:</w:t>
            </w:r>
          </w:p>
        </w:tc>
        <w:tc>
          <w:tcPr>
            <w:tcW w:w="108" w:type="dxa"/>
            <w:tcBorders/>
            <w:shd w:fill="auto" w:val="clear"/>
            <w:vAlign w:val="bottom"/>
          </w:tcPr>
          <w:p>
            <w:pPr>
              <w:pStyle w:val="TableContents"/>
              <w:spacing w:before="0" w:after="283"/>
              <w:rPr/>
            </w:pPr>
            <w:r>
              <w:rPr/>
              <w:t> </w:t>
            </w:r>
          </w:p>
        </w:tc>
        <w:tc>
          <w:tcPr>
            <w:tcW w:w="5440" w:type="dxa"/>
            <w:gridSpan w:val="3"/>
            <w:tcBorders/>
            <w:shd w:fill="auto" w:val="clear"/>
            <w:vAlign w:val="bottom"/>
          </w:tcPr>
          <w:p>
            <w:pPr>
              <w:pStyle w:val="TableContents"/>
              <w:pBdr>
                <w:bottom w:val="single" w:sz="2" w:space="1" w:color="000000"/>
              </w:pBdr>
              <w:spacing w:before="0" w:after="20"/>
              <w:rPr>
                <w:rFonts w:ascii="Times New Roman" w:hAnsi="Times New Roman"/>
                <w:sz w:val="20"/>
              </w:rPr>
            </w:pPr>
            <w:r>
              <w:rPr>
                <w:rFonts w:ascii="Times New Roman" w:hAnsi="Times New Roman"/>
                <w:sz w:val="20"/>
              </w:rPr>
              <w:t>/s/ Daphne Zohar</w:t>
            </w:r>
          </w:p>
        </w:tc>
      </w:tr>
      <w:tr>
        <w:trPr/>
        <w:tc>
          <w:tcPr>
            <w:tcW w:w="4073"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rPr/>
            </w:pPr>
            <w:r>
              <w:rPr/>
              <w:t>Name:</w:t>
            </w:r>
          </w:p>
        </w:tc>
        <w:tc>
          <w:tcPr>
            <w:tcW w:w="108" w:type="dxa"/>
            <w:tcBorders/>
            <w:shd w:fill="auto" w:val="clear"/>
            <w:vAlign w:val="bottom"/>
          </w:tcPr>
          <w:p>
            <w:pPr>
              <w:pStyle w:val="TableContents"/>
              <w:spacing w:before="0" w:after="283"/>
              <w:rPr/>
            </w:pPr>
            <w:r>
              <w:rPr/>
              <w:t> </w:t>
            </w:r>
          </w:p>
        </w:tc>
        <w:tc>
          <w:tcPr>
            <w:tcW w:w="4671" w:type="dxa"/>
            <w:tcBorders/>
            <w:shd w:fill="auto" w:val="clear"/>
            <w:vAlign w:val="bottom"/>
          </w:tcPr>
          <w:p>
            <w:pPr>
              <w:pStyle w:val="TableContents"/>
              <w:spacing w:before="0" w:after="283"/>
              <w:rPr/>
            </w:pPr>
            <w:r>
              <w:rPr/>
              <w:t>Daphne Zohar</w:t>
            </w:r>
          </w:p>
        </w:tc>
      </w:tr>
      <w:tr>
        <w:trPr/>
        <w:tc>
          <w:tcPr>
            <w:tcW w:w="4073" w:type="dxa"/>
            <w:tcBorders/>
            <w:shd w:fill="auto" w:val="clea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476" w:type="dxa"/>
            <w:tcBorders/>
            <w:shd w:fill="auto" w:val="clear"/>
            <w:vAlign w:val="bottom"/>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pPr>
            <w:r>
              <w:rPr/>
              <w:t> </w:t>
            </w:r>
          </w:p>
        </w:tc>
        <w:tc>
          <w:tcPr>
            <w:tcW w:w="661" w:type="dxa"/>
            <w:tcBorders/>
            <w:shd w:fill="auto" w:val="clear"/>
            <w:vAlign w:val="bottom"/>
          </w:tcPr>
          <w:p>
            <w:pPr>
              <w:pStyle w:val="TableContents"/>
              <w:spacing w:before="0" w:after="283"/>
              <w:rPr/>
            </w:pPr>
            <w:r>
              <w:rPr/>
              <w:t>Title:</w:t>
            </w:r>
          </w:p>
        </w:tc>
        <w:tc>
          <w:tcPr>
            <w:tcW w:w="108" w:type="dxa"/>
            <w:tcBorders/>
            <w:shd w:fill="auto" w:val="clear"/>
            <w:vAlign w:val="bottom"/>
          </w:tcPr>
          <w:p>
            <w:pPr>
              <w:pStyle w:val="TableContents"/>
              <w:spacing w:before="0" w:after="283"/>
              <w:rPr/>
            </w:pPr>
            <w:r>
              <w:rPr/>
              <w:t> </w:t>
            </w:r>
          </w:p>
        </w:tc>
        <w:tc>
          <w:tcPr>
            <w:tcW w:w="4671" w:type="dxa"/>
            <w:tcBorders/>
            <w:shd w:fill="auto" w:val="clear"/>
            <w:vAlign w:val="bottom"/>
          </w:tcPr>
          <w:p>
            <w:pPr>
              <w:pStyle w:val="TableContents"/>
              <w:spacing w:before="0" w:after="283"/>
              <w:rPr/>
            </w:pPr>
            <w:r>
              <w:rPr/>
              <w:t>Chief Executive Officer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809</Words>
  <CharactersWithSpaces>5852</CharactersWithSpaces>
  <Paragraphs>249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6-K</dc:title>
</cp:coreProperties>
</file>