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Pursuant to Rule 13a-16 or 15d-16</w:t>
      </w:r>
    </w:p>
    <w:p>
      <w:pPr>
        <w:jc w:val="center"/>
        <w:ind w:right="-110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May, 2023</w:t>
      </w:r>
    </w:p>
    <w:p>
      <w:pPr>
        <w:spacing w:after="0" w:line="22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4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203835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246380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2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On May 9, 2022, PureTech Health plc (LSE: PRTC, Nasdaq: PRTC) (the “Company”) announced the commencement of a $50 million share repurchase program (the “Program”) of its ordinary shares of one pence each (“Ordinary Shares”). The Company plans to execute the Program in two equal tranches, the first of which was completed on October 26, 2022.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15, 2022,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the month ended May 31, 2023, the Company had the following daily purchases of its own Ordinary Shares under the Program through Jefferies:</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Ordinary Shares</w:t>
            </w:r>
          </w:p>
        </w:tc>
        <w:tc>
          <w:tcPr>
            <w:tcW w:w="2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Volume Weighted</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Average Price Paid</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120" w:type="dxa"/>
            <w:vAlign w:val="bottom"/>
          </w:tcPr>
          <w:p>
            <w:pPr>
              <w:jc w:val="right"/>
              <w:ind w:right="72"/>
              <w:spacing w:after="0"/>
              <w:rPr>
                <w:sz w:val="20"/>
                <w:szCs w:val="20"/>
                <w:color w:val="auto"/>
              </w:rPr>
            </w:pPr>
            <w:r>
              <w:rPr>
                <w:rFonts w:ascii="Arial" w:cs="Arial" w:eastAsia="Arial" w:hAnsi="Arial"/>
                <w:sz w:val="14"/>
                <w:szCs w:val="14"/>
                <w:b w:val="1"/>
                <w:bCs w:val="1"/>
                <w:color w:val="auto"/>
              </w:rPr>
              <w:t>Repurchased</w:t>
            </w:r>
          </w:p>
        </w:tc>
        <w:tc>
          <w:tcPr>
            <w:tcW w:w="2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per Ordinary Share</w:t>
            </w:r>
          </w:p>
        </w:tc>
        <w:tc>
          <w:tcPr>
            <w:tcW w:w="20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Highest Price Paid</w:t>
            </w: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Lowest Price Paid</w:t>
            </w:r>
          </w:p>
        </w:tc>
        <w:tc>
          <w:tcPr>
            <w:tcW w:w="0" w:type="dxa"/>
            <w:vAlign w:val="bottom"/>
          </w:tcPr>
          <w:p>
            <w:pPr>
              <w:spacing w:after="0"/>
              <w:rPr>
                <w:sz w:val="1"/>
                <w:szCs w:val="1"/>
                <w:color w:val="auto"/>
              </w:rPr>
            </w:pPr>
          </w:p>
        </w:tc>
      </w:tr>
      <w:tr>
        <w:trPr>
          <w:trHeight w:val="203"/>
        </w:trPr>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6"/>
              </w:rPr>
              <w:t>May</w:t>
            </w:r>
          </w:p>
        </w:tc>
        <w:tc>
          <w:tcPr>
            <w:tcW w:w="4180" w:type="dxa"/>
            <w:vAlign w:val="bottom"/>
            <w:tcBorders>
              <w:top w:val="single" w:sz="8" w:color="CCEEFF"/>
            </w:tcBorders>
            <w:shd w:val="clear" w:color="auto" w:fill="CCEEFF"/>
          </w:tcPr>
          <w:p>
            <w:pPr>
              <w:jc w:val="right"/>
              <w:ind w:right="3450"/>
              <w:spacing w:after="0" w:line="203" w:lineRule="exact"/>
              <w:rPr>
                <w:sz w:val="20"/>
                <w:szCs w:val="20"/>
                <w:color w:val="auto"/>
              </w:rPr>
            </w:pPr>
            <w:r>
              <w:rPr>
                <w:rFonts w:ascii="Arial" w:cs="Arial" w:eastAsia="Arial" w:hAnsi="Arial"/>
                <w:sz w:val="18"/>
                <w:szCs w:val="18"/>
                <w:color w:val="auto"/>
              </w:rPr>
              <w:t>2, 2023</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42,582</w:t>
            </w:r>
          </w:p>
        </w:tc>
        <w:tc>
          <w:tcPr>
            <w:tcW w:w="2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820"/>
              <w:spacing w:after="0" w:line="203" w:lineRule="exact"/>
              <w:rPr>
                <w:sz w:val="20"/>
                <w:szCs w:val="20"/>
                <w:color w:val="auto"/>
              </w:rPr>
            </w:pPr>
            <w:r>
              <w:rPr>
                <w:rFonts w:ascii="Arial" w:cs="Arial" w:eastAsia="Arial" w:hAnsi="Arial"/>
                <w:sz w:val="18"/>
                <w:szCs w:val="18"/>
                <w:color w:val="auto"/>
                <w:w w:val="89"/>
              </w:rPr>
              <w:t>220.39p</w:t>
            </w:r>
          </w:p>
        </w:tc>
        <w:tc>
          <w:tcPr>
            <w:tcW w:w="2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720"/>
              <w:spacing w:after="0" w:line="203" w:lineRule="exact"/>
              <w:rPr>
                <w:sz w:val="20"/>
                <w:szCs w:val="20"/>
                <w:color w:val="auto"/>
              </w:rPr>
            </w:pPr>
            <w:r>
              <w:rPr>
                <w:rFonts w:ascii="Arial" w:cs="Arial" w:eastAsia="Arial" w:hAnsi="Arial"/>
                <w:sz w:val="18"/>
                <w:szCs w:val="18"/>
                <w:color w:val="auto"/>
                <w:w w:val="86"/>
              </w:rPr>
              <w:t>221.00p</w:t>
            </w:r>
          </w:p>
        </w:tc>
        <w:tc>
          <w:tcPr>
            <w:tcW w:w="2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w w:val="86"/>
              </w:rPr>
              <w:t>214.50p</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May 3, 2023</w:t>
            </w:r>
          </w:p>
        </w:tc>
        <w:tc>
          <w:tcPr>
            <w:tcW w:w="1120" w:type="dxa"/>
            <w:vAlign w:val="bottom"/>
          </w:tcPr>
          <w:p>
            <w:pPr>
              <w:jc w:val="right"/>
              <w:spacing w:after="0"/>
              <w:rPr>
                <w:sz w:val="20"/>
                <w:szCs w:val="20"/>
                <w:color w:val="auto"/>
              </w:rPr>
            </w:pPr>
            <w:r>
              <w:rPr>
                <w:rFonts w:ascii="Arial" w:cs="Arial" w:eastAsia="Arial" w:hAnsi="Arial"/>
                <w:sz w:val="18"/>
                <w:szCs w:val="18"/>
                <w:color w:val="auto"/>
              </w:rPr>
              <w:t>43,654</w:t>
            </w:r>
          </w:p>
        </w:tc>
        <w:tc>
          <w:tcPr>
            <w:tcW w:w="20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Arial" w:cs="Arial" w:eastAsia="Arial" w:hAnsi="Arial"/>
                <w:sz w:val="18"/>
                <w:szCs w:val="18"/>
                <w:color w:val="auto"/>
                <w:w w:val="89"/>
              </w:rPr>
              <w:t>221.77p</w:t>
            </w:r>
          </w:p>
        </w:tc>
        <w:tc>
          <w:tcPr>
            <w:tcW w:w="200" w:type="dxa"/>
            <w:vAlign w:val="bottom"/>
          </w:tcPr>
          <w:p>
            <w:pPr>
              <w:spacing w:after="0"/>
              <w:rPr>
                <w:sz w:val="18"/>
                <w:szCs w:val="18"/>
                <w:color w:val="auto"/>
              </w:rPr>
            </w:pP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223.00p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217.50p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4,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44,605</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9"/>
              </w:rPr>
              <w:t>219.27p</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221.00p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217.00p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May 5, 2023</w:t>
            </w:r>
          </w:p>
        </w:tc>
        <w:tc>
          <w:tcPr>
            <w:tcW w:w="1120" w:type="dxa"/>
            <w:vAlign w:val="bottom"/>
          </w:tcPr>
          <w:p>
            <w:pPr>
              <w:jc w:val="right"/>
              <w:spacing w:after="0"/>
              <w:rPr>
                <w:sz w:val="20"/>
                <w:szCs w:val="20"/>
                <w:color w:val="auto"/>
              </w:rPr>
            </w:pPr>
            <w:r>
              <w:rPr>
                <w:rFonts w:ascii="Arial" w:cs="Arial" w:eastAsia="Arial" w:hAnsi="Arial"/>
                <w:sz w:val="18"/>
                <w:szCs w:val="18"/>
                <w:color w:val="auto"/>
              </w:rPr>
              <w:t>45,533</w:t>
            </w:r>
          </w:p>
        </w:tc>
        <w:tc>
          <w:tcPr>
            <w:tcW w:w="20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Arial" w:cs="Arial" w:eastAsia="Arial" w:hAnsi="Arial"/>
                <w:sz w:val="18"/>
                <w:szCs w:val="18"/>
                <w:color w:val="auto"/>
                <w:w w:val="89"/>
              </w:rPr>
              <w:t>221.20p</w:t>
            </w:r>
          </w:p>
        </w:tc>
        <w:tc>
          <w:tcPr>
            <w:tcW w:w="200" w:type="dxa"/>
            <w:vAlign w:val="bottom"/>
          </w:tcPr>
          <w:p>
            <w:pPr>
              <w:spacing w:after="0"/>
              <w:rPr>
                <w:sz w:val="18"/>
                <w:szCs w:val="18"/>
                <w:color w:val="auto"/>
              </w:rPr>
            </w:pP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222.50p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216.00p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45,308</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9"/>
              </w:rPr>
              <w:t>218.91p</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220.50p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215.50p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May 10, 2023</w:t>
            </w:r>
          </w:p>
        </w:tc>
        <w:tc>
          <w:tcPr>
            <w:tcW w:w="1120" w:type="dxa"/>
            <w:vAlign w:val="bottom"/>
          </w:tcPr>
          <w:p>
            <w:pPr>
              <w:jc w:val="right"/>
              <w:spacing w:after="0"/>
              <w:rPr>
                <w:sz w:val="20"/>
                <w:szCs w:val="20"/>
                <w:color w:val="auto"/>
              </w:rPr>
            </w:pPr>
            <w:r>
              <w:rPr>
                <w:rFonts w:ascii="Arial" w:cs="Arial" w:eastAsia="Arial" w:hAnsi="Arial"/>
                <w:sz w:val="18"/>
                <w:szCs w:val="18"/>
                <w:color w:val="auto"/>
              </w:rPr>
              <w:t>44,142</w:t>
            </w:r>
          </w:p>
        </w:tc>
        <w:tc>
          <w:tcPr>
            <w:tcW w:w="20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Arial" w:cs="Arial" w:eastAsia="Arial" w:hAnsi="Arial"/>
                <w:sz w:val="18"/>
                <w:szCs w:val="18"/>
                <w:color w:val="auto"/>
                <w:w w:val="89"/>
              </w:rPr>
              <w:t>218.42p</w:t>
            </w:r>
          </w:p>
        </w:tc>
        <w:tc>
          <w:tcPr>
            <w:tcW w:w="200" w:type="dxa"/>
            <w:vAlign w:val="bottom"/>
          </w:tcPr>
          <w:p>
            <w:pPr>
              <w:spacing w:after="0"/>
              <w:rPr>
                <w:sz w:val="18"/>
                <w:szCs w:val="18"/>
                <w:color w:val="auto"/>
              </w:rPr>
            </w:pP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221.00p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216.50p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12,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44,819</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9"/>
              </w:rPr>
              <w:t>209.20p</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212.50p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205.50p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May 15, 2023</w:t>
            </w:r>
          </w:p>
        </w:tc>
        <w:tc>
          <w:tcPr>
            <w:tcW w:w="1120" w:type="dxa"/>
            <w:vAlign w:val="bottom"/>
          </w:tcPr>
          <w:p>
            <w:pPr>
              <w:jc w:val="right"/>
              <w:spacing w:after="0"/>
              <w:rPr>
                <w:sz w:val="20"/>
                <w:szCs w:val="20"/>
                <w:color w:val="auto"/>
              </w:rPr>
            </w:pPr>
            <w:r>
              <w:rPr>
                <w:rFonts w:ascii="Arial" w:cs="Arial" w:eastAsia="Arial" w:hAnsi="Arial"/>
                <w:sz w:val="18"/>
                <w:szCs w:val="18"/>
                <w:color w:val="auto"/>
              </w:rPr>
              <w:t>42,513</w:t>
            </w:r>
          </w:p>
        </w:tc>
        <w:tc>
          <w:tcPr>
            <w:tcW w:w="20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Arial" w:cs="Arial" w:eastAsia="Arial" w:hAnsi="Arial"/>
                <w:sz w:val="18"/>
                <w:szCs w:val="18"/>
                <w:color w:val="auto"/>
                <w:w w:val="89"/>
              </w:rPr>
              <w:t>209.21p</w:t>
            </w:r>
          </w:p>
        </w:tc>
        <w:tc>
          <w:tcPr>
            <w:tcW w:w="200" w:type="dxa"/>
            <w:vAlign w:val="bottom"/>
          </w:tcPr>
          <w:p>
            <w:pPr>
              <w:spacing w:after="0"/>
              <w:rPr>
                <w:sz w:val="18"/>
                <w:szCs w:val="18"/>
                <w:color w:val="auto"/>
              </w:rPr>
            </w:pP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212.00p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205.00p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16,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43,463</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6"/>
              </w:rPr>
              <w:t>211.87p</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214.00p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209.00p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May 17, 2023</w:t>
            </w:r>
          </w:p>
        </w:tc>
        <w:tc>
          <w:tcPr>
            <w:tcW w:w="1120" w:type="dxa"/>
            <w:vAlign w:val="bottom"/>
          </w:tcPr>
          <w:p>
            <w:pPr>
              <w:jc w:val="right"/>
              <w:spacing w:after="0"/>
              <w:rPr>
                <w:sz w:val="20"/>
                <w:szCs w:val="20"/>
                <w:color w:val="auto"/>
              </w:rPr>
            </w:pPr>
            <w:r>
              <w:rPr>
                <w:rFonts w:ascii="Arial" w:cs="Arial" w:eastAsia="Arial" w:hAnsi="Arial"/>
                <w:sz w:val="18"/>
                <w:szCs w:val="18"/>
                <w:color w:val="auto"/>
              </w:rPr>
              <w:t>42,840</w:t>
            </w:r>
          </w:p>
        </w:tc>
        <w:tc>
          <w:tcPr>
            <w:tcW w:w="20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Arial" w:cs="Arial" w:eastAsia="Arial" w:hAnsi="Arial"/>
                <w:sz w:val="18"/>
                <w:szCs w:val="18"/>
                <w:color w:val="auto"/>
                <w:w w:val="89"/>
              </w:rPr>
              <w:t>208.81p</w:t>
            </w:r>
          </w:p>
        </w:tc>
        <w:tc>
          <w:tcPr>
            <w:tcW w:w="200" w:type="dxa"/>
            <w:vAlign w:val="bottom"/>
          </w:tcPr>
          <w:p>
            <w:pPr>
              <w:spacing w:after="0"/>
              <w:rPr>
                <w:sz w:val="18"/>
                <w:szCs w:val="18"/>
                <w:color w:val="auto"/>
              </w:rPr>
            </w:pP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212.50p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205.00p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18,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9"/>
              </w:rPr>
              <w:t>212.54p</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215.50p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209.50p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May 19, 2023</w:t>
            </w:r>
          </w:p>
        </w:tc>
        <w:tc>
          <w:tcPr>
            <w:tcW w:w="1120" w:type="dxa"/>
            <w:vAlign w:val="bottom"/>
          </w:tcPr>
          <w:p>
            <w:pPr>
              <w:jc w:val="right"/>
              <w:spacing w:after="0"/>
              <w:rPr>
                <w:sz w:val="20"/>
                <w:szCs w:val="20"/>
                <w:color w:val="auto"/>
              </w:rPr>
            </w:pPr>
            <w:r>
              <w:rPr>
                <w:rFonts w:ascii="Arial" w:cs="Arial" w:eastAsia="Arial" w:hAnsi="Arial"/>
                <w:sz w:val="18"/>
                <w:szCs w:val="18"/>
                <w:color w:val="auto"/>
              </w:rPr>
              <w:t>40,608</w:t>
            </w:r>
          </w:p>
        </w:tc>
        <w:tc>
          <w:tcPr>
            <w:tcW w:w="20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Arial" w:cs="Arial" w:eastAsia="Arial" w:hAnsi="Arial"/>
                <w:sz w:val="18"/>
                <w:szCs w:val="18"/>
                <w:color w:val="auto"/>
                <w:w w:val="89"/>
              </w:rPr>
              <w:t>205.70p</w:t>
            </w:r>
          </w:p>
        </w:tc>
        <w:tc>
          <w:tcPr>
            <w:tcW w:w="200" w:type="dxa"/>
            <w:vAlign w:val="bottom"/>
          </w:tcPr>
          <w:p>
            <w:pPr>
              <w:spacing w:after="0"/>
              <w:rPr>
                <w:sz w:val="18"/>
                <w:szCs w:val="18"/>
                <w:color w:val="auto"/>
              </w:rPr>
            </w:pP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209.50p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202.00p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22,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44,193</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6"/>
              </w:rPr>
              <w:t>211.49p</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213.50p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210.00p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May 23, 2023</w:t>
            </w:r>
          </w:p>
        </w:tc>
        <w:tc>
          <w:tcPr>
            <w:tcW w:w="1120" w:type="dxa"/>
            <w:vAlign w:val="bottom"/>
          </w:tcPr>
          <w:p>
            <w:pPr>
              <w:jc w:val="right"/>
              <w:spacing w:after="0"/>
              <w:rPr>
                <w:sz w:val="20"/>
                <w:szCs w:val="20"/>
                <w:color w:val="auto"/>
              </w:rPr>
            </w:pPr>
            <w:r>
              <w:rPr>
                <w:rFonts w:ascii="Arial" w:cs="Arial" w:eastAsia="Arial" w:hAnsi="Arial"/>
                <w:sz w:val="18"/>
                <w:szCs w:val="18"/>
                <w:color w:val="auto"/>
              </w:rPr>
              <w:t>14,984</w:t>
            </w:r>
          </w:p>
        </w:tc>
        <w:tc>
          <w:tcPr>
            <w:tcW w:w="20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Arial" w:cs="Arial" w:eastAsia="Arial" w:hAnsi="Arial"/>
                <w:sz w:val="18"/>
                <w:szCs w:val="18"/>
                <w:color w:val="auto"/>
                <w:w w:val="89"/>
              </w:rPr>
              <w:t>218.35p</w:t>
            </w:r>
          </w:p>
        </w:tc>
        <w:tc>
          <w:tcPr>
            <w:tcW w:w="200" w:type="dxa"/>
            <w:vAlign w:val="bottom"/>
          </w:tcPr>
          <w:p>
            <w:pPr>
              <w:spacing w:after="0"/>
              <w:rPr>
                <w:sz w:val="18"/>
                <w:szCs w:val="18"/>
                <w:color w:val="auto"/>
              </w:rPr>
            </w:pP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218.50p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216.00p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24,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36,656</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9"/>
              </w:rPr>
              <w:t>219.40p</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220.00p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217.00p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May 25, 2023</w:t>
            </w:r>
          </w:p>
        </w:tc>
        <w:tc>
          <w:tcPr>
            <w:tcW w:w="1120" w:type="dxa"/>
            <w:vAlign w:val="bottom"/>
          </w:tcPr>
          <w:p>
            <w:pPr>
              <w:jc w:val="right"/>
              <w:spacing w:after="0"/>
              <w:rPr>
                <w:sz w:val="20"/>
                <w:szCs w:val="20"/>
                <w:color w:val="auto"/>
              </w:rPr>
            </w:pPr>
            <w:r>
              <w:rPr>
                <w:rFonts w:ascii="Arial" w:cs="Arial" w:eastAsia="Arial" w:hAnsi="Arial"/>
                <w:sz w:val="18"/>
                <w:szCs w:val="18"/>
                <w:color w:val="auto"/>
              </w:rPr>
              <w:t>35,978</w:t>
            </w:r>
          </w:p>
        </w:tc>
        <w:tc>
          <w:tcPr>
            <w:tcW w:w="20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Arial" w:cs="Arial" w:eastAsia="Arial" w:hAnsi="Arial"/>
                <w:sz w:val="18"/>
                <w:szCs w:val="18"/>
                <w:color w:val="auto"/>
                <w:w w:val="89"/>
              </w:rPr>
              <w:t>223.47p</w:t>
            </w:r>
          </w:p>
        </w:tc>
        <w:tc>
          <w:tcPr>
            <w:tcW w:w="200" w:type="dxa"/>
            <w:vAlign w:val="bottom"/>
          </w:tcPr>
          <w:p>
            <w:pPr>
              <w:spacing w:after="0"/>
              <w:rPr>
                <w:sz w:val="18"/>
                <w:szCs w:val="18"/>
                <w:color w:val="auto"/>
              </w:rPr>
            </w:pP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223.50p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223.00p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26,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44,760</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9"/>
              </w:rPr>
              <w:t>224.64p</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227.50p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221.50p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May 30, 2023</w:t>
            </w:r>
          </w:p>
        </w:tc>
        <w:tc>
          <w:tcPr>
            <w:tcW w:w="1120" w:type="dxa"/>
            <w:vAlign w:val="bottom"/>
          </w:tcPr>
          <w:p>
            <w:pPr>
              <w:jc w:val="right"/>
              <w:spacing w:after="0"/>
              <w:rPr>
                <w:sz w:val="20"/>
                <w:szCs w:val="20"/>
                <w:color w:val="auto"/>
              </w:rPr>
            </w:pPr>
            <w:r>
              <w:rPr>
                <w:rFonts w:ascii="Arial" w:cs="Arial" w:eastAsia="Arial" w:hAnsi="Arial"/>
                <w:sz w:val="18"/>
                <w:szCs w:val="18"/>
                <w:color w:val="auto"/>
              </w:rPr>
              <w:t>45,710</w:t>
            </w:r>
          </w:p>
        </w:tc>
        <w:tc>
          <w:tcPr>
            <w:tcW w:w="200" w:type="dxa"/>
            <w:vAlign w:val="bottom"/>
          </w:tcPr>
          <w:p>
            <w:pPr>
              <w:spacing w:after="0"/>
              <w:rPr>
                <w:sz w:val="18"/>
                <w:szCs w:val="18"/>
                <w:color w:val="auto"/>
              </w:rPr>
            </w:pPr>
          </w:p>
        </w:tc>
        <w:tc>
          <w:tcPr>
            <w:tcW w:w="1420" w:type="dxa"/>
            <w:vAlign w:val="bottom"/>
          </w:tcPr>
          <w:p>
            <w:pPr>
              <w:ind w:left="820"/>
              <w:spacing w:after="0"/>
              <w:rPr>
                <w:sz w:val="20"/>
                <w:szCs w:val="20"/>
                <w:color w:val="auto"/>
              </w:rPr>
            </w:pPr>
            <w:r>
              <w:rPr>
                <w:rFonts w:ascii="Arial" w:cs="Arial" w:eastAsia="Arial" w:hAnsi="Arial"/>
                <w:sz w:val="18"/>
                <w:szCs w:val="18"/>
                <w:color w:val="auto"/>
                <w:w w:val="89"/>
              </w:rPr>
              <w:t>227.85p</w:t>
            </w:r>
          </w:p>
        </w:tc>
        <w:tc>
          <w:tcPr>
            <w:tcW w:w="200" w:type="dxa"/>
            <w:vAlign w:val="bottom"/>
          </w:tcPr>
          <w:p>
            <w:pPr>
              <w:spacing w:after="0"/>
              <w:rPr>
                <w:sz w:val="18"/>
                <w:szCs w:val="18"/>
                <w:color w:val="auto"/>
              </w:rPr>
            </w:pPr>
          </w:p>
        </w:tc>
        <w:tc>
          <w:tcPr>
            <w:tcW w:w="1520" w:type="dxa"/>
            <w:vAlign w:val="bottom"/>
            <w:gridSpan w:val="2"/>
          </w:tcPr>
          <w:p>
            <w:pPr>
              <w:ind w:left="720"/>
              <w:spacing w:after="0"/>
              <w:rPr>
                <w:sz w:val="20"/>
                <w:szCs w:val="20"/>
                <w:color w:val="auto"/>
              </w:rPr>
            </w:pPr>
            <w:r>
              <w:rPr>
                <w:rFonts w:ascii="Arial" w:cs="Arial" w:eastAsia="Arial" w:hAnsi="Arial"/>
                <w:sz w:val="18"/>
                <w:szCs w:val="18"/>
                <w:color w:val="auto"/>
              </w:rPr>
              <w:t>229.50p</w:t>
            </w:r>
          </w:p>
        </w:tc>
        <w:tc>
          <w:tcPr>
            <w:tcW w:w="1200" w:type="dxa"/>
            <w:vAlign w:val="bottom"/>
          </w:tcPr>
          <w:p>
            <w:pPr>
              <w:ind w:left="620"/>
              <w:spacing w:after="0"/>
              <w:rPr>
                <w:sz w:val="20"/>
                <w:szCs w:val="20"/>
                <w:color w:val="auto"/>
              </w:rPr>
            </w:pPr>
            <w:r>
              <w:rPr>
                <w:rFonts w:ascii="Arial" w:cs="Arial" w:eastAsia="Arial" w:hAnsi="Arial"/>
                <w:sz w:val="18"/>
                <w:szCs w:val="18"/>
                <w:color w:val="auto"/>
                <w:w w:val="86"/>
              </w:rPr>
              <w:t>225.50p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31,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44,541</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9"/>
              </w:rPr>
              <w:t>226.15p</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232.50p</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219.00p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675"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During the month ended May 31, 2023, the Company repurchased an aggregate of 790,639 Ordinary Shares. As of May 31, 2023, the Company’s issued share capital was 289,468,159 shares, 11,855,861 of which were held in treasury, resulting in total voting rights in the Company of 277,612,298 shares. To view the details of the individual transactions, please paste the following URL(s) into the address bar of your browser with respect to each individual date of repurchase under the Program:</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2, 2023: </w:t>
      </w:r>
      <w:r>
        <w:rPr>
          <w:rFonts w:ascii="Arial" w:cs="Arial" w:eastAsia="Arial" w:hAnsi="Arial"/>
          <w:sz w:val="18"/>
          <w:szCs w:val="18"/>
          <w:u w:val="single" w:color="auto"/>
          <w:color w:val="auto"/>
        </w:rPr>
        <w:t>https://data.fca.org.uk/artefacts/NSM/RNS/4757165.html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3, 2023: </w:t>
      </w:r>
      <w:r>
        <w:rPr>
          <w:rFonts w:ascii="Arial" w:cs="Arial" w:eastAsia="Arial" w:hAnsi="Arial"/>
          <w:sz w:val="18"/>
          <w:szCs w:val="18"/>
          <w:u w:val="single" w:color="auto"/>
          <w:color w:val="auto"/>
        </w:rPr>
        <w:t>https://data.fca.org.uk/artefacts/NSM/RNS/4758625.html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4, 2023: </w:t>
      </w:r>
      <w:r>
        <w:rPr>
          <w:rFonts w:ascii="Arial" w:cs="Arial" w:eastAsia="Arial" w:hAnsi="Arial"/>
          <w:sz w:val="18"/>
          <w:szCs w:val="18"/>
          <w:u w:val="single" w:color="auto"/>
          <w:color w:val="auto"/>
        </w:rPr>
        <w:t>https://data.fca.org.uk/artefacts/NSM/RNS/4760265.html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5, 2023: </w:t>
      </w:r>
      <w:r>
        <w:rPr>
          <w:rFonts w:ascii="Arial" w:cs="Arial" w:eastAsia="Arial" w:hAnsi="Arial"/>
          <w:sz w:val="18"/>
          <w:szCs w:val="18"/>
          <w:u w:val="single" w:color="auto"/>
          <w:color w:val="auto"/>
        </w:rPr>
        <w:t>https://data.fca.org.uk/artefacts/NSM/RNS/4761879.html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9, 2023: </w:t>
      </w:r>
      <w:r>
        <w:rPr>
          <w:rFonts w:ascii="Arial" w:cs="Arial" w:eastAsia="Arial" w:hAnsi="Arial"/>
          <w:sz w:val="18"/>
          <w:szCs w:val="18"/>
          <w:u w:val="single" w:color="auto"/>
          <w:color w:val="auto"/>
        </w:rPr>
        <w:t>https://data.fca.org.uk/artefacts/NSM/RNS/4763904.html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10, 2023: </w:t>
      </w:r>
      <w:r>
        <w:rPr>
          <w:rFonts w:ascii="Arial" w:cs="Arial" w:eastAsia="Arial" w:hAnsi="Arial"/>
          <w:sz w:val="18"/>
          <w:szCs w:val="18"/>
          <w:u w:val="single" w:color="auto"/>
          <w:color w:val="auto"/>
        </w:rPr>
        <w:t>https://data.fca.org.uk/artefacts/NSM/RNS/4765493.html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12, 2023: </w:t>
      </w:r>
      <w:r>
        <w:rPr>
          <w:rFonts w:ascii="Arial" w:cs="Arial" w:eastAsia="Arial" w:hAnsi="Arial"/>
          <w:sz w:val="18"/>
          <w:szCs w:val="18"/>
          <w:u w:val="single" w:color="auto"/>
          <w:color w:val="auto"/>
        </w:rPr>
        <w:t>https://data.fca.org.uk/artefacts/NSM/RNS/4768545.html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15, 2023: </w:t>
      </w:r>
      <w:r>
        <w:rPr>
          <w:rFonts w:ascii="Arial" w:cs="Arial" w:eastAsia="Arial" w:hAnsi="Arial"/>
          <w:sz w:val="18"/>
          <w:szCs w:val="18"/>
          <w:u w:val="single" w:color="auto"/>
          <w:color w:val="auto"/>
        </w:rPr>
        <w:t>https://data.fca.org.uk/artefacts/NSM/RNS/4770108.html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16, 2023: </w:t>
      </w:r>
      <w:r>
        <w:rPr>
          <w:rFonts w:ascii="Arial" w:cs="Arial" w:eastAsia="Arial" w:hAnsi="Arial"/>
          <w:sz w:val="18"/>
          <w:szCs w:val="18"/>
          <w:u w:val="single" w:color="auto"/>
          <w:color w:val="auto"/>
        </w:rPr>
        <w:t>https://data.fca.org.uk/artefacts/NSM/RNS/4771614.html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17, 2023: </w:t>
      </w:r>
      <w:r>
        <w:rPr>
          <w:rFonts w:ascii="Arial" w:cs="Arial" w:eastAsia="Arial" w:hAnsi="Arial"/>
          <w:sz w:val="18"/>
          <w:szCs w:val="18"/>
          <w:u w:val="single" w:color="auto"/>
          <w:color w:val="auto"/>
        </w:rPr>
        <w:t>https://data.fca.org.uk/artefacts/NSM/RNS/4773250.html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18, 2023: </w:t>
      </w:r>
      <w:r>
        <w:rPr>
          <w:rFonts w:ascii="Arial" w:cs="Arial" w:eastAsia="Arial" w:hAnsi="Arial"/>
          <w:sz w:val="18"/>
          <w:szCs w:val="18"/>
          <w:u w:val="single" w:color="auto"/>
          <w:color w:val="auto"/>
        </w:rPr>
        <w:t>https://data.fca.org.uk/artefacts/NSM/RNS/4774857.html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19, 2023: </w:t>
      </w:r>
      <w:r>
        <w:rPr>
          <w:rFonts w:ascii="Arial" w:cs="Arial" w:eastAsia="Arial" w:hAnsi="Arial"/>
          <w:sz w:val="18"/>
          <w:szCs w:val="18"/>
          <w:u w:val="single" w:color="auto"/>
          <w:color w:val="auto"/>
        </w:rPr>
        <w:t>https://data.fca.org.uk/artefacts/NSM/RNS/4776281.html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22, 2023: </w:t>
      </w:r>
      <w:r>
        <w:rPr>
          <w:rFonts w:ascii="Arial" w:cs="Arial" w:eastAsia="Arial" w:hAnsi="Arial"/>
          <w:sz w:val="18"/>
          <w:szCs w:val="18"/>
          <w:u w:val="single" w:color="auto"/>
          <w:color w:val="auto"/>
        </w:rPr>
        <w:t>https://data.fca.org.uk/artefacts/NSM/RNS/4777902.html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23, 2023: </w:t>
      </w:r>
      <w:r>
        <w:rPr>
          <w:rFonts w:ascii="Arial" w:cs="Arial" w:eastAsia="Arial" w:hAnsi="Arial"/>
          <w:sz w:val="18"/>
          <w:szCs w:val="18"/>
          <w:u w:val="single" w:color="auto"/>
          <w:color w:val="auto"/>
        </w:rPr>
        <w:t>https://data.fca.org.uk/artefacts/NSM/RNS/4779519.html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24, 2023: </w:t>
      </w:r>
      <w:r>
        <w:rPr>
          <w:rFonts w:ascii="Arial" w:cs="Arial" w:eastAsia="Arial" w:hAnsi="Arial"/>
          <w:sz w:val="18"/>
          <w:szCs w:val="18"/>
          <w:u w:val="single" w:color="auto"/>
          <w:color w:val="auto"/>
        </w:rPr>
        <w:t>https://data.fca.org.uk/artefacts/NSM/RNS/4781004.html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25, 2023: </w:t>
      </w:r>
      <w:r>
        <w:rPr>
          <w:rFonts w:ascii="Arial" w:cs="Arial" w:eastAsia="Arial" w:hAnsi="Arial"/>
          <w:sz w:val="18"/>
          <w:szCs w:val="18"/>
          <w:u w:val="single" w:color="auto"/>
          <w:color w:val="auto"/>
        </w:rPr>
        <w:t>https://data.fca.org.uk/artefacts/NSM/RNS/4782591.html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26, 2023: </w:t>
      </w:r>
      <w:r>
        <w:rPr>
          <w:rFonts w:ascii="Arial" w:cs="Arial" w:eastAsia="Arial" w:hAnsi="Arial"/>
          <w:sz w:val="18"/>
          <w:szCs w:val="18"/>
          <w:u w:val="single" w:color="auto"/>
          <w:color w:val="auto"/>
        </w:rPr>
        <w:t>https://data.fca.org.uk/artefacts/NSM/RNS/4784108.html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30, 2023: </w:t>
      </w:r>
      <w:r>
        <w:rPr>
          <w:rFonts w:ascii="Arial" w:cs="Arial" w:eastAsia="Arial" w:hAnsi="Arial"/>
          <w:sz w:val="18"/>
          <w:szCs w:val="18"/>
          <w:u w:val="single" w:color="auto"/>
          <w:color w:val="auto"/>
        </w:rPr>
        <w:t>https://data.fca.org.uk/artefacts/NSM/RNS/4786157.html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May 31, 2023: </w:t>
      </w:r>
      <w:r>
        <w:rPr>
          <w:rFonts w:ascii="Arial" w:cs="Arial" w:eastAsia="Arial" w:hAnsi="Arial"/>
          <w:sz w:val="18"/>
          <w:szCs w:val="18"/>
          <w:u w:val="single" w:color="auto"/>
          <w:color w:val="auto"/>
        </w:rPr>
        <w:t>https://data.fca.org.uk/artefacts/NSM/RNS/4787720.html</w:t>
      </w:r>
    </w:p>
    <w:p>
      <w:pPr>
        <w:sectPr>
          <w:pgSz w:w="11900" w:h="16838" w:orient="portrait"/>
          <w:cols w:equalWidth="0" w:num="1">
            <w:col w:w="11080"/>
          </w:cols>
          <w:pgMar w:left="320" w:top="675"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7880" w:type="dxa"/>
            <w:vAlign w:val="bottom"/>
            <w:gridSpan w:val="3"/>
          </w:tcPr>
          <w:p>
            <w:pPr>
              <w:ind w:left="1820"/>
              <w:spacing w:after="0"/>
              <w:rPr>
                <w:sz w:val="20"/>
                <w:szCs w:val="20"/>
                <w:color w:val="auto"/>
              </w:rPr>
            </w:pPr>
            <w:r>
              <w:rPr>
                <w:rFonts w:ascii="Arial" w:cs="Arial" w:eastAsia="Arial" w:hAnsi="Arial"/>
                <w:sz w:val="18"/>
                <w:szCs w:val="18"/>
                <w:color w:val="auto"/>
              </w:rPr>
              <w:t>PURETECH HEALTH PLC</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 June 2, 2023</w:t>
            </w:r>
          </w:p>
        </w:tc>
        <w:tc>
          <w:tcPr>
            <w:tcW w:w="7880" w:type="dxa"/>
            <w:vAlign w:val="bottom"/>
            <w:gridSpan w:val="3"/>
          </w:tcPr>
          <w:p>
            <w:pPr>
              <w:ind w:left="1820"/>
              <w:spacing w:after="0"/>
              <w:rPr>
                <w:sz w:val="20"/>
                <w:szCs w:val="20"/>
                <w:color w:val="auto"/>
              </w:rPr>
            </w:pPr>
            <w:r>
              <w:rPr>
                <w:rFonts w:ascii="Arial" w:cs="Arial" w:eastAsia="Arial" w:hAnsi="Arial"/>
                <w:sz w:val="35"/>
                <w:szCs w:val="35"/>
                <w:color w:val="auto"/>
                <w:vertAlign w:val="subscript"/>
              </w:rPr>
              <w:t>By:</w:t>
            </w:r>
            <w:r>
              <w:rPr>
                <w:rFonts w:ascii="Arial" w:cs="Arial" w:eastAsia="Arial" w:hAnsi="Arial"/>
                <w:sz w:val="18"/>
                <w:szCs w:val="18"/>
                <w:color w:val="auto"/>
              </w:rPr>
              <w:t xml:space="preserve">   /s/ Daphne Zohar</w:t>
            </w:r>
          </w:p>
        </w:tc>
      </w:tr>
      <w:tr>
        <w:trPr>
          <w:trHeight w:val="222"/>
        </w:trPr>
        <w:tc>
          <w:tcPr>
            <w:tcW w:w="31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Daphne Zohar</w:t>
            </w:r>
          </w:p>
        </w:tc>
      </w:tr>
      <w:tr>
        <w:trPr>
          <w:trHeight w:val="230"/>
        </w:trPr>
        <w:tc>
          <w:tcPr>
            <w:tcW w:w="31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140"/>
      </w:cols>
      <w:pgMar w:left="320" w:top="67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2023-06-02T15:40:42Z</dcterms:created>
  <dcterms:modified xsi:type="dcterms:W3CDTF">2023-06-02T15:40:42Z</dcterms:modified>
</cp:coreProperties>
</file>