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13G</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13d-102)</w:t>
      </w:r>
    </w:p>
    <w:p>
      <w:pPr>
        <w:spacing w:after="0" w:line="209" w:lineRule="exact"/>
        <w:rPr>
          <w:sz w:val="24"/>
          <w:szCs w:val="24"/>
          <w:color w:val="auto"/>
        </w:rPr>
      </w:pPr>
    </w:p>
    <w:p>
      <w:pPr>
        <w:jc w:val="center"/>
        <w:ind w:left="360" w:right="700"/>
        <w:spacing w:after="0" w:line="256" w:lineRule="auto"/>
        <w:rPr>
          <w:sz w:val="20"/>
          <w:szCs w:val="20"/>
          <w:color w:val="auto"/>
        </w:rPr>
      </w:pPr>
      <w:r>
        <w:rPr>
          <w:rFonts w:ascii="Arial" w:cs="Arial" w:eastAsia="Arial" w:hAnsi="Arial"/>
          <w:sz w:val="22"/>
          <w:szCs w:val="22"/>
          <w:b w:val="1"/>
          <w:bCs w:val="1"/>
          <w:color w:val="auto"/>
        </w:rPr>
        <w:t>INFORMATION TO BE INCLUDED IN STATEMENTS FILED PURSUANT TO RULES 13D-1(b) AND AMENDMENTS FILED THERETO FILED PURSUANT TO RULE 13D-2(b)</w:t>
      </w:r>
    </w:p>
    <w:p>
      <w:pPr>
        <w:spacing w:after="0" w:line="37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_)*</w:t>
      </w:r>
    </w:p>
    <w:p>
      <w:pPr>
        <w:spacing w:after="0" w:line="398" w:lineRule="exact"/>
        <w:rPr>
          <w:sz w:val="24"/>
          <w:szCs w:val="24"/>
          <w:color w:val="auto"/>
        </w:rPr>
      </w:pPr>
    </w:p>
    <w:p>
      <w:pPr>
        <w:ind w:left="4600"/>
        <w:spacing w:after="0"/>
        <w:rPr>
          <w:sz w:val="20"/>
          <w:szCs w:val="20"/>
          <w:color w:val="auto"/>
        </w:rPr>
      </w:pPr>
      <w:r>
        <w:rPr>
          <w:rFonts w:ascii="Arial" w:cs="Arial" w:eastAsia="Arial" w:hAnsi="Arial"/>
          <w:sz w:val="22"/>
          <w:szCs w:val="22"/>
          <w:b w:val="1"/>
          <w:bCs w:val="1"/>
          <w:u w:val="single" w:color="auto"/>
          <w:color w:val="auto"/>
        </w:rPr>
        <w:t>PureTech Health PLC</w:t>
      </w:r>
    </w:p>
    <w:p>
      <w:pPr>
        <w:spacing w:after="0" w:line="14" w:lineRule="exact"/>
        <w:rPr>
          <w:sz w:val="24"/>
          <w:szCs w:val="24"/>
          <w:color w:val="auto"/>
        </w:rPr>
      </w:pPr>
    </w:p>
    <w:p>
      <w:pPr>
        <w:ind w:left="4880"/>
        <w:spacing w:after="0"/>
        <w:rPr>
          <w:sz w:val="20"/>
          <w:szCs w:val="20"/>
          <w:color w:val="auto"/>
        </w:rPr>
      </w:pPr>
      <w:r>
        <w:rPr>
          <w:rFonts w:ascii="Arial" w:cs="Arial" w:eastAsia="Arial" w:hAnsi="Arial"/>
          <w:sz w:val="22"/>
          <w:szCs w:val="22"/>
          <w:b w:val="1"/>
          <w:bCs w:val="1"/>
          <w:color w:val="auto"/>
        </w:rPr>
        <w:t>(Name of Issuer)</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(Title of Classes of Securities)</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G7297M101</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(CUSIP Number)</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December 31, 2020</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ind w:left="2020" w:hanging="716"/>
        <w:spacing w:after="0"/>
        <w:tabs>
          <w:tab w:leader="none" w:pos="20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pacing w:after="0" w:line="8" w:lineRule="exact"/>
        <w:rPr>
          <w:rFonts w:ascii="Arial" w:cs="Arial" w:eastAsia="Arial" w:hAnsi="Arial"/>
          <w:sz w:val="22"/>
          <w:szCs w:val="22"/>
          <w:color w:val="auto"/>
        </w:rPr>
      </w:pPr>
    </w:p>
    <w:p>
      <w:pPr>
        <w:ind w:left="2020" w:hanging="716"/>
        <w:spacing w:after="0" w:line="230" w:lineRule="auto"/>
        <w:tabs>
          <w:tab w:leader="none" w:pos="20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13d-1(c)</w:t>
      </w:r>
    </w:p>
    <w:p>
      <w:pPr>
        <w:ind w:left="1300"/>
        <w:spacing w:after="0"/>
        <w:rPr>
          <w:rFonts w:ascii="Arial" w:cs="Arial" w:eastAsia="Arial" w:hAnsi="Arial"/>
          <w:sz w:val="22"/>
          <w:szCs w:val="22"/>
          <w:color w:val="auto"/>
        </w:rPr>
      </w:pPr>
      <w:r>
        <w:rPr>
          <w:rFonts w:ascii="Arial" w:cs="Arial" w:eastAsia="Arial" w:hAnsi="Arial"/>
          <w:sz w:val="22"/>
          <w:szCs w:val="22"/>
          <w:color w:val="auto"/>
        </w:rPr>
        <w:t>:X</w:t>
      </w:r>
      <w:r>
        <w:rPr>
          <w:rFonts w:ascii="Arial" w:cs="Arial" w:eastAsia="Arial" w:hAnsi="Arial"/>
          <w:sz w:val="19"/>
          <w:szCs w:val="19"/>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right="8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w:t>
      </w:r>
      <w:r>
        <w:rPr>
          <w:rFonts w:ascii="Arial" w:cs="Arial" w:eastAsia="Arial" w:hAnsi="Arial"/>
          <w:sz w:val="22"/>
          <w:szCs w:val="22"/>
          <w:u w:val="single" w:color="auto"/>
          <w:color w:val="auto"/>
        </w:rPr>
        <w:t>G7297M101</w:t>
      </w:r>
    </w:p>
    <w:p>
      <w:pPr>
        <w:spacing w:after="0" w:line="13" w:lineRule="exact"/>
        <w:rPr>
          <w:sz w:val="20"/>
          <w:szCs w:val="20"/>
          <w:color w:val="auto"/>
        </w:rPr>
      </w:pPr>
    </w:p>
    <w:p>
      <w:pPr>
        <w:ind w:left="1080" w:hanging="584"/>
        <w:spacing w:after="0"/>
        <w:tabs>
          <w:tab w:leader="none" w:pos="10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7" w:lineRule="exact"/>
        <w:rPr>
          <w:rFonts w:ascii="Arial" w:cs="Arial" w:eastAsia="Arial" w:hAnsi="Arial"/>
          <w:sz w:val="18"/>
          <w:szCs w:val="18"/>
          <w:b w:val="1"/>
          <w:bCs w:val="1"/>
          <w:color w:val="auto"/>
        </w:rPr>
      </w:pPr>
    </w:p>
    <w:p>
      <w:pPr>
        <w:ind w:left="10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 (ENTITIES ONLY)</w:t>
      </w:r>
    </w:p>
    <w:p>
      <w:pPr>
        <w:spacing w:after="0" w:line="21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Invesco Ltd.</w:t>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IRS # 980557567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080" w:hanging="584"/>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(a)</w:t>
      </w:r>
    </w:p>
    <w:p>
      <w:pPr>
        <w:spacing w:after="0" w:line="9"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080" w:hanging="584"/>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080" w:hanging="584"/>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Invesco Ltd. – Bermuda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7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NUMBER OF</w:t>
            </w:r>
          </w:p>
        </w:tc>
        <w:tc>
          <w:tcPr>
            <w:tcW w:w="8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5</w:t>
            </w:r>
          </w:p>
        </w:tc>
        <w:tc>
          <w:tcPr>
            <w:tcW w:w="7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860" w:type="dxa"/>
            <w:vAlign w:val="bottom"/>
            <w:vMerge w:val="continue"/>
          </w:tcPr>
          <w:p>
            <w:pPr>
              <w:spacing w:after="0"/>
              <w:rPr>
                <w:sz w:val="18"/>
                <w:szCs w:val="18"/>
                <w:color w:val="auto"/>
              </w:rPr>
            </w:pPr>
          </w:p>
        </w:tc>
        <w:tc>
          <w:tcPr>
            <w:tcW w:w="7620" w:type="dxa"/>
            <w:vAlign w:val="bottom"/>
          </w:tcPr>
          <w:p>
            <w:pPr>
              <w:ind w:left="260"/>
              <w:spacing w:after="0"/>
              <w:rPr>
                <w:sz w:val="20"/>
                <w:szCs w:val="20"/>
                <w:color w:val="auto"/>
              </w:rPr>
            </w:pPr>
            <w:r>
              <w:rPr>
                <w:rFonts w:ascii="Arial" w:cs="Arial" w:eastAsia="Arial" w:hAnsi="Arial"/>
                <w:sz w:val="18"/>
                <w:szCs w:val="18"/>
                <w:color w:val="auto"/>
              </w:rPr>
              <w:t>SOLE VOTING POWER – 80,230,013</w:t>
            </w:r>
          </w:p>
        </w:tc>
        <w:tc>
          <w:tcPr>
            <w:tcW w:w="0" w:type="dxa"/>
            <w:vAlign w:val="bottom"/>
          </w:tcPr>
          <w:p>
            <w:pPr>
              <w:spacing w:after="0"/>
              <w:rPr>
                <w:sz w:val="1"/>
                <w:szCs w:val="1"/>
                <w:color w:val="auto"/>
              </w:rPr>
            </w:pPr>
          </w:p>
        </w:tc>
      </w:tr>
      <w:tr>
        <w:trPr>
          <w:trHeight w:val="237"/>
        </w:trPr>
        <w:tc>
          <w:tcPr>
            <w:tcW w:w="2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860" w:type="dxa"/>
            <w:vAlign w:val="bottom"/>
            <w:tcBorders>
              <w:bottom w:val="single" w:sz="8" w:color="auto"/>
            </w:tcBorders>
          </w:tcPr>
          <w:p>
            <w:pPr>
              <w:spacing w:after="0"/>
              <w:rPr>
                <w:sz w:val="20"/>
                <w:szCs w:val="20"/>
                <w:color w:val="auto"/>
              </w:rPr>
            </w:pPr>
          </w:p>
        </w:tc>
        <w:tc>
          <w:tcPr>
            <w:tcW w:w="7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760" w:type="dxa"/>
            <w:vAlign w:val="bottom"/>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86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6</w:t>
            </w:r>
          </w:p>
        </w:tc>
        <w:tc>
          <w:tcPr>
            <w:tcW w:w="7620" w:type="dxa"/>
            <w:vAlign w:val="bottom"/>
          </w:tcPr>
          <w:p>
            <w:pPr>
              <w:ind w:left="260"/>
              <w:spacing w:after="0"/>
              <w:rPr>
                <w:sz w:val="20"/>
                <w:szCs w:val="20"/>
                <w:color w:val="auto"/>
              </w:rPr>
            </w:pPr>
            <w:r>
              <w:rPr>
                <w:rFonts w:ascii="Arial" w:cs="Arial" w:eastAsia="Arial" w:hAnsi="Arial"/>
                <w:sz w:val="18"/>
                <w:szCs w:val="18"/>
                <w:color w:val="auto"/>
              </w:rPr>
              <w:t>SHARED VOTING POWER – 0</w:t>
            </w:r>
          </w:p>
        </w:tc>
        <w:tc>
          <w:tcPr>
            <w:tcW w:w="0" w:type="dxa"/>
            <w:vAlign w:val="bottom"/>
          </w:tcPr>
          <w:p>
            <w:pPr>
              <w:spacing w:after="0"/>
              <w:rPr>
                <w:sz w:val="1"/>
                <w:szCs w:val="1"/>
                <w:color w:val="auto"/>
              </w:rPr>
            </w:pP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8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860" w:type="dxa"/>
            <w:vAlign w:val="bottom"/>
            <w:tcBorders>
              <w:bottom w:val="single" w:sz="8" w:color="auto"/>
            </w:tcBorders>
          </w:tcPr>
          <w:p>
            <w:pPr>
              <w:spacing w:after="0"/>
              <w:rPr>
                <w:sz w:val="4"/>
                <w:szCs w:val="4"/>
                <w:color w:val="auto"/>
              </w:rPr>
            </w:pPr>
          </w:p>
        </w:tc>
        <w:tc>
          <w:tcPr>
            <w:tcW w:w="7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7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76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7</w:t>
            </w:r>
          </w:p>
        </w:tc>
        <w:tc>
          <w:tcPr>
            <w:tcW w:w="7620" w:type="dxa"/>
            <w:vAlign w:val="bottom"/>
          </w:tcPr>
          <w:p>
            <w:pPr>
              <w:ind w:left="260"/>
              <w:spacing w:after="0"/>
              <w:rPr>
                <w:sz w:val="20"/>
                <w:szCs w:val="20"/>
                <w:color w:val="auto"/>
              </w:rPr>
            </w:pPr>
            <w:r>
              <w:rPr>
                <w:rFonts w:ascii="Arial" w:cs="Arial" w:eastAsia="Arial" w:hAnsi="Arial"/>
                <w:sz w:val="18"/>
                <w:szCs w:val="18"/>
                <w:color w:val="auto"/>
              </w:rPr>
              <w:t>SOLE DISPOSITIVE POWER – 80,230,013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137160</wp:posOffset>
            </wp:positionV>
            <wp:extent cx="53835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880" w:hanging="603"/>
        <w:spacing w:after="0"/>
        <w:tabs>
          <w:tab w:leader="none" w:pos="38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SHARED DISPOSITIVE POWER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1020" w:hanging="551"/>
        <w:spacing w:after="0"/>
        <w:tabs>
          <w:tab w:leader="none" w:pos="10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80,230,013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020" w:right="3060" w:hanging="596"/>
        <w:spacing w:after="0" w:line="389" w:lineRule="auto"/>
        <w:tabs>
          <w:tab w:leader="none" w:pos="10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N/A</w:t>
      </w:r>
    </w:p>
    <w:p>
      <w:pPr>
        <w:spacing w:after="0" w:line="4" w:lineRule="exact"/>
        <w:rPr>
          <w:rFonts w:ascii="Arial" w:cs="Arial" w:eastAsia="Arial" w:hAnsi="Arial"/>
          <w:sz w:val="18"/>
          <w:szCs w:val="18"/>
          <w:b w:val="1"/>
          <w:bCs w:val="1"/>
          <w:color w:val="auto"/>
        </w:rPr>
      </w:pPr>
    </w:p>
    <w:p>
      <w:pPr>
        <w:ind w:left="1020" w:right="5280" w:hanging="591"/>
        <w:spacing w:after="0" w:line="389" w:lineRule="auto"/>
        <w:tabs>
          <w:tab w:leader="none" w:pos="10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28.07%</w:t>
      </w:r>
    </w:p>
    <w:p>
      <w:pPr>
        <w:spacing w:after="0" w:line="4" w:lineRule="exact"/>
        <w:rPr>
          <w:rFonts w:ascii="Arial" w:cs="Arial" w:eastAsia="Arial" w:hAnsi="Arial"/>
          <w:sz w:val="18"/>
          <w:szCs w:val="18"/>
          <w:b w:val="1"/>
          <w:bCs w:val="1"/>
          <w:color w:val="auto"/>
        </w:rPr>
      </w:pPr>
    </w:p>
    <w:p>
      <w:pPr>
        <w:ind w:left="1020" w:right="7620" w:hanging="596"/>
        <w:spacing w:after="0" w:line="623" w:lineRule="auto"/>
        <w:tabs>
          <w:tab w:leader="none" w:pos="102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TYPE OF REPORTING PERSON* See Item 3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-1042670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1(a). Name of Issuer:</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PureTech Health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Address of Issuer’s Principal Executive Offices: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6 Tide Street, Boston, MA 02210,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2(a). Name of Person Filing: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Invesco Ltd.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Address of Principal Business Office or, if none, residence of filing person: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1555 Peachtree Street NE; Atlanta, GA 30309;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Citizenship of filing person: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Bermuda</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Title of Classes of Securities: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CUSIP Number: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G7297M101</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3. </w:t>
      </w:r>
      <w:r>
        <w:rPr>
          <w:rFonts w:ascii="Arial" w:cs="Arial" w:eastAsia="Arial" w:hAnsi="Arial"/>
          <w:sz w:val="21"/>
          <w:szCs w:val="21"/>
          <w:color w:val="auto"/>
        </w:rPr>
        <w:t>If this statement is filed pursuant to ss240.13d-1(b) or 240.13d-2(b) or (c), check whether the person filing is a:</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(e) [x] An investment adviser in accordance with section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 [x] A parent holding company or control person in accordance with section 240.13d-1(b)(1)(ii)(G)</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color w:val="auto"/>
        </w:rPr>
        <w:t>Ownership: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Please see responses to Items 5-8 on the cover of this statement, which are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color w:val="auto"/>
        </w:rPr>
        <w:t>Ownership of Five Percent or Less of a Class:</w:t>
      </w:r>
    </w:p>
    <w:p>
      <w:pPr>
        <w:spacing w:after="0" w:line="239"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color w:val="auto"/>
        </w:rPr>
        <w:t>Ownership of More than Five Percent on Behalf of Another Person:</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Invesco Asset Management Ltd. is a subsidiary of Invesco Ltd. and it advises the Invesco UK Equity High Income which owns 15.68% of the security reported herein. Invesco Asset Management Ltd. is a subsidiary of Invesco Ltd. and it advises the Invesco UK Equity High Income Fund which owns 9.08% of the security reported herein. However, no one individual has greater than 5% economic ownership. The shareholders of the Fund have the right to receive or the power to direct the receipt of dividends and proceeds from the sale of securities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3" w:name="page4"/>
    <w:bookmarkEnd w:id="3"/>
    <w:p>
      <w:pPr>
        <w:ind w:right="20"/>
        <w:spacing w:after="0" w:line="257" w:lineRule="auto"/>
        <w:rPr>
          <w:sz w:val="20"/>
          <w:szCs w:val="20"/>
          <w:color w:val="auto"/>
        </w:rPr>
      </w:pPr>
      <w:r>
        <w:rPr>
          <w:rFonts w:ascii="Arial" w:cs="Arial" w:eastAsia="Arial" w:hAnsi="Arial"/>
          <w:sz w:val="22"/>
          <w:szCs w:val="22"/>
          <w:b w:val="1"/>
          <w:bCs w:val="1"/>
          <w:color w:val="auto"/>
        </w:rPr>
        <w:t xml:space="preserve">Item 7. </w:t>
      </w:r>
      <w:r>
        <w:rPr>
          <w:rFonts w:ascii="Arial" w:cs="Arial" w:eastAsia="Arial" w:hAnsi="Arial"/>
          <w:sz w:val="22"/>
          <w:szCs w:val="22"/>
          <w:color w:val="auto"/>
        </w:rPr>
        <w:t>Identification and Classification of the Subsidiary which Acquired the Security Being Reported on by the Parent Holding</w:t>
      </w:r>
      <w:r>
        <w:rPr>
          <w:rFonts w:ascii="Arial" w:cs="Arial" w:eastAsia="Arial" w:hAnsi="Arial"/>
          <w:sz w:val="22"/>
          <w:szCs w:val="22"/>
          <w:b w:val="1"/>
          <w:bCs w:val="1"/>
          <w:color w:val="auto"/>
        </w:rPr>
        <w:t xml:space="preserve"> </w:t>
      </w:r>
      <w:r>
        <w:rPr>
          <w:rFonts w:ascii="Arial" w:cs="Arial" w:eastAsia="Arial" w:hAnsi="Arial"/>
          <w:sz w:val="22"/>
          <w:szCs w:val="22"/>
          <w:color w:val="auto"/>
        </w:rPr>
        <w:t>Company: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subsidiaries of Invesco Ltd. are investment advisers which hold shares of the security being reported: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Ltd.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8. </w:t>
      </w:r>
      <w:r>
        <w:rPr>
          <w:rFonts w:ascii="Arial" w:cs="Arial" w:eastAsia="Arial" w:hAnsi="Arial"/>
          <w:sz w:val="22"/>
          <w:szCs w:val="22"/>
          <w:color w:val="auto"/>
        </w:rPr>
        <w:t>Identification and Classification of Members of the Group: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N/A</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9. </w:t>
      </w:r>
      <w:r>
        <w:rPr>
          <w:rFonts w:ascii="Arial" w:cs="Arial" w:eastAsia="Arial" w:hAnsi="Arial"/>
          <w:sz w:val="22"/>
          <w:szCs w:val="22"/>
          <w:color w:val="auto"/>
        </w:rPr>
        <w:t>Notice of Dissolution of a Group: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N/A</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10. </w:t>
      </w:r>
      <w:r>
        <w:rPr>
          <w:rFonts w:ascii="Arial" w:cs="Arial" w:eastAsia="Arial" w:hAnsi="Arial"/>
          <w:sz w:val="22"/>
          <w:szCs w:val="22"/>
          <w:color w:val="auto"/>
        </w:rPr>
        <w:t>Certification:</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33"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02/16/2020</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Ltd.</w:t>
      </w:r>
    </w:p>
    <w:p>
      <w:pPr>
        <w:spacing w:after="0" w:line="23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Robert R. Leveille</w:t>
      </w:r>
    </w:p>
    <w:p>
      <w:pPr>
        <w:ind w:left="660"/>
        <w:spacing w:after="0" w:line="238" w:lineRule="auto"/>
        <w:rPr>
          <w:sz w:val="20"/>
          <w:szCs w:val="20"/>
          <w:color w:val="auto"/>
        </w:rPr>
      </w:pPr>
      <w:r>
        <w:rPr>
          <w:rFonts w:ascii="Arial" w:cs="Arial" w:eastAsia="Arial" w:hAnsi="Arial"/>
          <w:sz w:val="22"/>
          <w:szCs w:val="22"/>
          <w:color w:val="auto"/>
        </w:rPr>
        <w:t>Robert R. Leveille</w:t>
      </w:r>
    </w:p>
    <w:p>
      <w:pPr>
        <w:ind w:left="660"/>
        <w:spacing w:after="0"/>
        <w:rPr>
          <w:sz w:val="20"/>
          <w:szCs w:val="20"/>
          <w:color w:val="auto"/>
        </w:rPr>
      </w:pPr>
      <w:r>
        <w:rPr>
          <w:rFonts w:ascii="Arial" w:cs="Arial" w:eastAsia="Arial" w:hAnsi="Arial"/>
          <w:sz w:val="22"/>
          <w:szCs w:val="22"/>
          <w:color w:val="auto"/>
        </w:rPr>
        <w:t>Global Assurance Officer</w:t>
      </w:r>
    </w:p>
    <w:p>
      <w:pPr>
        <w:sectPr>
          <w:pgSz w:w="11900" w:h="16838" w:orient="portrait"/>
          <w:cols w:equalWidth="0" w:num="1">
            <w:col w:w="11200"/>
          </w:cols>
          <w:pgMar w:left="320" w:top="112" w:right="37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21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Dated: 02/10/2021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Invesco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Robert R. Leveille</w:t>
      </w:r>
    </w:p>
    <w:p>
      <w:pPr>
        <w:spacing w:after="0" w:line="230" w:lineRule="auto"/>
        <w:rPr>
          <w:sz w:val="20"/>
          <w:szCs w:val="20"/>
          <w:color w:val="auto"/>
        </w:rPr>
      </w:pPr>
      <w:r>
        <w:rPr>
          <w:rFonts w:ascii="Arial" w:cs="Arial" w:eastAsia="Arial" w:hAnsi="Arial"/>
          <w:sz w:val="22"/>
          <w:szCs w:val="22"/>
          <w:color w:val="auto"/>
        </w:rPr>
        <w:t>Name: Robert R. Leveille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Global Assurance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Invesco Advisers,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Todd F. Kuehl</w:t>
      </w:r>
    </w:p>
    <w:p>
      <w:pPr>
        <w:spacing w:after="0" w:line="230" w:lineRule="auto"/>
        <w:rPr>
          <w:sz w:val="20"/>
          <w:szCs w:val="20"/>
          <w:color w:val="auto"/>
        </w:rPr>
      </w:pPr>
      <w:r>
        <w:rPr>
          <w:rFonts w:ascii="Arial" w:cs="Arial" w:eastAsia="Arial" w:hAnsi="Arial"/>
          <w:sz w:val="22"/>
          <w:szCs w:val="22"/>
          <w:color w:val="auto"/>
        </w:rPr>
        <w:t>Name: Todd F. Kuehl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Invesco Canada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Kate Archibald</w:t>
      </w:r>
    </w:p>
    <w:p>
      <w:pPr>
        <w:spacing w:after="0" w:line="230" w:lineRule="auto"/>
        <w:rPr>
          <w:sz w:val="20"/>
          <w:szCs w:val="20"/>
          <w:color w:val="auto"/>
        </w:rPr>
      </w:pPr>
      <w:r>
        <w:rPr>
          <w:rFonts w:ascii="Arial" w:cs="Arial" w:eastAsia="Arial" w:hAnsi="Arial"/>
          <w:sz w:val="22"/>
          <w:szCs w:val="22"/>
          <w:color w:val="auto"/>
        </w:rPr>
        <w:t>Name: Kate Archibald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SVP, Head of Compliance, and Chief Compliance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Invesco Trust Company</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Odeh Stevens</w:t>
      </w:r>
    </w:p>
    <w:p>
      <w:pPr>
        <w:spacing w:after="0" w:line="230" w:lineRule="auto"/>
        <w:rPr>
          <w:sz w:val="20"/>
          <w:szCs w:val="20"/>
          <w:color w:val="auto"/>
        </w:rPr>
      </w:pPr>
      <w:r>
        <w:rPr>
          <w:rFonts w:ascii="Arial" w:cs="Arial" w:eastAsia="Arial" w:hAnsi="Arial"/>
          <w:sz w:val="22"/>
          <w:szCs w:val="22"/>
          <w:color w:val="auto"/>
        </w:rPr>
        <w:t>Name: Odeh Stevens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Lee Siu Mei</w:t>
      </w:r>
    </w:p>
    <w:p>
      <w:pPr>
        <w:spacing w:after="0" w:line="230" w:lineRule="auto"/>
        <w:rPr>
          <w:sz w:val="20"/>
          <w:szCs w:val="20"/>
          <w:color w:val="auto"/>
        </w:rPr>
      </w:pPr>
      <w:r>
        <w:rPr>
          <w:rFonts w:ascii="Arial" w:cs="Arial" w:eastAsia="Arial" w:hAnsi="Arial"/>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Pang Sin Chu</w:t>
      </w:r>
    </w:p>
    <w:p>
      <w:pPr>
        <w:spacing w:after="0" w:line="230" w:lineRule="auto"/>
        <w:rPr>
          <w:sz w:val="20"/>
          <w:szCs w:val="20"/>
          <w:color w:val="auto"/>
        </w:rPr>
      </w:pPr>
      <w:r>
        <w:rPr>
          <w:rFonts w:ascii="Arial" w:cs="Arial" w:eastAsia="Arial" w:hAnsi="Arial"/>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Deutschland GmbH</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Alexander Taft</w:t>
      </w:r>
    </w:p>
    <w:p>
      <w:pPr>
        <w:spacing w:after="0" w:line="230" w:lineRule="auto"/>
        <w:rPr>
          <w:sz w:val="20"/>
          <w:szCs w:val="20"/>
          <w:color w:val="auto"/>
        </w:rPr>
      </w:pPr>
      <w:r>
        <w:rPr>
          <w:rFonts w:ascii="Arial" w:cs="Arial" w:eastAsia="Arial" w:hAnsi="Arial"/>
          <w:sz w:val="22"/>
          <w:szCs w:val="22"/>
          <w:color w:val="auto"/>
        </w:rPr>
        <w:t>Name: Alexander Taft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MD - Struct. Finance, Europe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Chris Edge</w:t>
      </w:r>
    </w:p>
    <w:p>
      <w:pPr>
        <w:spacing w:after="0" w:line="230" w:lineRule="auto"/>
        <w:rPr>
          <w:sz w:val="20"/>
          <w:szCs w:val="20"/>
          <w:color w:val="auto"/>
        </w:rPr>
      </w:pPr>
      <w:r>
        <w:rPr>
          <w:rFonts w:ascii="Arial" w:cs="Arial" w:eastAsia="Arial" w:hAnsi="Arial"/>
          <w:sz w:val="22"/>
          <w:szCs w:val="22"/>
          <w:color w:val="auto"/>
        </w:rPr>
        <w:t>Name: Chris Edge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UK Compliance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Invesco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Peter Carroll</w:t>
      </w:r>
    </w:p>
    <w:p>
      <w:pPr>
        <w:spacing w:after="0" w:line="230" w:lineRule="auto"/>
        <w:rPr>
          <w:sz w:val="20"/>
          <w:szCs w:val="20"/>
          <w:color w:val="auto"/>
        </w:rPr>
      </w:pPr>
      <w:r>
        <w:rPr>
          <w:rFonts w:ascii="Arial" w:cs="Arial" w:eastAsia="Arial" w:hAnsi="Arial"/>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EMEA Delegation Oversight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Invesco Taiwan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Jacky Hsiao</w:t>
      </w:r>
    </w:p>
    <w:p>
      <w:pPr>
        <w:spacing w:after="0" w:line="230" w:lineRule="auto"/>
        <w:rPr>
          <w:sz w:val="20"/>
          <w:szCs w:val="20"/>
          <w:color w:val="auto"/>
        </w:rPr>
      </w:pPr>
      <w:r>
        <w:rPr>
          <w:rFonts w:ascii="Arial" w:cs="Arial" w:eastAsia="Arial" w:hAnsi="Arial"/>
          <w:sz w:val="22"/>
          <w:szCs w:val="22"/>
          <w:color w:val="auto"/>
        </w:rPr>
        <w:t>Name: Jacky Hsiao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General Manager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(Japan)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Tsuyoshi Mochiyama</w:t>
      </w:r>
    </w:p>
    <w:p>
      <w:pPr>
        <w:spacing w:after="0" w:line="230" w:lineRule="auto"/>
        <w:rPr>
          <w:sz w:val="20"/>
          <w:szCs w:val="20"/>
          <w:color w:val="auto"/>
        </w:rPr>
      </w:pPr>
      <w:r>
        <w:rPr>
          <w:rFonts w:ascii="Arial" w:cs="Arial" w:eastAsia="Arial" w:hAnsi="Arial"/>
          <w:sz w:val="22"/>
          <w:szCs w:val="22"/>
          <w:color w:val="auto"/>
        </w:rPr>
        <w:t>Name: Tsuyoshi Mochiyama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Compliance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Singapore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Lee Siu Mei</w:t>
      </w:r>
    </w:p>
    <w:p>
      <w:pPr>
        <w:spacing w:after="0" w:line="230" w:lineRule="auto"/>
        <w:rPr>
          <w:sz w:val="20"/>
          <w:szCs w:val="20"/>
          <w:color w:val="auto"/>
        </w:rPr>
      </w:pPr>
      <w:r>
        <w:rPr>
          <w:rFonts w:ascii="Arial" w:cs="Arial" w:eastAsia="Arial" w:hAnsi="Arial"/>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ectPr>
          <w:pgSz w:w="11900" w:h="16838" w:orient="portrait"/>
          <w:cols w:equalWidth="0" w:num="1">
            <w:col w:w="11140"/>
          </w:cols>
          <w:pgMar w:left="320" w:top="112" w:right="439" w:bottom="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Invesco Asset Management Singapore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Pang Sin Chu</w:t>
      </w:r>
    </w:p>
    <w:p>
      <w:pPr>
        <w:spacing w:after="0" w:line="231" w:lineRule="auto"/>
        <w:rPr>
          <w:sz w:val="20"/>
          <w:szCs w:val="20"/>
          <w:color w:val="auto"/>
        </w:rPr>
      </w:pPr>
      <w:r>
        <w:rPr>
          <w:rFonts w:ascii="Arial" w:cs="Arial" w:eastAsia="Arial" w:hAnsi="Arial"/>
          <w:sz w:val="22"/>
          <w:szCs w:val="22"/>
          <w:color w:val="auto"/>
        </w:rPr>
        <w:t>Name: Pang Sin Chu</w:t>
      </w:r>
    </w:p>
    <w:p>
      <w:pPr>
        <w:spacing w:after="0"/>
        <w:rPr>
          <w:sz w:val="20"/>
          <w:szCs w:val="20"/>
          <w:color w:val="auto"/>
        </w:rPr>
      </w:pPr>
      <w:r>
        <w:rPr>
          <w:rFonts w:ascii="Arial" w:cs="Arial" w:eastAsia="Arial" w:hAnsi="Arial"/>
          <w:sz w:val="22"/>
          <w:szCs w:val="22"/>
          <w:color w:val="auto"/>
        </w:rPr>
        <w:t>Title: Authorized Signatory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Invesco Capital Management,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Melanie Zimdars</w:t>
      </w:r>
    </w:p>
    <w:p>
      <w:pPr>
        <w:spacing w:after="0" w:line="230" w:lineRule="auto"/>
        <w:rPr>
          <w:sz w:val="20"/>
          <w:szCs w:val="20"/>
          <w:color w:val="auto"/>
        </w:rPr>
      </w:pPr>
      <w:r>
        <w:rPr>
          <w:rFonts w:ascii="Arial" w:cs="Arial" w:eastAsia="Arial" w:hAnsi="Arial"/>
          <w:sz w:val="22"/>
          <w:szCs w:val="22"/>
          <w:color w:val="auto"/>
        </w:rPr>
        <w:t>Name: Melanie Zimdars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CCO, ICM &amp; ETFs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Invesco Investment Advisers,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Trisha B Hancock</w:t>
      </w:r>
    </w:p>
    <w:p>
      <w:pPr>
        <w:spacing w:after="0" w:line="230" w:lineRule="auto"/>
        <w:rPr>
          <w:sz w:val="20"/>
          <w:szCs w:val="20"/>
          <w:color w:val="auto"/>
        </w:rPr>
      </w:pPr>
      <w:r>
        <w:rPr>
          <w:rFonts w:ascii="Arial" w:cs="Arial" w:eastAsia="Arial" w:hAnsi="Arial"/>
          <w:sz w:val="22"/>
          <w:szCs w:val="22"/>
          <w:color w:val="auto"/>
        </w:rPr>
        <w:t>Name: Trisha B Hancock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CCO, Broker-Dealers and UITs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Invesco Australia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Tas Seedat</w:t>
      </w:r>
    </w:p>
    <w:p>
      <w:pPr>
        <w:spacing w:after="0" w:line="230" w:lineRule="auto"/>
        <w:rPr>
          <w:sz w:val="20"/>
          <w:szCs w:val="20"/>
          <w:color w:val="auto"/>
        </w:rPr>
      </w:pPr>
      <w:r>
        <w:rPr>
          <w:rFonts w:ascii="Arial" w:cs="Arial" w:eastAsia="Arial" w:hAnsi="Arial"/>
          <w:sz w:val="22"/>
          <w:szCs w:val="22"/>
          <w:color w:val="auto"/>
        </w:rPr>
        <w:t>Name: Tas Seedat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Senior Compliance Manager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Invesco Private Capital,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Josh E Levit</w:t>
      </w:r>
    </w:p>
    <w:p>
      <w:pPr>
        <w:spacing w:after="0" w:line="230" w:lineRule="auto"/>
        <w:rPr>
          <w:sz w:val="20"/>
          <w:szCs w:val="20"/>
          <w:color w:val="auto"/>
        </w:rPr>
      </w:pPr>
      <w:r>
        <w:rPr>
          <w:rFonts w:ascii="Arial" w:cs="Arial" w:eastAsia="Arial" w:hAnsi="Arial"/>
          <w:sz w:val="22"/>
          <w:szCs w:val="22"/>
          <w:color w:val="auto"/>
        </w:rPr>
        <w:t>Name: Josh E Levit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OppenheimerFunds,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Donna White</w:t>
      </w:r>
    </w:p>
    <w:p>
      <w:pPr>
        <w:spacing w:after="0" w:line="230" w:lineRule="auto"/>
        <w:rPr>
          <w:sz w:val="20"/>
          <w:szCs w:val="20"/>
          <w:color w:val="auto"/>
        </w:rPr>
      </w:pPr>
      <w:r>
        <w:rPr>
          <w:rFonts w:ascii="Arial" w:cs="Arial" w:eastAsia="Arial" w:hAnsi="Arial"/>
          <w:sz w:val="22"/>
          <w:szCs w:val="22"/>
          <w:color w:val="auto"/>
        </w:rPr>
        <w:t>Name: Donna White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Compliance Director</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Invesco Real Estate Management S.Ã€ R. L (IREM).</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Fabrice Coste</w:t>
      </w:r>
    </w:p>
    <w:p>
      <w:pPr>
        <w:spacing w:after="0" w:line="230" w:lineRule="auto"/>
        <w:rPr>
          <w:sz w:val="20"/>
          <w:szCs w:val="20"/>
          <w:color w:val="auto"/>
        </w:rPr>
      </w:pPr>
      <w:r>
        <w:rPr>
          <w:rFonts w:ascii="Arial" w:cs="Arial" w:eastAsia="Arial" w:hAnsi="Arial"/>
          <w:sz w:val="22"/>
          <w:szCs w:val="22"/>
          <w:color w:val="auto"/>
        </w:rPr>
        <w:t>Name: Fabrice Coste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Compliance Director</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Invesco Real Estate Management S.Ã€ R. L (IREM).</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Marion Geniaux</w:t>
      </w:r>
    </w:p>
    <w:p>
      <w:pPr>
        <w:spacing w:after="0" w:line="230" w:lineRule="auto"/>
        <w:rPr>
          <w:sz w:val="20"/>
          <w:szCs w:val="20"/>
          <w:color w:val="auto"/>
        </w:rPr>
      </w:pPr>
      <w:r>
        <w:rPr>
          <w:rFonts w:ascii="Arial" w:cs="Arial" w:eastAsia="Arial" w:hAnsi="Arial"/>
          <w:sz w:val="22"/>
          <w:szCs w:val="22"/>
          <w:color w:val="auto"/>
        </w:rPr>
        <w:t>Name: Marion Geniaux</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Senior Director, Fund Accounting</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4"/>
      <w:numFmt w:val="bullet"/>
      <w:start w:val="1"/>
    </w:lvl>
  </w:abstractNum>
  <w:abstractNum w:abstractNumId="5">
    <w:nsid w:val="41B71EFB"/>
    <w:multiLevelType w:val="hybridMultilevel"/>
    <w:lvl w:ilvl="0">
      <w:lvlJc w:val="left"/>
      <w:lvlText w:val="8"/>
      <w:numFmt w:val="bullet"/>
      <w:start w:val="1"/>
    </w:lvl>
  </w:abstractNum>
  <w:abstractNum w:abstractNumId="6">
    <w:nsid w:val="79E2A9E3"/>
    <w:multiLevelType w:val="hybridMultilevel"/>
    <w:lvl w:ilvl="0">
      <w:lvlJc w:val="left"/>
      <w:lvlText w:val="9"/>
      <w:numFmt w:val="bullet"/>
      <w:start w:val="1"/>
    </w:lvl>
  </w:abstractNum>
  <w:abstractNum w:abstractNumId="7">
    <w:nsid w:val="7545E14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2021-02-16T14:53:58Z</dcterms:created>
  <dcterms:modified xsi:type="dcterms:W3CDTF">2021-02-16T14:53:58Z</dcterms:modified>
</cp:coreProperties>
</file>