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5" w:type="dxa"/>
        <w:tblCellMar>
          <w:top w:w="0" w:type="dxa"/>
          <w:left w:w="0" w:type="dxa"/>
          <w:bottom w:w="0" w:type="dxa"/>
          <w:right w:w="0" w:type="dxa"/>
        </w:tblCellMar>
      </w:tblPr>
      <w:tr>
        <w:trPr>
          <w:trHeight w:val="238"/>
        </w:trPr>
        <w:tc>
          <w:tcPr>
            <w:tcW w:w="7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2, 2020</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No. 333 -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900" w:type="dxa"/>
            <w:vAlign w:val="bottom"/>
            <w:gridSpan w:val="2"/>
          </w:tcPr>
          <w:p>
            <w:pPr>
              <w:spacing w:after="0"/>
              <w:rPr>
                <w:sz w:val="22"/>
                <w:szCs w:val="22"/>
                <w:color w:val="auto"/>
              </w:rPr>
            </w:pPr>
          </w:p>
        </w:tc>
        <w:tc>
          <w:tcPr>
            <w:tcW w:w="192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auto"/>
            </w:tcBorders>
            <w:shd w:val="clear" w:color="auto" w:fill="000000"/>
          </w:tcPr>
          <w:p>
            <w:pPr>
              <w:spacing w:after="0"/>
              <w:rPr>
                <w:sz w:val="6"/>
                <w:szCs w:val="6"/>
                <w:color w:val="auto"/>
              </w:rPr>
            </w:pPr>
          </w:p>
        </w:tc>
        <w:tc>
          <w:tcPr>
            <w:tcW w:w="700" w:type="dxa"/>
            <w:vAlign w:val="bottom"/>
            <w:tcBorders>
              <w:bottom w:val="single" w:sz="8" w:color="auto"/>
            </w:tcBorders>
            <w:shd w:val="clear" w:color="auto" w:fill="000000"/>
          </w:tcPr>
          <w:p>
            <w:pPr>
              <w:spacing w:after="0"/>
              <w:rPr>
                <w:sz w:val="6"/>
                <w:szCs w:val="6"/>
                <w:color w:val="auto"/>
              </w:rPr>
            </w:pPr>
          </w:p>
        </w:tc>
        <w:tc>
          <w:tcPr>
            <w:tcW w:w="1400" w:type="dxa"/>
            <w:vAlign w:val="bottom"/>
            <w:tcBorders>
              <w:bottom w:val="single" w:sz="8" w:color="auto"/>
            </w:tcBorders>
            <w:shd w:val="clear" w:color="auto" w:fill="000000"/>
          </w:tcPr>
          <w:p>
            <w:pPr>
              <w:spacing w:after="0"/>
              <w:rPr>
                <w:sz w:val="6"/>
                <w:szCs w:val="6"/>
                <w:color w:val="auto"/>
              </w:rPr>
            </w:pPr>
          </w:p>
        </w:tc>
        <w:tc>
          <w:tcPr>
            <w:tcW w:w="560" w:type="dxa"/>
            <w:vAlign w:val="bottom"/>
            <w:tcBorders>
              <w:bottom w:val="single" w:sz="8" w:color="auto"/>
            </w:tcBorders>
            <w:shd w:val="clear" w:color="auto" w:fill="000000"/>
          </w:tcPr>
          <w:p>
            <w:pPr>
              <w:spacing w:after="0"/>
              <w:rPr>
                <w:sz w:val="6"/>
                <w:szCs w:val="6"/>
                <w:color w:val="auto"/>
              </w:rPr>
            </w:pPr>
          </w:p>
        </w:tc>
        <w:tc>
          <w:tcPr>
            <w:tcW w:w="180" w:type="dxa"/>
            <w:vAlign w:val="bottom"/>
            <w:tcBorders>
              <w:bottom w:val="single" w:sz="8" w:color="auto"/>
            </w:tcBorders>
            <w:shd w:val="clear" w:color="auto" w:fill="000000"/>
          </w:tcPr>
          <w:p>
            <w:pPr>
              <w:spacing w:after="0"/>
              <w:rPr>
                <w:sz w:val="6"/>
                <w:szCs w:val="6"/>
                <w:color w:val="auto"/>
              </w:rPr>
            </w:pPr>
          </w:p>
        </w:tc>
        <w:tc>
          <w:tcPr>
            <w:tcW w:w="720" w:type="dxa"/>
            <w:vAlign w:val="bottom"/>
            <w:tcBorders>
              <w:bottom w:val="single" w:sz="8" w:color="auto"/>
              <w:right w:val="single" w:sz="8" w:color="auto"/>
            </w:tcBorders>
            <w:shd w:val="clear" w:color="auto" w:fill="000000"/>
          </w:tcPr>
          <w:p>
            <w:pPr>
              <w:spacing w:after="0"/>
              <w:rPr>
                <w:sz w:val="6"/>
                <w:szCs w:val="6"/>
                <w:color w:val="auto"/>
              </w:rPr>
            </w:pPr>
          </w:p>
        </w:tc>
        <w:tc>
          <w:tcPr>
            <w:tcW w:w="1900" w:type="dxa"/>
            <w:vAlign w:val="bottom"/>
            <w:tcBorders>
              <w:bottom w:val="single" w:sz="8" w:color="auto"/>
              <w:right w:val="single" w:sz="8" w:color="auto"/>
            </w:tcBorders>
            <w:gridSpan w:val="2"/>
            <w:shd w:val="clear" w:color="auto" w:fill="000000"/>
          </w:tcPr>
          <w:p>
            <w:pPr>
              <w:spacing w:after="0"/>
              <w:rPr>
                <w:sz w:val="6"/>
                <w:szCs w:val="6"/>
                <w:color w:val="auto"/>
              </w:rPr>
            </w:pPr>
          </w:p>
        </w:tc>
        <w:tc>
          <w:tcPr>
            <w:tcW w:w="1920" w:type="dxa"/>
            <w:vAlign w:val="bottom"/>
            <w:tcBorders>
              <w:bottom w:val="single" w:sz="8" w:color="auto"/>
              <w:right w:val="single" w:sz="8" w:color="auto"/>
            </w:tcBorders>
            <w:gridSpan w:val="2"/>
            <w:shd w:val="clear" w:color="auto" w:fill="000000"/>
          </w:tcPr>
          <w:p>
            <w:pPr>
              <w:spacing w:after="0"/>
              <w:rPr>
                <w:sz w:val="6"/>
                <w:szCs w:val="6"/>
                <w:color w:val="auto"/>
              </w:rPr>
            </w:pPr>
          </w:p>
        </w:tc>
        <w:tc>
          <w:tcPr>
            <w:tcW w:w="860" w:type="dxa"/>
            <w:vAlign w:val="bottom"/>
            <w:tcBorders>
              <w:bottom w:val="single" w:sz="8" w:color="auto"/>
            </w:tcBorders>
            <w:shd w:val="clear" w:color="auto" w:fill="000000"/>
          </w:tcPr>
          <w:p>
            <w:pPr>
              <w:spacing w:after="0"/>
              <w:rPr>
                <w:sz w:val="6"/>
                <w:szCs w:val="6"/>
                <w:color w:val="auto"/>
              </w:rPr>
            </w:pPr>
          </w:p>
        </w:tc>
        <w:tc>
          <w:tcPr>
            <w:tcW w:w="1040" w:type="dxa"/>
            <w:vAlign w:val="bottom"/>
            <w:tcBorders>
              <w:bottom w:val="single" w:sz="8" w:color="auto"/>
              <w:right w:val="single" w:sz="8" w:color="auto"/>
            </w:tcBorders>
            <w:shd w:val="clear" w:color="auto" w:fill="000000"/>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1840" w:type="dxa"/>
            <w:vAlign w:val="bottom"/>
            <w:tcBorders>
              <w:bottom w:val="single" w:sz="8" w:color="auto"/>
            </w:tcBorders>
            <w:shd w:val="clear" w:color="auto" w:fill="00000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7"/>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4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b w:val="1"/>
                <w:bCs w:val="1"/>
                <w:color w:val="auto"/>
              </w:rPr>
              <w:t>FORM F-6</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0" w:type="dxa"/>
            <w:vAlign w:val="bottom"/>
            <w:gridSpan w:val="11"/>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THE SECURITIES ACT OF 1933 FOR AMERICAN DEPOSITARY SHARES EVIDENCED BY</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w w:val="99"/>
              </w:rPr>
              <w:t>AMERICAN DEPOSITARY RECEIPTS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b w:val="1"/>
                <w:bCs w:val="1"/>
                <w:color w:val="auto"/>
                <w:w w:val="99"/>
              </w:rPr>
              <w:t>__________</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40" w:type="dxa"/>
            <w:vAlign w:val="bottom"/>
            <w:gridSpan w:val="7"/>
          </w:tcPr>
          <w:p>
            <w:pPr>
              <w:jc w:val="center"/>
              <w:ind w:right="1780"/>
              <w:spacing w:after="0"/>
              <w:rPr>
                <w:sz w:val="20"/>
                <w:szCs w:val="20"/>
                <w:color w:val="auto"/>
              </w:rPr>
            </w:pPr>
            <w:r>
              <w:rPr>
                <w:rFonts w:ascii="Times New Roman" w:cs="Times New Roman" w:eastAsia="Times New Roman" w:hAnsi="Times New Roman"/>
                <w:sz w:val="32"/>
                <w:szCs w:val="32"/>
                <w:b w:val="1"/>
                <w:bCs w:val="1"/>
                <w:color w:val="auto"/>
              </w:rPr>
              <w:t>PURETECH HEALTH PLC</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60" w:type="dxa"/>
            <w:vAlign w:val="bottom"/>
            <w:gridSpan w:val="8"/>
          </w:tcPr>
          <w:p>
            <w:pPr>
              <w:jc w:val="center"/>
              <w:ind w:right="1060"/>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9"/>
              </w:rPr>
              <w:t>__________</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N/A</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color w:val="auto"/>
                <w:w w:val="99"/>
              </w:rPr>
              <w:t>(Translation of issuer’s name into English)</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9"/>
              </w:rPr>
              <w:t>__________</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8"/>
              </w:rPr>
              <w:t>England and Wales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40" w:type="dxa"/>
            <w:vAlign w:val="bottom"/>
            <w:gridSpan w:val="7"/>
          </w:tcPr>
          <w:p>
            <w:pPr>
              <w:jc w:val="center"/>
              <w:ind w:right="1780"/>
              <w:spacing w:after="0"/>
              <w:rPr>
                <w:sz w:val="20"/>
                <w:szCs w:val="20"/>
                <w:color w:val="auto"/>
              </w:rPr>
            </w:pPr>
            <w:r>
              <w:rPr>
                <w:rFonts w:ascii="Times New Roman" w:cs="Times New Roman" w:eastAsia="Times New Roman" w:hAnsi="Times New Roman"/>
                <w:sz w:val="18"/>
                <w:szCs w:val="18"/>
                <w:color w:val="auto"/>
                <w:w w:val="99"/>
              </w:rPr>
              <w:t>(Jurisdiction of incorporation or organization of issuer</w:t>
            </w:r>
            <w:r>
              <w:rPr>
                <w:rFonts w:ascii="Times New Roman" w:cs="Times New Roman" w:eastAsia="Times New Roman" w:hAnsi="Times New Roman"/>
                <w:sz w:val="18"/>
                <w:szCs w:val="18"/>
                <w:b w:val="1"/>
                <w:bCs w:val="1"/>
                <w:color w:val="auto"/>
                <w:w w:val="99"/>
              </w:rPr>
              <w:t>)</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b w:val="1"/>
                <w:bCs w:val="1"/>
                <w:color w:val="auto"/>
              </w:rPr>
              <w:t>CITIBANK, N.A.</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740" w:type="dxa"/>
            <w:vAlign w:val="bottom"/>
            <w:gridSpan w:val="7"/>
          </w:tcPr>
          <w:p>
            <w:pPr>
              <w:jc w:val="center"/>
              <w:ind w:right="1760"/>
              <w:spacing w:after="0"/>
              <w:rPr>
                <w:sz w:val="20"/>
                <w:szCs w:val="20"/>
                <w:color w:val="auto"/>
              </w:rPr>
            </w:pPr>
            <w:r>
              <w:rPr>
                <w:rFonts w:ascii="Times New Roman" w:cs="Times New Roman" w:eastAsia="Times New Roman" w:hAnsi="Times New Roman"/>
                <w:sz w:val="18"/>
                <w:szCs w:val="18"/>
                <w:color w:val="auto"/>
                <w:w w:val="99"/>
              </w:rPr>
              <w:t>(Exact name of depositary as specified in its charter</w:t>
            </w:r>
            <w:r>
              <w:rPr>
                <w:rFonts w:ascii="Times New Roman" w:cs="Times New Roman" w:eastAsia="Times New Roman" w:hAnsi="Times New Roman"/>
                <w:sz w:val="18"/>
                <w:szCs w:val="18"/>
                <w:b w:val="1"/>
                <w:bCs w:val="1"/>
                <w:color w:val="auto"/>
                <w:w w:val="99"/>
              </w:rPr>
              <w:t>)</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9"/>
              </w:rPr>
              <w:t>__________</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color w:val="auto"/>
                <w:w w:val="99"/>
              </w:rPr>
              <w:t>388 Greenwich Street</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8"/>
              </w:rPr>
              <w:t>New York, New York 10013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color w:val="auto"/>
                <w:w w:val="99"/>
              </w:rPr>
              <w:t>(877) 248-4237</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40" w:type="dxa"/>
            <w:vAlign w:val="bottom"/>
            <w:gridSpan w:val="12"/>
          </w:tcPr>
          <w:p>
            <w:pPr>
              <w:jc w:val="center"/>
              <w:ind w:right="65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 of depositary’s principal executive offices)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9"/>
              </w:rPr>
              <w:t>__________</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8"/>
              </w:rPr>
              <w:t>PureTech Health LLC</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9"/>
              </w:rPr>
              <w:t>6 Tide Street, Suite 400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28"/>
              <w:spacing w:after="0"/>
              <w:rPr>
                <w:sz w:val="20"/>
                <w:szCs w:val="20"/>
                <w:color w:val="auto"/>
              </w:rPr>
            </w:pPr>
            <w:r>
              <w:rPr>
                <w:rFonts w:ascii="Times New Roman" w:cs="Times New Roman" w:eastAsia="Times New Roman" w:hAnsi="Times New Roman"/>
                <w:sz w:val="18"/>
                <w:szCs w:val="18"/>
                <w:color w:val="auto"/>
                <w:w w:val="99"/>
              </w:rPr>
              <w:t>Boston, Massachusetts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w w:val="99"/>
              </w:rPr>
              <w:t>Attention: Chief Operating Officer</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3"/>
          </w:tcPr>
          <w:p>
            <w:pPr>
              <w:jc w:val="center"/>
              <w:ind w:left="188"/>
              <w:spacing w:after="0"/>
              <w:rPr>
                <w:sz w:val="20"/>
                <w:szCs w:val="20"/>
                <w:color w:val="auto"/>
              </w:rPr>
            </w:pPr>
            <w:r>
              <w:rPr>
                <w:rFonts w:ascii="Times New Roman" w:cs="Times New Roman" w:eastAsia="Times New Roman" w:hAnsi="Times New Roman"/>
                <w:sz w:val="18"/>
                <w:szCs w:val="18"/>
                <w:color w:val="auto"/>
                <w:w w:val="99"/>
              </w:rPr>
              <w:t>(617) 482-2333</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 of agent for service)</w:t>
            </w: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40" w:type="dxa"/>
            <w:vAlign w:val="bottom"/>
            <w:gridSpan w:val="3"/>
          </w:tcPr>
          <w:p>
            <w:pPr>
              <w:jc w:val="center"/>
              <w:ind w:left="248"/>
              <w:spacing w:after="0"/>
              <w:rPr>
                <w:sz w:val="20"/>
                <w:szCs w:val="20"/>
                <w:color w:val="auto"/>
              </w:rPr>
            </w:pPr>
            <w:r>
              <w:rPr>
                <w:rFonts w:ascii="Times New Roman" w:cs="Times New Roman" w:eastAsia="Times New Roman" w:hAnsi="Times New Roman"/>
                <w:sz w:val="18"/>
                <w:szCs w:val="18"/>
                <w:color w:val="auto"/>
              </w:rPr>
              <w:t>Copies to:</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Mitchell S. Bloom, Esq.</w:t>
            </w: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4"/>
          </w:tcPr>
          <w:p>
            <w:pPr>
              <w:jc w:val="center"/>
              <w:ind w:right="1150"/>
              <w:spacing w:after="0"/>
              <w:rPr>
                <w:sz w:val="20"/>
                <w:szCs w:val="20"/>
                <w:color w:val="auto"/>
              </w:rPr>
            </w:pPr>
            <w:r>
              <w:rPr>
                <w:rFonts w:ascii="Times New Roman" w:cs="Times New Roman" w:eastAsia="Times New Roman" w:hAnsi="Times New Roman"/>
                <w:sz w:val="18"/>
                <w:szCs w:val="18"/>
                <w:color w:val="auto"/>
                <w:w w:val="99"/>
              </w:rPr>
              <w:t>Herman H. Raspé, Esq.</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Edwin O’Connor, Esq.</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40" w:type="dxa"/>
            <w:vAlign w:val="bottom"/>
            <w:gridSpan w:val="5"/>
          </w:tcPr>
          <w:p>
            <w:pPr>
              <w:jc w:val="center"/>
              <w:ind w:right="990"/>
              <w:spacing w:after="0"/>
              <w:rPr>
                <w:sz w:val="20"/>
                <w:szCs w:val="20"/>
                <w:color w:val="auto"/>
              </w:rPr>
            </w:pPr>
            <w:r>
              <w:rPr>
                <w:rFonts w:ascii="Times New Roman" w:cs="Times New Roman" w:eastAsia="Times New Roman" w:hAnsi="Times New Roman"/>
                <w:sz w:val="18"/>
                <w:szCs w:val="18"/>
                <w:color w:val="auto"/>
                <w:w w:val="98"/>
              </w:rPr>
              <w:t>Patterson Belknap Webb &amp; Tyler LLP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Sarah Ashfaq, Esq.</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4"/>
          </w:tcPr>
          <w:p>
            <w:pPr>
              <w:jc w:val="center"/>
              <w:ind w:right="1170"/>
              <w:spacing w:after="0"/>
              <w:rPr>
                <w:sz w:val="20"/>
                <w:szCs w:val="20"/>
                <w:color w:val="auto"/>
              </w:rPr>
            </w:pPr>
            <w:r>
              <w:rPr>
                <w:rFonts w:ascii="Times New Roman" w:cs="Times New Roman" w:eastAsia="Times New Roman" w:hAnsi="Times New Roman"/>
                <w:sz w:val="18"/>
                <w:szCs w:val="18"/>
                <w:color w:val="auto"/>
                <w:w w:val="99"/>
              </w:rPr>
              <w:t>1133 Avenue of the Americas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Goodwin Procter LLP</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4"/>
          </w:tcPr>
          <w:p>
            <w:pPr>
              <w:jc w:val="center"/>
              <w:ind w:right="117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100 Northern Avenue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(212) 336-2301</w:t>
            </w: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Boston, Massachusetts 02210</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gridSpan w:val="5"/>
          </w:tcPr>
          <w:p>
            <w:pPr>
              <w:jc w:val="center"/>
              <w:ind w:left="1390"/>
              <w:spacing w:after="0"/>
              <w:rPr>
                <w:sz w:val="20"/>
                <w:szCs w:val="20"/>
                <w:color w:val="auto"/>
              </w:rPr>
            </w:pPr>
            <w:r>
              <w:rPr>
                <w:rFonts w:ascii="Times New Roman" w:cs="Times New Roman" w:eastAsia="Times New Roman" w:hAnsi="Times New Roman"/>
                <w:sz w:val="18"/>
                <w:szCs w:val="18"/>
                <w:color w:val="auto"/>
                <w:w w:val="99"/>
              </w:rPr>
              <w:t>(617) 570-1000</w:t>
            </w:r>
          </w:p>
        </w:tc>
        <w:tc>
          <w:tcPr>
            <w:tcW w:w="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80" w:type="dxa"/>
            <w:vAlign w:val="bottom"/>
          </w:tcPr>
          <w:p>
            <w:pPr>
              <w:spacing w:after="0"/>
              <w:rPr>
                <w:sz w:val="24"/>
                <w:szCs w:val="24"/>
                <w:color w:val="auto"/>
              </w:rPr>
            </w:pPr>
          </w:p>
        </w:tc>
        <w:tc>
          <w:tcPr>
            <w:tcW w:w="520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260" w:type="dxa"/>
            <w:vAlign w:val="bottom"/>
          </w:tcPr>
          <w:p>
            <w:pPr>
              <w:spacing w:after="0"/>
              <w:rPr>
                <w:sz w:val="24"/>
                <w:szCs w:val="24"/>
                <w:color w:val="auto"/>
              </w:rPr>
            </w:pPr>
          </w:p>
        </w:tc>
        <w:tc>
          <w:tcPr>
            <w:tcW w:w="3840" w:type="dxa"/>
            <w:vAlign w:val="bottom"/>
            <w:gridSpan w:val="5"/>
          </w:tcPr>
          <w:p>
            <w:pPr>
              <w:ind w:left="8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gridSpan w:val="5"/>
          </w:tcPr>
          <w:p>
            <w:pPr>
              <w:jc w:val="right"/>
              <w:ind w:right="11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9300" w:type="dxa"/>
            <w:vAlign w:val="bottom"/>
            <w:gridSpan w:val="12"/>
          </w:tcPr>
          <w:p>
            <w:pPr>
              <w:jc w:val="right"/>
              <w:ind w:right="1180"/>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gridSpan w:val="2"/>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40" w:type="dxa"/>
            <w:vAlign w:val="bottom"/>
            <w:gridSpan w:val="7"/>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60" w:type="dxa"/>
            <w:vAlign w:val="bottom"/>
            <w:tcBorders>
              <w:right w:val="single" w:sz="8" w:color="auto"/>
            </w:tcBorders>
            <w:gridSpan w:val="4"/>
          </w:tcPr>
          <w:p>
            <w:pPr>
              <w:jc w:val="center"/>
              <w:ind w:right="71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640" w:type="dxa"/>
            <w:vAlign w:val="bottom"/>
          </w:tcPr>
          <w:p>
            <w:pPr>
              <w:jc w:val="center"/>
              <w:ind w:left="148"/>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260" w:type="dxa"/>
            <w:vAlign w:val="bottom"/>
            <w:tcBorders>
              <w:right w:val="single" w:sz="8" w:color="auto"/>
            </w:tcBorders>
          </w:tcPr>
          <w:p>
            <w:pPr>
              <w:spacing w:after="0"/>
              <w:rPr>
                <w:sz w:val="16"/>
                <w:szCs w:val="16"/>
                <w:color w:val="auto"/>
              </w:rPr>
            </w:pPr>
          </w:p>
        </w:tc>
        <w:tc>
          <w:tcPr>
            <w:tcW w:w="174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8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gridSpan w:val="2"/>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20" w:type="dxa"/>
            <w:vAlign w:val="bottom"/>
          </w:tcPr>
          <w:p>
            <w:pPr>
              <w:spacing w:after="0"/>
              <w:rPr>
                <w:sz w:val="16"/>
                <w:szCs w:val="16"/>
                <w:color w:val="auto"/>
              </w:rPr>
            </w:pPr>
          </w:p>
        </w:tc>
        <w:tc>
          <w:tcPr>
            <w:tcW w:w="1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60" w:type="dxa"/>
            <w:vAlign w:val="bottom"/>
            <w:tcBorders>
              <w:right w:val="single" w:sz="8" w:color="auto"/>
            </w:tcBorders>
            <w:gridSpan w:val="4"/>
          </w:tcPr>
          <w:p>
            <w:pPr>
              <w:jc w:val="center"/>
              <w:ind w:right="71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640" w:type="dxa"/>
            <w:vAlign w:val="bottom"/>
          </w:tcPr>
          <w:p>
            <w:pPr>
              <w:jc w:val="center"/>
              <w:ind w:left="148"/>
              <w:spacing w:after="0"/>
              <w:rPr>
                <w:sz w:val="20"/>
                <w:szCs w:val="20"/>
                <w:color w:val="auto"/>
              </w:rPr>
            </w:pPr>
            <w:r>
              <w:rPr>
                <w:rFonts w:ascii="Times New Roman" w:cs="Times New Roman" w:eastAsia="Times New Roman" w:hAnsi="Times New Roman"/>
                <w:sz w:val="18"/>
                <w:szCs w:val="18"/>
                <w:color w:val="auto"/>
                <w:w w:val="98"/>
              </w:rPr>
              <w:t>Registered</w:t>
            </w:r>
          </w:p>
        </w:tc>
        <w:tc>
          <w:tcPr>
            <w:tcW w:w="260" w:type="dxa"/>
            <w:vAlign w:val="bottom"/>
            <w:tcBorders>
              <w:right w:val="single" w:sz="8" w:color="auto"/>
            </w:tcBorders>
          </w:tcPr>
          <w:p>
            <w:pPr>
              <w:spacing w:after="0"/>
              <w:rPr>
                <w:sz w:val="18"/>
                <w:szCs w:val="18"/>
                <w:color w:val="auto"/>
              </w:rPr>
            </w:pPr>
          </w:p>
        </w:tc>
        <w:tc>
          <w:tcPr>
            <w:tcW w:w="17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Aggregate Price Per</w:t>
            </w:r>
          </w:p>
        </w:tc>
        <w:tc>
          <w:tcPr>
            <w:tcW w:w="1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Aggregate Offering</w:t>
            </w:r>
          </w:p>
        </w:tc>
        <w:tc>
          <w:tcPr>
            <w:tcW w:w="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rPr>
              <w:t>Unit*</w:t>
            </w: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Price**</w:t>
            </w:r>
          </w:p>
        </w:tc>
        <w:tc>
          <w:tcPr>
            <w:tcW w:w="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w:t>
            </w:r>
          </w:p>
        </w:tc>
        <w:tc>
          <w:tcPr>
            <w:tcW w:w="164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640" w:type="dxa"/>
            <w:vAlign w:val="bottom"/>
            <w:tcBorders>
              <w:right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ADS representing the right to receive ten (10)</w:t>
            </w:r>
          </w:p>
        </w:tc>
        <w:tc>
          <w:tcPr>
            <w:tcW w:w="1640" w:type="dxa"/>
            <w:vAlign w:val="bottom"/>
            <w:vMerge w:val="restart"/>
          </w:tcPr>
          <w:p>
            <w:pPr>
              <w:jc w:val="center"/>
              <w:ind w:left="148"/>
              <w:spacing w:after="0"/>
              <w:rPr>
                <w:sz w:val="20"/>
                <w:szCs w:val="20"/>
                <w:color w:val="auto"/>
              </w:rPr>
            </w:pPr>
            <w:r>
              <w:rPr>
                <w:rFonts w:ascii="Times New Roman" w:cs="Times New Roman" w:eastAsia="Times New Roman" w:hAnsi="Times New Roman"/>
                <w:sz w:val="18"/>
                <w:szCs w:val="18"/>
                <w:color w:val="auto"/>
                <w:w w:val="98"/>
              </w:rPr>
              <w:t>100,000,000 ADSs</w:t>
            </w:r>
          </w:p>
        </w:tc>
        <w:tc>
          <w:tcPr>
            <w:tcW w:w="260" w:type="dxa"/>
            <w:vAlign w:val="bottom"/>
            <w:tcBorders>
              <w:right w:val="single" w:sz="8" w:color="auto"/>
            </w:tcBorders>
          </w:tcPr>
          <w:p>
            <w:pPr>
              <w:spacing w:after="0"/>
              <w:rPr>
                <w:sz w:val="18"/>
                <w:szCs w:val="18"/>
                <w:color w:val="auto"/>
              </w:rPr>
            </w:pPr>
          </w:p>
        </w:tc>
        <w:tc>
          <w:tcPr>
            <w:tcW w:w="17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$5,000,000</w:t>
            </w:r>
          </w:p>
        </w:tc>
        <w:tc>
          <w:tcPr>
            <w:tcW w:w="20" w:type="dxa"/>
            <w:vAlign w:val="bottom"/>
          </w:tcPr>
          <w:p>
            <w:pPr>
              <w:spacing w:after="0"/>
              <w:rPr>
                <w:sz w:val="18"/>
                <w:szCs w:val="18"/>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$545.50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640" w:type="dxa"/>
            <w:vAlign w:val="bottom"/>
            <w:tcBorders>
              <w:right w:val="single" w:sz="8" w:color="auto"/>
            </w:tcBorders>
            <w:gridSpan w:val="6"/>
            <w:vMerge w:val="restart"/>
          </w:tcPr>
          <w:p>
            <w:pPr>
              <w:spacing w:after="0"/>
              <w:rPr>
                <w:sz w:val="20"/>
                <w:szCs w:val="20"/>
                <w:color w:val="auto"/>
              </w:rPr>
            </w:pPr>
            <w:r>
              <w:rPr>
                <w:rFonts w:ascii="Times New Roman" w:cs="Times New Roman" w:eastAsia="Times New Roman" w:hAnsi="Times New Roman"/>
                <w:sz w:val="18"/>
                <w:szCs w:val="18"/>
                <w:color w:val="auto"/>
              </w:rPr>
              <w:t>Ordinary Shares of PureTech Health plc (the</w:t>
            </w:r>
          </w:p>
        </w:tc>
        <w:tc>
          <w:tcPr>
            <w:tcW w:w="164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7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640" w:type="dxa"/>
            <w:vAlign w:val="bottom"/>
            <w:tcBorders>
              <w:right w:val="single" w:sz="8" w:color="auto"/>
            </w:tcBorders>
            <w:gridSpan w:val="6"/>
            <w:vMerge w:val="continue"/>
          </w:tcPr>
          <w:p>
            <w:pPr>
              <w:spacing w:after="0"/>
              <w:rPr>
                <w:sz w:val="7"/>
                <w:szCs w:val="7"/>
                <w:color w:val="auto"/>
              </w:rPr>
            </w:pPr>
          </w:p>
        </w:tc>
        <w:tc>
          <w:tcPr>
            <w:tcW w:w="164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auto"/>
            </w:tcBorders>
            <w:gridSpan w:val="6"/>
          </w:tcPr>
          <w:p>
            <w:pPr>
              <w:spacing w:after="0" w:line="194" w:lineRule="exact"/>
              <w:rPr>
                <w:sz w:val="20"/>
                <w:szCs w:val="20"/>
                <w:color w:val="auto"/>
              </w:rPr>
            </w:pPr>
            <w:r>
              <w:rPr>
                <w:rFonts w:ascii="Times New Roman" w:cs="Times New Roman" w:eastAsia="Times New Roman" w:hAnsi="Times New Roman"/>
                <w:sz w:val="18"/>
                <w:szCs w:val="18"/>
                <w:color w:val="auto"/>
              </w:rPr>
              <w:t>“Company”)</w:t>
            </w:r>
          </w:p>
        </w:tc>
        <w:tc>
          <w:tcPr>
            <w:tcW w:w="1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15" w:hanging="315"/>
        <w:spacing w:after="0"/>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this table only, the term "unit" is defined as 100 ADSs.</w:t>
      </w:r>
    </w:p>
    <w:p>
      <w:pPr>
        <w:sectPr>
          <w:pgSz w:w="11900" w:h="16838" w:orient="portrait"/>
          <w:cols w:equalWidth="0" w:num="1">
            <w:col w:w="11255"/>
          </w:cols>
          <w:pgMar w:left="305" w:top="468" w:right="339" w:bottom="0" w:gutter="0" w:footer="0" w:header="0"/>
        </w:sectPr>
      </w:pPr>
    </w:p>
    <w:bookmarkStart w:id="1" w:name="page2"/>
    <w:bookmarkEnd w:id="1"/>
    <w:p>
      <w:pPr>
        <w:ind w:left="275" w:hanging="275"/>
        <w:spacing w:after="0" w:line="282" w:lineRule="auto"/>
        <w:tabs>
          <w:tab w:leader="none" w:pos="3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171" w:lineRule="exact"/>
        <w:rPr>
          <w:sz w:val="20"/>
          <w:szCs w:val="20"/>
          <w:color w:val="auto"/>
        </w:rPr>
      </w:pPr>
    </w:p>
    <w:p>
      <w:pPr>
        <w:ind w:left="275" w:right="30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-567690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194945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95"/>
          </w:cols>
          <w:pgMar w:left="305" w:top="121" w:right="599" w:bottom="1440" w:gutter="0" w:footer="0" w:header="0"/>
        </w:sectPr>
      </w:pPr>
    </w:p>
    <w:bookmarkStart w:id="2" w:name="page3"/>
    <w:bookmarkEnd w:id="2"/>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5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460" w:type="dxa"/>
            <w:vAlign w:val="bottom"/>
            <w:vMerge w:val="restart"/>
          </w:tcPr>
          <w:p>
            <w:pPr>
              <w:spacing w:after="0"/>
              <w:rPr>
                <w:sz w:val="17"/>
                <w:szCs w:val="17"/>
                <w:color w:val="auto"/>
              </w:rPr>
            </w:pPr>
          </w:p>
        </w:tc>
        <w:tc>
          <w:tcPr>
            <w:tcW w:w="45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460" w:type="dxa"/>
            <w:vAlign w:val="bottom"/>
            <w:vMerge w:val="continue"/>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Title of Receipt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Face of Receipt</w:t>
            </w: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Face of Receipt</w:t>
            </w: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(iv)</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Face of Receipt</w:t>
            </w:r>
          </w:p>
        </w:tc>
        <w:tc>
          <w:tcPr>
            <w:tcW w:w="34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(viii)</w:t>
            </w: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33"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460" w:type="dxa"/>
            <w:vAlign w:val="bottom"/>
            <w:vMerge w:val="restart"/>
          </w:tcPr>
          <w:p>
            <w:pPr>
              <w:spacing w:after="0"/>
              <w:rPr>
                <w:sz w:val="17"/>
                <w:szCs w:val="17"/>
                <w:color w:val="auto"/>
              </w:rPr>
            </w:pPr>
          </w:p>
        </w:tc>
        <w:tc>
          <w:tcPr>
            <w:tcW w:w="45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4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460" w:type="dxa"/>
            <w:vAlign w:val="bottom"/>
            <w:vMerge w:val="continue"/>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(ix)</w:t>
            </w:r>
          </w:p>
        </w:tc>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5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56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hanging="644"/>
        <w:spacing w:after="0" w:line="22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Deposit Agreement, by and among PureTech Health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w:t>
      </w:r>
    </w:p>
    <w:p>
      <w:pPr>
        <w:spacing w:after="0" w:line="20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1300" w:hanging="644"/>
        <w:spacing w:after="0" w:line="188" w:lineRule="auto"/>
        <w:tabs>
          <w:tab w:leader="none" w:pos="130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Deposit Agreement, by and among PureTech Health plc,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day of November, 2020.</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 American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Shares registered hereunder are to be issued, each American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 representing the right to receive ten (10) ordinary shares of</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Leslie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Leslie DeLuca</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PureTech Health plc certifies that it has reasonable grounds to believe that all the requirements for filing on Form F-6 are met and has duly caused this Registration Statement on Form F-6 to be signed on its behalf by the undersigned thereunto duly authorized, in London, United Kingdom, on November 2, 2020.</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Daphne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Daphne Zohar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each of Daphne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Zohar and Stephen Muniz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following capacities on November 2,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60" w:type="dxa"/>
            <w:vAlign w:val="bottom"/>
          </w:tcPr>
          <w:p>
            <w:pPr>
              <w:spacing w:after="0"/>
              <w:rPr>
                <w:sz w:val="20"/>
                <w:szCs w:val="20"/>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Daphne Zohar</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Daphne Zohar</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Viehbacher</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Chairman</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Viehbacher</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395"/>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Chief Operating Officer (Principal Financial and Accounting Officer) and</w:t>
            </w:r>
          </w:p>
        </w:tc>
      </w:tr>
      <w:tr>
        <w:trPr>
          <w:trHeight w:val="23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Muniz</w:t>
            </w:r>
          </w:p>
        </w:tc>
        <w:tc>
          <w:tcPr>
            <w:tcW w:w="60" w:type="dxa"/>
            <w:vAlign w:val="bottom"/>
          </w:tcPr>
          <w:p>
            <w:pPr>
              <w:spacing w:after="0"/>
              <w:rPr>
                <w:sz w:val="20"/>
                <w:szCs w:val="20"/>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Muniz</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LaMattina</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LaMattina, Ph.D.</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Langer</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Langer, Sc.D.</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Marjorie Scardino</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Dame Marjorie Scardino</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Raju Kucherlapati</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Raju Kucherlapati, Ph.D.</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4"/>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Kiran Mazumdar-Shaw</w:t>
            </w:r>
          </w:p>
        </w:tc>
        <w:tc>
          <w:tcPr>
            <w:tcW w:w="60" w:type="dxa"/>
            <w:vAlign w:val="bottom"/>
          </w:tcPr>
          <w:p>
            <w:pPr>
              <w:spacing w:after="0"/>
              <w:rPr>
                <w:sz w:val="24"/>
                <w:szCs w:val="24"/>
                <w:color w:val="auto"/>
              </w:rPr>
            </w:pPr>
          </w:p>
        </w:tc>
        <w:tc>
          <w:tcPr>
            <w:tcW w:w="7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Kiran Mazumdar-Shaw</w:t>
            </w:r>
          </w:p>
        </w:tc>
        <w:tc>
          <w:tcPr>
            <w:tcW w:w="6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63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43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PURETECH HEALTH LLC</w:t>
            </w:r>
          </w:p>
        </w:tc>
        <w:tc>
          <w:tcPr>
            <w:tcW w:w="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43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Daphne Zohar</w:t>
            </w:r>
          </w:p>
        </w:tc>
        <w:tc>
          <w:tcPr>
            <w:tcW w:w="60" w:type="dxa"/>
            <w:vAlign w:val="bottom"/>
          </w:tcPr>
          <w:p>
            <w:pPr>
              <w:spacing w:after="0"/>
              <w:rPr>
                <w:sz w:val="24"/>
                <w:szCs w:val="24"/>
                <w:color w:val="auto"/>
              </w:rPr>
            </w:pPr>
          </w:p>
        </w:tc>
        <w:tc>
          <w:tcPr>
            <w:tcW w:w="704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Daphne Zohar</w:t>
            </w:r>
          </w:p>
        </w:tc>
        <w:tc>
          <w:tcPr>
            <w:tcW w:w="60" w:type="dxa"/>
            <w:vAlign w:val="bottom"/>
            <w:tcBorders>
              <w:top w:val="single" w:sz="8" w:color="auto"/>
            </w:tcBorders>
          </w:tcPr>
          <w:p>
            <w:pPr>
              <w:spacing w:after="0"/>
              <w:rPr>
                <w:sz w:val="16"/>
                <w:szCs w:val="16"/>
                <w:color w:val="auto"/>
              </w:rPr>
            </w:pPr>
          </w:p>
        </w:tc>
        <w:tc>
          <w:tcPr>
            <w:tcW w:w="704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60" w:type="dxa"/>
            <w:vAlign w:val="bottom"/>
          </w:tcPr>
          <w:p>
            <w:pPr>
              <w:spacing w:after="0"/>
              <w:rPr>
                <w:sz w:val="20"/>
                <w:szCs w:val="20"/>
                <w:color w:val="auto"/>
              </w:rPr>
            </w:pPr>
          </w:p>
        </w:tc>
        <w:tc>
          <w:tcPr>
            <w:tcW w:w="7040" w:type="dxa"/>
            <w:vAlign w:val="bottom"/>
          </w:tcPr>
          <w:p>
            <w:pPr>
              <w:spacing w:after="0"/>
              <w:rPr>
                <w:sz w:val="20"/>
                <w:szCs w:val="20"/>
                <w:color w:val="auto"/>
              </w:rPr>
            </w:pPr>
          </w:p>
        </w:tc>
      </w:tr>
      <w:tr>
        <w:trPr>
          <w:trHeight w:val="567"/>
        </w:trPr>
        <w:tc>
          <w:tcPr>
            <w:tcW w:w="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II-5</w:t>
            </w:r>
          </w:p>
        </w:tc>
      </w:tr>
    </w:tbl>
    <w:p>
      <w:pPr>
        <w:sectPr>
          <w:pgSz w:w="11900" w:h="16838" w:orient="portrait"/>
          <w:cols w:equalWidth="0" w:num="1">
            <w:col w:w="11240"/>
          </w:cols>
          <w:pgMar w:left="320" w:top="33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Opinion of counsel to the Depositary</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756"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321945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84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TABLE OF CONTENTS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8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“ADS Record Date”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1.4</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1.5</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1.6</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“Beneficial Owner”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1.7</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“Certificated ADS(s)”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1.8</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“Citibank”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1.9</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1.10</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“CREST”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Agreement”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“Disclosure Guidence and Transparency Rules” or “DTRs”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1.20</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1.25</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1.26</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1.27</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“Pounds”, “Pence”, and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1.28</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1.29</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1.32</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1.33</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Registrar”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1.34</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1.35</w:t>
            </w:r>
          </w:p>
        </w:tc>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“Uncertificated ADS(s)”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1.36</w:t>
            </w:r>
          </w:p>
        </w:tc>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 TRANSFER</w:t>
            </w: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SURRENDER OF RECEIPTS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Deposit of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ADSs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Lost ADRs, etc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Escheatment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Partial Entitlement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2.14</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Ownership Restrictions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9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Distributions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in Shares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4.6</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4.7</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Redemption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4.8</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4.9</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9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9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Information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List of Holders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Exoneration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of Care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Custodian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and Reports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ADS Fees and Charges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Amendment/Supplement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English Law References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Titles and References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of ADR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 Schedule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 2020, by and among (i) PURETECH HEALTH PLC, a public limited company incorporated under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 THAT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to establish with the Depositary an ADR facility to provide for the deposit of the Shares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Shares are admitted to trading on the main market of the London Stock Exchange plc, and American Depositary Shares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the terms of the Deposit Agreement are to be listed for trading on Nasdaq; and</w:t>
      </w:r>
    </w:p>
    <w:p>
      <w:pPr>
        <w:spacing w:after="0" w:line="15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(or an authorized committee thereof) has duly approved the establishment of an ADR facility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set forth in the Deposit Agreement, the execution and delivery of the Deposit Agreement on behalf of the Company, and the actions of the Company and the transactions contemplated hereby.</w:t>
      </w:r>
    </w:p>
    <w:p>
      <w:pPr>
        <w:spacing w:after="0" w:line="171"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color w:val="auto"/>
        </w:rPr>
        <w:t>” shall have the meaning given to such term in Section 4.9.</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color w:val="auto"/>
        </w:rPr>
        <w:t>” shall mean the certificate(s) issued by the Depositary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176"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color w:val="auto"/>
        </w:rPr>
        <w:t>” 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ind w:firstLine="8"/>
        <w:spacing w:after="0" w:line="251"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Articles of Association</w:t>
      </w:r>
      <w:r>
        <w:rPr>
          <w:rFonts w:ascii="Times New Roman" w:cs="Times New Roman" w:eastAsia="Times New Roman" w:hAnsi="Times New Roman"/>
          <w:sz w:val="17"/>
          <w:szCs w:val="17"/>
          <w:color w:val="auto"/>
        </w:rPr>
        <w:t>” shall mean the Articles of Association of the Company, as amended and restated from time to time.</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deriving from the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1.8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its successors.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mean PureTech Health plc, a public limited company incorporated and existing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and its successors.</w:t>
      </w:r>
    </w:p>
    <w:p>
      <w:pPr>
        <w:spacing w:after="0" w:line="15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CREST</w:t>
      </w:r>
      <w:r>
        <w:rPr>
          <w:rFonts w:ascii="Times New Roman" w:cs="Times New Roman" w:eastAsia="Times New Roman" w:hAnsi="Times New Roman"/>
          <w:sz w:val="18"/>
          <w:szCs w:val="18"/>
          <w:color w:val="auto"/>
        </w:rPr>
        <w:t>” 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CREST Limited in accordance with the Uncertificated Securities Regulations 2001 (SI 2001 No. 3755), as amended from time to time, or any successor thereto.</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Citigroup Centre, Canary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color w:val="auto"/>
        </w:rPr>
        <w:t>” 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whichever is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(i) the physical delivery of the certificate(s) representing such securities, or (ii) the book-entry transfer and recordation of such securities on the books of the Share Registrar (as hereinafter defined) or in the book-entry settlement of CREST,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color w:val="auto"/>
        </w:rPr>
        <w:t>” shall mean this Deposit Agreement and all exhibits hereto, as the same may from time to time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supplemented from time to time in accordance with the terms of the Deposit Agreement.</w:t>
      </w:r>
    </w:p>
    <w:p>
      <w:pPr>
        <w:spacing w:after="0" w:line="15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155"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Deposit Agreement and constituting Deposited Property.</w:t>
      </w:r>
    </w:p>
    <w:p>
      <w:pPr>
        <w:spacing w:after="0" w:line="15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Disclosure Guidence and Transparency Rules” or “DTRs”</w:t>
      </w:r>
      <w:r>
        <w:rPr>
          <w:rFonts w:ascii="Times New Roman" w:cs="Times New Roman" w:eastAsia="Times New Roman" w:hAnsi="Times New Roman"/>
          <w:sz w:val="18"/>
          <w:szCs w:val="18"/>
          <w:color w:val="auto"/>
        </w:rPr>
        <w:t>shall mean the Disclosure Guidence and Transparency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United Kingdom Financial Conduct Authority (or any successor), as amended, replaced and re-enacted or supplemented from time to time.</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 shall refer to the lawful currency of the United States.</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Foreign Currency</w:t>
      </w:r>
      <w:r>
        <w:rPr>
          <w:rFonts w:ascii="Times New Roman" w:cs="Times New Roman" w:eastAsia="Times New Roman" w:hAnsi="Times New Roman"/>
          <w:sz w:val="17"/>
          <w:szCs w:val="17"/>
          <w:color w:val="auto"/>
        </w:rPr>
        <w:t>” shall mean any currency other than Dollars.</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2.12.</w:t>
      </w:r>
    </w:p>
    <w:p>
      <w:pPr>
        <w:spacing w:after="0" w:line="155"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7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1.26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Pounds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u w:val="single" w:color="auto"/>
          <w:color w:val="auto"/>
        </w:rPr>
        <w:t>Pence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 shall refer to the lawful currency of England.</w:t>
      </w:r>
    </w:p>
    <w:p>
      <w:pPr>
        <w:spacing w:after="0" w:line="225"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1" w:name="page22"/>
    <w:bookmarkEnd w:id="21"/>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color w:val="auto"/>
        </w:rPr>
        <w:t>” shall mean Shares, Deposited Securities or ADSs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ADR(s)</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b w:val="1"/>
          <w:bCs w:val="1"/>
          <w:u w:val="single" w:color="auto"/>
          <w:color w:val="auto"/>
        </w:rPr>
        <w:t>Restricted ADS(s)</w:t>
      </w:r>
      <w:r>
        <w:rPr>
          <w:rFonts w:ascii="Times New Roman" w:cs="Times New Roman" w:eastAsia="Times New Roman" w:hAnsi="Times New Roman"/>
          <w:sz w:val="17"/>
          <w:szCs w:val="17"/>
          <w:b w:val="1"/>
          <w:bCs w:val="1"/>
          <w:color w:val="auto"/>
        </w:rPr>
        <w:t>” and “</w:t>
      </w:r>
      <w:r>
        <w:rPr>
          <w:rFonts w:ascii="Times New Roman" w:cs="Times New Roman" w:eastAsia="Times New Roman" w:hAnsi="Times New Roman"/>
          <w:sz w:val="17"/>
          <w:szCs w:val="17"/>
          <w:b w:val="1"/>
          <w:bCs w:val="1"/>
          <w:u w:val="single" w:color="auto"/>
          <w:color w:val="auto"/>
        </w:rPr>
        <w:t>Restricted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shall have the respective meanings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shall mean the United States Securities Act of 1933, as amended from time to time.</w:t>
      </w:r>
    </w:p>
    <w:p>
      <w:pPr>
        <w:spacing w:after="0" w:line="225"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color w:val="auto"/>
        </w:rPr>
        <w:t>” shall mean Computershare Investor Services PLC, a company registered in England and Wales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organized under the laws of England and Wales appointed by the Company from time to time to carry out the duties of registrar for the Shares, and any successor thereto.</w:t>
      </w:r>
    </w:p>
    <w:p>
      <w:pPr>
        <w:spacing w:after="0" w:line="17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shall mean the Company’s ordinary shares, with a nominal value of £0.01 per share, validly issued and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fully paid and may, if the Depositary so agrees after consultation with the Company, include evidence of the right to receive Shares;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1.35</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right="120" w:firstLine="656"/>
        <w:spacing w:after="0" w:line="253" w:lineRule="auto"/>
        <w:tabs>
          <w:tab w:leader="none" w:pos="1532"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87" w:lineRule="exact"/>
        <w:rPr>
          <w:rFonts w:ascii="Times New Roman" w:cs="Times New Roman" w:eastAsia="Times New Roman" w:hAnsi="Times New Roman"/>
          <w:sz w:val="18"/>
          <w:szCs w:val="18"/>
          <w:b w:val="1"/>
          <w:bCs w:val="1"/>
          <w:color w:val="auto"/>
        </w:rPr>
      </w:pPr>
    </w:p>
    <w:p>
      <w:pPr>
        <w:jc w:val="both"/>
        <w:ind w:right="120" w:firstLine="656"/>
        <w:spacing w:after="0" w:line="263" w:lineRule="auto"/>
        <w:tabs>
          <w:tab w:leader="none" w:pos="1497"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ind w:firstLine="8"/>
        <w:spacing w:after="0" w:line="252"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ind w:right="40" w:firstLine="656"/>
        <w:spacing w:after="0" w:line="255" w:lineRule="auto"/>
        <w:tabs>
          <w:tab w:leader="none" w:pos="152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52" w:lineRule="auto"/>
        <w:tabs>
          <w:tab w:leader="none" w:pos="149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DTC will be registered in the name of the nominee for DTC (currently “</w:t>
      </w:r>
      <w:r>
        <w:rPr>
          <w:rFonts w:ascii="Times New Roman" w:cs="Times New Roman" w:eastAsia="Times New Roman" w:hAnsi="Times New Roman"/>
          <w:sz w:val="18"/>
          <w:szCs w:val="18"/>
          <w:u w:val="single" w:color="auto"/>
          <w:color w:val="auto"/>
        </w:rPr>
        <w:t>Cede &amp; Co.</w:t>
      </w:r>
      <w:r>
        <w:rPr>
          <w:rFonts w:ascii="Times New Roman" w:cs="Times New Roman" w:eastAsia="Times New Roman" w:hAnsi="Times New Roman"/>
          <w:sz w:val="18"/>
          <w:szCs w:val="18"/>
          <w:color w:val="auto"/>
        </w:rPr>
        <w:t>”). The nominee of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 of Shares represented by certificates issued in registered form</w:t>
      </w:r>
      <w:r>
        <w:rPr>
          <w:rFonts w:ascii="Times New Roman" w:cs="Times New Roman" w:eastAsia="Times New Roman" w:hAnsi="Times New Roman"/>
          <w:sz w:val="18"/>
          <w:szCs w:val="18"/>
          <w:color w:val="auto"/>
        </w:rPr>
        <w:t>, the certificate(s) representing such Shares and, where relevant, appropriate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transfer or endorsement, in a form reasonably satisfactory to the 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 of 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 of CREST, as applicable, to the Custodian or that irrevocable instructions have been given to cause such Shares to be so issued or transferred, as applicable, and recorded, (B) 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9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or English law.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6" w:name="page27"/>
    <w:bookmarkEnd w:id="26"/>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for the Custodian to confirm to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200" w:lineRule="exact"/>
        <w:rPr>
          <w:sz w:val="20"/>
          <w:szCs w:val="20"/>
          <w:color w:val="auto"/>
        </w:rPr>
      </w:pPr>
    </w:p>
    <w:p>
      <w:pPr>
        <w:spacing w:after="0" w:line="21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and the Depositary hereby understand and agree that Restricted ADSs may be issued by the Depositary prior to the effective date of Registration Statement on Form F-6; however, freely transferable ADSs may not be issued by the Depositary until the applicable Registration Statement on Form F-6 is declared effective by the Commission.</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firstLine="656"/>
        <w:spacing w:after="0" w:line="254" w:lineRule="auto"/>
        <w:tabs>
          <w:tab w:leader="none" w:pos="1532"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ADRs (and of the ADSs represented thereby) on the books maintained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Times New Roman" w:cs="Times New Roman" w:eastAsia="Times New Roman" w:hAnsi="Times New Roman"/>
          <w:sz w:val="18"/>
          <w:szCs w:val="18"/>
          <w:b w:val="1"/>
          <w:bCs w:val="1"/>
          <w:color w:val="auto"/>
        </w:rPr>
      </w:pPr>
    </w:p>
    <w:p>
      <w:pPr>
        <w:jc w:val="both"/>
        <w:ind w:right="240" w:firstLine="8"/>
        <w:spacing w:after="0" w:line="253"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ind w:firstLine="656"/>
        <w:spacing w:after="0" w:line="255" w:lineRule="auto"/>
        <w:tabs>
          <w:tab w:leader="none" w:pos="149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186"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ADSs; Suspension of Delivery, Transfer, etc</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right="80" w:firstLine="656"/>
        <w:spacing w:after="0" w:line="254" w:lineRule="auto"/>
        <w:tabs>
          <w:tab w:leader="none" w:pos="1532"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ind w:right="160" w:firstLine="8"/>
        <w:spacing w:after="0" w:line="260"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177" w:lineRule="exact"/>
        <w:rPr>
          <w:rFonts w:ascii="Times New Roman" w:cs="Times New Roman" w:eastAsia="Times New Roman" w:hAnsi="Times New Roman"/>
          <w:sz w:val="18"/>
          <w:szCs w:val="18"/>
          <w:color w:val="auto"/>
        </w:rPr>
      </w:pPr>
    </w:p>
    <w:p>
      <w:pPr>
        <w:ind w:firstLine="656"/>
        <w:spacing w:after="0" w:line="256" w:lineRule="auto"/>
        <w:tabs>
          <w:tab w:leader="none" w:pos="149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right="20" w:firstLine="656"/>
        <w:spacing w:after="0" w:line="257" w:lineRule="auto"/>
        <w:tabs>
          <w:tab w:leader="none" w:pos="152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 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0" w:name="page31"/>
    <w:bookmarkEnd w:id="30"/>
    <w:p>
      <w:pPr>
        <w:ind w:right="20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Partial Entitlement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any Shares are deposited which (i) entitle the holders thereof to receive a per-share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7"/>
          <w:szCs w:val="17"/>
          <w:u w:val="single" w:color="auto"/>
          <w:color w:val="auto"/>
        </w:rPr>
        <w:t>Full Entitlement Shares</w:t>
      </w:r>
      <w:r>
        <w:rPr>
          <w:rFonts w:ascii="Times New Roman" w:cs="Times New Roman" w:eastAsia="Times New Roman" w:hAnsi="Times New Roman"/>
          <w:sz w:val="17"/>
          <w:szCs w:val="17"/>
          <w:color w:val="auto"/>
        </w:rPr>
        <w:t>” and the Shares with different entitlement, “</w:t>
      </w:r>
      <w:r>
        <w:rPr>
          <w:rFonts w:ascii="Times New Roman" w:cs="Times New Roman" w:eastAsia="Times New Roman" w:hAnsi="Times New Roman"/>
          <w:sz w:val="17"/>
          <w:szCs w:val="17"/>
          <w:u w:val="single" w:color="auto"/>
          <w:color w:val="auto"/>
        </w:rPr>
        <w:t>Partial Entitlement Shares</w:t>
      </w:r>
      <w:r>
        <w:rPr>
          <w:rFonts w:ascii="Times New Roman" w:cs="Times New Roman" w:eastAsia="Times New Roman" w:hAnsi="Times New Roman"/>
          <w:sz w:val="17"/>
          <w:szCs w:val="17"/>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7"/>
          <w:szCs w:val="17"/>
          <w:u w:val="single" w:color="auto"/>
          <w:color w:val="auto"/>
        </w:rPr>
        <w:t>Partial Entitlement ADSs/ADRs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Full Entitlement ADSs/ADRs</w:t>
      </w:r>
      <w:r>
        <w:rPr>
          <w:rFonts w:ascii="Times New Roman" w:cs="Times New Roman" w:eastAsia="Times New Roman" w:hAnsi="Times New Roman"/>
          <w:sz w:val="17"/>
          <w:szCs w:val="17"/>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2" w:lineRule="exact"/>
        <w:rPr>
          <w:sz w:val="20"/>
          <w:szCs w:val="20"/>
          <w:color w:val="auto"/>
        </w:rPr>
      </w:pPr>
    </w:p>
    <w:p>
      <w:pPr>
        <w:ind w:firstLine="8"/>
        <w:spacing w:after="0" w:line="25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89"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1" w:name="page32"/>
    <w:bookmarkEnd w:id="31"/>
    <w:p>
      <w:pPr>
        <w:ind w:right="140"/>
        <w:spacing w:after="0" w:line="267" w:lineRule="auto"/>
        <w:rPr>
          <w:sz w:val="20"/>
          <w:szCs w:val="20"/>
          <w:color w:val="auto"/>
        </w:rPr>
      </w:pPr>
      <w:r>
        <w:rPr>
          <w:rFonts w:ascii="Times New Roman" w:cs="Times New Roman" w:eastAsia="Times New Roman" w:hAnsi="Times New Roman"/>
          <w:sz w:val="17"/>
          <w:szCs w:val="17"/>
          <w:color w:val="auto"/>
        </w:rPr>
        <w:t>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the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2" w:lineRule="exact"/>
        <w:rPr>
          <w:sz w:val="20"/>
          <w:szCs w:val="20"/>
          <w:color w:val="auto"/>
        </w:rPr>
      </w:pPr>
    </w:p>
    <w:p>
      <w:pPr>
        <w:ind w:firstLine="8"/>
        <w:spacing w:after="0" w:line="250"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5" w:name="page36"/>
    <w:bookmarkEnd w:id="35"/>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the Deposit Agreement or any ADR,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shall be interpreted as obligating the Depositary or the Company to ensure compliance with the ownership restrictions described in this Section 3.5.</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Times New Roman" w:cs="Times New Roman" w:eastAsia="Times New Roman" w:hAnsi="Times New Roman"/>
          <w:sz w:val="18"/>
          <w:szCs w:val="18"/>
          <w:u w:val="single" w:color="auto"/>
          <w:color w:val="auto"/>
        </w:rPr>
        <w:t>Disclosure Notice</w:t>
      </w:r>
      <w:r>
        <w:rPr>
          <w:rFonts w:ascii="Times New Roman" w:cs="Times New Roman" w:eastAsia="Times New Roman" w:hAnsi="Times New Roman"/>
          <w:sz w:val="18"/>
          <w:szCs w:val="18"/>
          <w:color w:val="auto"/>
        </w:rPr>
        <w:t>”) given pursuant to the U.K. Companies Act 2006 (as amended from time to time and including any statutory modification or re-enactment thereof,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xml:space="preserve">”)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 In addition, by accepting or holding an ADR, each Holder and Beneficial Owner agrees to comply with the provisions of the DTRs, which as of the date of this Deposit Agreement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9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record date applicable for determining the holders of Deposited Securities entitled to receive such distribution. Upon the timely receipt of such notice, the Depositary shall establish an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any amounts are received in a Foreign Currency,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right="20"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of, Shares,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after consultation with the Company to the extent reasonably practicable,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00" w:lineRule="exact"/>
        <w:rPr>
          <w:sz w:val="20"/>
          <w:szCs w:val="20"/>
          <w:color w:val="auto"/>
        </w:rPr>
      </w:pPr>
    </w:p>
    <w:p>
      <w:pPr>
        <w:spacing w:after="0" w:line="22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forty-five (45)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56"/>
        <w:spacing w:after="0" w:line="252" w:lineRule="auto"/>
        <w:tabs>
          <w:tab w:leader="none" w:pos="1532"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subscribe for additional Shares, the Company shall give notice thereof to the Depositary at least forty-five (45)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w:t>
      </w:r>
    </w:p>
    <w:p>
      <w:pPr>
        <w:spacing w:after="0" w:line="6" w:lineRule="exact"/>
        <w:rPr>
          <w:rFonts w:ascii="Times New Roman" w:cs="Times New Roman" w:eastAsia="Times New Roman" w:hAnsi="Times New Roman"/>
          <w:sz w:val="18"/>
          <w:szCs w:val="18"/>
          <w:b w:val="1"/>
          <w:bCs w:val="1"/>
          <w:color w:val="auto"/>
        </w:rPr>
      </w:pPr>
    </w:p>
    <w:p>
      <w:pPr>
        <w:ind w:right="160" w:firstLine="8"/>
        <w:spacing w:after="0" w:line="25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ind w:right="40" w:firstLine="656"/>
        <w:spacing w:after="0" w:line="256" w:lineRule="auto"/>
        <w:tabs>
          <w:tab w:leader="none" w:pos="149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right="120" w:firstLine="656"/>
        <w:spacing w:after="0" w:line="286" w:lineRule="auto"/>
        <w:tabs>
          <w:tab w:leader="none" w:pos="152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 for the sale of the rights upon the terms described in Section 4.4(b), the Depositary shall allow such rights to lapse.</w:t>
      </w:r>
    </w:p>
    <w:p>
      <w:pPr>
        <w:spacing w:after="0" w:line="15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41" w:name="page42"/>
    <w:bookmarkEnd w:id="41"/>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656"/>
        <w:spacing w:after="0" w:line="255" w:lineRule="auto"/>
        <w:tabs>
          <w:tab w:leader="none" w:pos="153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ind w:right="140" w:firstLine="656"/>
        <w:spacing w:after="0" w:line="255" w:lineRule="auto"/>
        <w:tabs>
          <w:tab w:leader="none" w:pos="1497"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ind w:firstLine="656"/>
        <w:spacing w:after="0" w:line="270" w:lineRule="auto"/>
        <w:tabs>
          <w:tab w:leader="none" w:pos="1522" w:val="left"/>
        </w:tabs>
        <w:numPr>
          <w:ilvl w:val="1"/>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7"/>
          <w:szCs w:val="17"/>
          <w:b w:val="1"/>
          <w:bCs w:val="1"/>
          <w:color w:val="auto"/>
        </w:rPr>
      </w:pPr>
    </w:p>
    <w:p>
      <w:pPr>
        <w:ind w:right="320" w:firstLine="8"/>
        <w:spacing w:after="0" w:line="255"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9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forty-five (45)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3" w:name="page44"/>
    <w:bookmarkEnd w:id="43"/>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7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44" w:name="page45"/>
    <w:bookmarkEnd w:id="44"/>
    <w:p>
      <w:pPr>
        <w:ind w:right="4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(or such lesser number of days as mutually agreed by the Company and the Depositary) prior to the date of such vote or meeting), at the Company’s expense and provided no U.S. legal prohibitions exist,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any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the Articles of Association (as in effect on the date hereof), voting at any meeting of shareholders of the Company is by show of hands unless (before or immediately following the declaration of the result of the show of hands)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not less than five shareholders present in person or by proxy and entitled to vote on the resolution; (iii) by any shareholder or shareholders of the Company present in person (or by proxy), representing in aggregate not less than 10 per cent of the total voting rights of all the shareholders having the right to vote on the resolution (excluding any voting rights attached to any shares held as treasury shares); or (iv) by any shareholder or shareholders of the Company present in person (or by proxy), in each case, holding shares conferring a right to vote on the resolution, being shares on which an aggregate sum has been paid up equal to not less than 10 per cent of the total sum paid up on all the shares conferring that right (excluding shares held as treasury shares).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ind w:right="280" w:firstLine="8"/>
        <w:spacing w:after="0" w:line="252" w:lineRule="auto"/>
        <w:tabs>
          <w:tab w:leader="none" w:pos="2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(unless otherwise specified in the notice)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4.11 </w:t>
      </w: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spacing w:after="0" w:line="8" w:lineRule="exact"/>
        <w:rPr>
          <w:sz w:val="20"/>
          <w:szCs w:val="20"/>
          <w:color w:val="auto"/>
        </w:rPr>
      </w:pPr>
    </w:p>
    <w:p>
      <w:pPr>
        <w:ind w:firstLine="8"/>
        <w:spacing w:after="0" w:line="251"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as promptly as practicable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9"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48" w:name="page49"/>
    <w:bookmarkEnd w:id="48"/>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for that Holder or Beneficial Owner which is required to be paid to such governmental authority.</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use its commercially reasonable efforts to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9" w:name="page50"/>
    <w:bookmarkEnd w:id="49"/>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such information to the Depositary for distribution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172"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1" w:name="page52"/>
    <w:bookmarkEnd w:id="51"/>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20" w:hanging="212"/>
        <w:spacing w:after="0"/>
        <w:tabs>
          <w:tab w:leader="none" w:pos="2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2" w:name="page53"/>
    <w:bookmarkEnd w:id="52"/>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and the Depositary shall promptly give notice thereof to the Company. Notwithstanding anything contained in the Deposit Agreement or any ADR, the Depositary shall not be obligated to give notice to any Holders of ADSs or any other Custodian of its acting as Custodian pursuant to the Deposit Agreement.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to the extent such amendment or change is not available on the Company’s website or is not otherwise publicly available. The Depositary may rely upon such copy for all purposes of the Deposit Agreement.</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ind w:firstLine="8"/>
        <w:spacing w:after="0" w:line="251"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it is not unlawful for the Company to indemnify such person at such time under applicable English law,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fraud, negligence or bad faith of any of them, or (ii) by the Company or any of its directors, officers, employees, agents and Affiliates; provided. However, that the Company shall not be liable for any fees, charges or expenses payable by third party Holders or Beneficial Owners under this Deposit Agreement. The Company shall not indemnify the Depositary or the Custodian (for so long as the Custodian is a branch of Citibank, N.A.) against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Deposited Securities in connection with the issuance and cancellation of ADSs, and persons receiving ADSs upon issuance or for whom ADSs are being cancelled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whose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6" w:name="page57"/>
    <w:bookmarkEnd w:id="56"/>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upon the resignation or removal of such Depositary as described in Section 5.4, the right to collect ADS fees and charges shall extend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fees and charges incurred prior to the effectiveness of such resignation or removal.</w:t>
      </w:r>
    </w:p>
    <w:p>
      <w:pPr>
        <w:spacing w:after="0" w:line="20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ind w:firstLine="8"/>
        <w:spacing w:after="0" w:line="252" w:lineRule="auto"/>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bookmarkStart w:id="58" w:name="page59"/>
    <w:bookmarkEnd w:id="5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9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0" w:name="page61"/>
    <w:bookmarkEnd w:id="60"/>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mail, air courier or cable, telex or facsimile transmission, confirmed by letter personally delivered or sent by mail or air courier, addressed to PureTech</w:t>
      </w:r>
    </w:p>
    <w:p>
      <w:pPr>
        <w:spacing w:after="0" w:line="1" w:lineRule="exact"/>
        <w:rPr>
          <w:sz w:val="20"/>
          <w:szCs w:val="20"/>
          <w:color w:val="auto"/>
        </w:rPr>
      </w:pPr>
    </w:p>
    <w:p>
      <w:pPr>
        <w:ind w:right="440"/>
        <w:spacing w:after="0" w:line="209" w:lineRule="auto"/>
        <w:rPr>
          <w:sz w:val="20"/>
          <w:szCs w:val="20"/>
          <w:color w:val="auto"/>
        </w:rPr>
      </w:pPr>
      <w:r>
        <w:rPr>
          <w:rFonts w:ascii="Times New Roman" w:cs="Times New Roman" w:eastAsia="Times New Roman" w:hAnsi="Times New Roman"/>
          <w:sz w:val="18"/>
          <w:szCs w:val="18"/>
          <w:color w:val="auto"/>
        </w:rPr>
        <w:t>Health plc, 20 Farringdon Street,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London EC4A 4AB, United Kingdom,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Stephen Muniz, Chief Operating Officer, with a copy to PureTech Health plc, Labs and Corporate Offices</w:t>
      </w:r>
    </w:p>
    <w:p>
      <w:pPr>
        <w:spacing w:after="0" w:line="2"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 xml:space="preserve">6 Tide Street, Suite 400, Boston, MA 02210,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Stephen Muniz, Chief Operating Officer or to any other address which the Company may specify in writing to the Depositary.</w:t>
      </w:r>
    </w:p>
    <w:p>
      <w:pPr>
        <w:spacing w:after="0" w:line="18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Any and all notices to be given to any Holder shall be deemed to have been duly given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92"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1" w:name="page62"/>
    <w:bookmarkEnd w:id="61"/>
    <w:p>
      <w:pPr>
        <w:ind w:right="6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PureTech Health LLC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6 Tide Street, Suite 400, Boston, MA 02210,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79"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right="340" w:firstLine="656"/>
        <w:spacing w:after="0" w:line="266" w:lineRule="auto"/>
        <w:tabs>
          <w:tab w:leader="none" w:pos="148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b w:val="1"/>
          <w:bCs w:val="1"/>
          <w:color w:val="auto"/>
        </w:rPr>
      </w:pPr>
    </w:p>
    <w:p>
      <w:pPr>
        <w:ind w:right="40" w:firstLine="656"/>
        <w:spacing w:after="0" w:line="266" w:lineRule="auto"/>
        <w:tabs>
          <w:tab w:leader="none" w:pos="149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English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English laws and regulations and of the terms of the Company’s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right="40" w:firstLine="656"/>
        <w:spacing w:after="0" w:line="254" w:lineRule="auto"/>
        <w:tabs>
          <w:tab w:leader="none" w:pos="148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49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PURETECH HEALTH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765"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 _______</w:t>
      </w:r>
    </w:p>
    <w:p>
      <w:pPr>
        <w:spacing w:after="0" w:line="27" w:lineRule="exact"/>
        <w:rPr>
          <w:sz w:val="20"/>
          <w:szCs w:val="20"/>
          <w:color w:val="auto"/>
        </w:rPr>
      </w:pPr>
    </w:p>
    <w:p>
      <w:pPr>
        <w:sectPr>
          <w:pgSz w:w="11900" w:h="16838" w:orient="portrait"/>
          <w:cols w:equalWidth="0" w:num="2">
            <w:col w:w="8420" w:space="720"/>
            <w:col w:w="210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American Depositary Shares (each American</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Depositary Share representing the right to receive ten</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(10) fully paid 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ind w:right="560" w:firstLine="648"/>
        <w:spacing w:after="0" w:line="276" w:lineRule="auto"/>
        <w:rPr>
          <w:sz w:val="20"/>
          <w:szCs w:val="20"/>
          <w:color w:val="auto"/>
        </w:rPr>
      </w:pPr>
      <w:r>
        <w:rPr>
          <w:rFonts w:ascii="Times New Roman" w:cs="Times New Roman" w:eastAsia="Times New Roman" w:hAnsi="Times New Roman"/>
          <w:sz w:val="17"/>
          <w:szCs w:val="17"/>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deposited ordinary shares, including evidence of rights to receive such ordinary shares (the “Shares”), of PureTech Health plc, a public limited company incorporated under the laws of England and Wales (the “Company”). As of the date of issuance of this ADR, each ADS represents the right to receive ten</w:t>
      </w:r>
    </w:p>
    <w:p>
      <w:pPr>
        <w:ind w:right="20" w:firstLine="8"/>
        <w:spacing w:after="0" w:line="255" w:lineRule="auto"/>
        <w:tabs>
          <w:tab w:leader="none" w:pos="3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6" w:name="page67"/>
    <w:bookmarkEnd w:id="66"/>
    <w:p>
      <w:pPr>
        <w:ind w:firstLine="656"/>
        <w:spacing w:after="0" w:line="253" w:lineRule="auto"/>
        <w:tabs>
          <w:tab w:leader="none" w:pos="153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be issued upon the terms and conditions set forth in the Deposit Agreement, dated as of [●], 2020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ind w:firstLine="656"/>
        <w:spacing w:after="0" w:line="253" w:lineRule="auto"/>
        <w:tabs>
          <w:tab w:leader="none" w:pos="15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7" w:name="page68"/>
    <w:bookmarkEnd w:id="67"/>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as a result of such sale) to the person surrendering the ADSs.</w:t>
      </w:r>
    </w:p>
    <w:p>
      <w:pPr>
        <w:spacing w:after="0" w:line="18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ind w:firstLine="656"/>
        <w:spacing w:after="0" w:line="254" w:lineRule="auto"/>
        <w:tabs>
          <w:tab w:leader="none" w:pos="15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ind w:right="280" w:firstLine="8"/>
        <w:spacing w:after="0" w:line="255" w:lineRule="auto"/>
        <w:tabs>
          <w:tab w:leader="none" w:pos="2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ind w:right="20" w:firstLine="656"/>
        <w:spacing w:after="0" w:line="254" w:lineRule="auto"/>
        <w:tabs>
          <w:tab w:leader="none" w:pos="1532"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9" w:name="page70"/>
    <w:bookmarkEnd w:id="69"/>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firstLine="656"/>
        <w:spacing w:after="0" w:line="255" w:lineRule="auto"/>
        <w:tabs>
          <w:tab w:leader="none" w:pos="1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ind w:right="20" w:firstLine="656"/>
        <w:spacing w:after="0" w:line="254" w:lineRule="auto"/>
        <w:tabs>
          <w:tab w:leader="none" w:pos="1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(if required)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0" w:name="page71"/>
    <w:bookmarkEnd w:id="70"/>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Deposit Agreement or of the ADRs and without limiting the foregoing, by being a Holder or Beneficial Owner of an ADS, each such Holder and Beneficial Owner agrees to provide such information as the Company may request in a disclosure notice (a “</w:t>
      </w:r>
      <w:r>
        <w:rPr>
          <w:rFonts w:ascii="Times New Roman" w:cs="Times New Roman" w:eastAsia="Times New Roman" w:hAnsi="Times New Roman"/>
          <w:sz w:val="18"/>
          <w:szCs w:val="18"/>
          <w:u w:val="single" w:color="auto"/>
          <w:color w:val="auto"/>
        </w:rPr>
        <w:t>Disclosure Notice</w:t>
      </w:r>
      <w:r>
        <w:rPr>
          <w:rFonts w:ascii="Times New Roman" w:cs="Times New Roman" w:eastAsia="Times New Roman" w:hAnsi="Times New Roman"/>
          <w:sz w:val="18"/>
          <w:szCs w:val="18"/>
          <w:color w:val="auto"/>
        </w:rPr>
        <w:t>”) given pursuant to the U.K. Companies Act 2006 (as amended from time to time and including any statutory modification or re-enactment thereof,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 or the Articles of Association of the Company. By accepting or holding an ADS, each Holder and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the imposition of restrictions on the rights to receive dividends on and to transfer such Shares.</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addition, by accepting or holding an ADR, each Holder and Beneficial Owner agrees to comply with the provisions of the DTRs, which as of the date of this Deposit Agreement provide,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a person must notify the Company of the percentage of its voting rights which such person holds as a shareholder or is deemed to hold through such person’s direct or indirect holding of certain financial instruments (as defined in the DTRs) (or a combination of such holdings) if the percentage of such voting rights (i) reaches, exceeds or falls below 3% and each 1% threshold thereafter up to 100% as a result of an acquisition or disposal of Shares or certain financial instruments, or (ii) reaches, exceeds or falls below such applicable thresholds as a result of events changing the breakdown of voting rights and on the basis of information disclosed by the Company in accordance with the DTRs. Such notification must be effected as soon as possible, but not later than two trading days after the date on which the Holder or Beneficial Owner (as the case may be) (a) learns of the acquisition or disposal or of the possibility of exercising voting rights, or on which, having regard to the circumstances, should have learned of it, regardless of the date on which the acquisition, disposal or possibility of exercising voting rights takes effect, or (b) is informed of the event mentioned in (ii) above.</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79" w:lineRule="exact"/>
        <w:rPr>
          <w:sz w:val="20"/>
          <w:szCs w:val="20"/>
          <w:color w:val="auto"/>
        </w:rPr>
      </w:pPr>
    </w:p>
    <w:p>
      <w:pPr>
        <w:ind w:right="20" w:firstLine="656"/>
        <w:spacing w:after="0" w:line="256" w:lineRule="auto"/>
        <w:tabs>
          <w:tab w:leader="none" w:pos="153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ind w:firstLine="656"/>
        <w:spacing w:after="0" w:line="253"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transactions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and (vii) the deposit of the Shares does not violate any applicable provisions of English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2" w:name="page73"/>
    <w:bookmarkEnd w:id="72"/>
    <w:p>
      <w:pPr>
        <w:ind w:firstLine="656"/>
        <w:spacing w:after="0" w:line="252" w:lineRule="auto"/>
        <w:tabs>
          <w:tab w:leader="none" w:pos="144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and subject to applicable law, withhold the execution or delivery or registration of transfer of any ADR or ADS or the distribution or sale of any dividend or distribution of rights or of the proceeds thereof or, to the extent not limited by paragraph (25) and Section 7.8 (a)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90" w:lineRule="exact"/>
        <w:rPr>
          <w:rFonts w:ascii="Times New Roman" w:cs="Times New Roman" w:eastAsia="Times New Roman" w:hAnsi="Times New Roman"/>
          <w:sz w:val="18"/>
          <w:szCs w:val="18"/>
          <w:b w:val="1"/>
          <w:bCs w:val="1"/>
          <w:color w:val="auto"/>
        </w:rPr>
      </w:pPr>
    </w:p>
    <w:p>
      <w:pPr>
        <w:ind w:left="1440" w:hanging="784"/>
        <w:spacing w:after="0"/>
        <w:tabs>
          <w:tab w:leader="none" w:pos="14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ind w:left="1960" w:right="160" w:hanging="656"/>
        <w:spacing w:after="0" w:line="290" w:lineRule="auto"/>
        <w:tabs>
          <w:tab w:leader="none" w:pos="1960" w:val="left"/>
        </w:tabs>
        <w:numPr>
          <w:ilvl w:val="1"/>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ADS Issuance Fee</w:t>
      </w:r>
      <w:r>
        <w:rPr>
          <w:rFonts w:ascii="Times New Roman" w:cs="Times New Roman" w:eastAsia="Times New Roman" w:hAnsi="Times New Roman"/>
          <w:sz w:val="17"/>
          <w:szCs w:val="17"/>
          <w:color w:val="auto"/>
        </w:rPr>
        <w:t>: by any person for whom ADSs are issued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55" w:lineRule="exact"/>
        <w:rPr>
          <w:rFonts w:ascii="Times New Roman" w:cs="Times New Roman" w:eastAsia="Times New Roman" w:hAnsi="Times New Roman"/>
          <w:sz w:val="17"/>
          <w:szCs w:val="17"/>
          <w:b w:val="1"/>
          <w:bCs w:val="1"/>
          <w:color w:val="auto"/>
        </w:rPr>
      </w:pPr>
    </w:p>
    <w:p>
      <w:pPr>
        <w:ind w:left="1960" w:right="140" w:hanging="656"/>
        <w:spacing w:after="0" w:line="267" w:lineRule="auto"/>
        <w:tabs>
          <w:tab w:leader="none" w:pos="196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b w:val="1"/>
          <w:bCs w:val="1"/>
          <w:color w:val="auto"/>
        </w:rPr>
      </w:pPr>
    </w:p>
    <w:p>
      <w:pPr>
        <w:ind w:left="1960" w:right="60" w:hanging="656"/>
        <w:spacing w:after="0" w:line="282" w:lineRule="auto"/>
        <w:tabs>
          <w:tab w:leader="none" w:pos="196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73" w:name="page74"/>
    <w:bookmarkEnd w:id="73"/>
    <w:p>
      <w:pPr>
        <w:jc w:val="both"/>
        <w:ind w:left="1960" w:right="160" w:hanging="656"/>
        <w:spacing w:after="0" w:line="266"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b w:val="1"/>
          <w:bCs w:val="1"/>
          <w:color w:val="auto"/>
        </w:rPr>
      </w:pPr>
    </w:p>
    <w:p>
      <w:pPr>
        <w:ind w:left="1960" w:right="160" w:hanging="656"/>
        <w:spacing w:after="0" w:line="282"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b w:val="1"/>
          <w:bCs w:val="1"/>
          <w:color w:val="auto"/>
        </w:rPr>
      </w:pPr>
    </w:p>
    <w:p>
      <w:pPr>
        <w:ind w:left="1960" w:right="60" w:hanging="656"/>
        <w:spacing w:after="0" w:line="282"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66"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 and</w:t>
      </w:r>
    </w:p>
    <w:p>
      <w:pPr>
        <w:spacing w:after="0" w:line="175" w:lineRule="exact"/>
        <w:rPr>
          <w:rFonts w:ascii="Times New Roman" w:cs="Times New Roman" w:eastAsia="Times New Roman" w:hAnsi="Times New Roman"/>
          <w:sz w:val="18"/>
          <w:szCs w:val="18"/>
          <w:b w:val="1"/>
          <w:bCs w:val="1"/>
          <w:color w:val="auto"/>
        </w:rPr>
      </w:pPr>
    </w:p>
    <w:p>
      <w:pPr>
        <w:ind w:left="1960" w:right="40" w:hanging="656"/>
        <w:spacing w:after="0" w:line="261"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960" w:right="30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960" w:right="14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ind w:left="1960" w:right="24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4" w:name="page75"/>
    <w:bookmarkEnd w:id="74"/>
    <w:p>
      <w:pPr>
        <w:ind w:left="1960" w:right="74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960" w:right="30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5" w:name="page76"/>
    <w:bookmarkEnd w:id="75"/>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40" w:firstLine="656"/>
        <w:spacing w:after="0" w:line="254" w:lineRule="auto"/>
        <w:tabs>
          <w:tab w:leader="none" w:pos="144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ind w:right="60" w:firstLine="656"/>
        <w:spacing w:after="0" w:line="256" w:lineRule="auto"/>
        <w:tabs>
          <w:tab w:leader="none" w:pos="144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right="20" w:firstLine="656"/>
        <w:spacing w:after="0" w:line="255" w:lineRule="auto"/>
        <w:tabs>
          <w:tab w:leader="none" w:pos="144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and can be inspected and copied at the public reference facilities maintained by the Commission located (as of the date of the Deposit Agreement) at 100 F Street, N.E., Washington D.C. 20549. The Depositary shall make available for inspection by Holders at its Principal Office, as promptly as practicable after receipt thereof,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(a)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140"/>
          </w:cols>
          <w:pgMar w:left="320" w:top="769"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520"/>
          </w:cols>
          <w:pgMar w:left="320" w:top="769"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520"/>
          </w:cols>
          <w:pgMar w:left="320" w:top="769" w:right="4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left="1460" w:hanging="804"/>
        <w:spacing w:after="0"/>
        <w:tabs>
          <w:tab w:leader="none" w:pos="14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656"/>
        <w:spacing w:after="0" w:line="252" w:lineRule="auto"/>
        <w:tabs>
          <w:tab w:leader="none" w:pos="89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of a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 or other cash distribution,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8" w:name="page79"/>
    <w:bookmarkEnd w:id="78"/>
    <w:p>
      <w:pPr>
        <w:ind w:firstLine="656"/>
        <w:spacing w:after="0" w:line="254" w:lineRule="auto"/>
        <w:tabs>
          <w:tab w:leader="none" w:pos="9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after consultation with the Company to the extent reasonably practicable,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w:t>
      </w:r>
    </w:p>
    <w:p>
      <w:pPr>
        <w:spacing w:after="0" w:line="5" w:lineRule="exact"/>
        <w:rPr>
          <w:sz w:val="20"/>
          <w:szCs w:val="20"/>
          <w:color w:val="auto"/>
        </w:rPr>
      </w:pPr>
    </w:p>
    <w:p>
      <w:pPr>
        <w:ind w:right="60" w:firstLine="8"/>
        <w:spacing w:after="0" w:line="252"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required to be withheld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ind w:right="20" w:firstLine="656"/>
        <w:spacing w:after="0" w:line="252" w:lineRule="auto"/>
        <w:tabs>
          <w:tab w:leader="none" w:pos="8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Section 4.9 of the Deposit Agreement and establish procedures to enable the Holder hereof to elect the receipt of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6" w:lineRule="exact"/>
        <w:rPr>
          <w:rFonts w:ascii="Times New Roman" w:cs="Times New Roman" w:eastAsia="Times New Roman" w:hAnsi="Times New Roman"/>
          <w:sz w:val="18"/>
          <w:szCs w:val="18"/>
          <w:color w:val="auto"/>
        </w:rPr>
      </w:pPr>
    </w:p>
    <w:p>
      <w:pPr>
        <w:ind w:firstLine="656"/>
        <w:spacing w:after="0" w:line="252" w:lineRule="auto"/>
        <w:tabs>
          <w:tab w:leader="none" w:pos="90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proceed with the sale of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reasonably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1" w:name="page82"/>
    <w:bookmarkEnd w:id="81"/>
    <w:p>
      <w:pPr>
        <w:ind w:firstLine="656"/>
        <w:spacing w:after="0" w:line="254" w:lineRule="auto"/>
        <w:tabs>
          <w:tab w:leader="none" w:pos="8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 w:firstLine="656"/>
        <w:spacing w:after="0" w:line="252" w:lineRule="auto"/>
        <w:tabs>
          <w:tab w:leader="none" w:pos="144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after consultation between the Depositary and the Custodian,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ind w:firstLine="656"/>
        <w:spacing w:after="0" w:line="253" w:lineRule="auto"/>
        <w:tabs>
          <w:tab w:leader="none" w:pos="1442"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after consultation with the Company to the extent reasonably practicable,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ind w:right="60" w:firstLine="656"/>
        <w:spacing w:after="0" w:line="269" w:lineRule="auto"/>
        <w:tabs>
          <w:tab w:leader="none" w:pos="1442" w:val="left"/>
        </w:tabs>
        <w:numPr>
          <w:ilvl w:val="1"/>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Voting of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soon as practicable after receipt of notice of any meeting at which the holders of Deposited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as soon as practicable after receipt thereof to Holders as of the ADS Record Date: (a) such notice of meeting or solicitation of consent or proxy,</w:t>
      </w:r>
    </w:p>
    <w:p>
      <w:pPr>
        <w:spacing w:after="0" w:line="3" w:lineRule="exact"/>
        <w:rPr>
          <w:rFonts w:ascii="Times New Roman" w:cs="Times New Roman" w:eastAsia="Times New Roman" w:hAnsi="Times New Roman"/>
          <w:sz w:val="17"/>
          <w:szCs w:val="17"/>
          <w:b w:val="1"/>
          <w:bCs w:val="1"/>
          <w:color w:val="auto"/>
        </w:rPr>
      </w:pPr>
    </w:p>
    <w:p>
      <w:pPr>
        <w:ind w:right="20" w:firstLine="8"/>
        <w:spacing w:after="0" w:line="252"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(such timing to be determined after consultation with the Company)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with the Company’s prior written consent, the Depositary may, to the extent not prohibited by law or regulations, or by the requirements of the stock exchange on which the ADSs may be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Depositary has been advised by the Company that the Articles of Association (as in effect on the date hereof), provide that voting at any meeting of shareholders is by show of hands unless a poll is demanded or the Company elects to proceed with the voting by a poll. The Depositary will not join in demanding a poll, whether or not requested to do so by Holders of ADSs. Under the Articles of Association (as in effect on the date hereof) a poll may be demanded by (i) the chairman of the meeting; (ii) by at least two members of the Company present in person (or by proxy), in each case, for the time being entitled to vote at the meeting; (iii) by any member or members of the Company present in person (or by proxy), in each case, for the time being entitled to vote at the meeting representing at least one-tenth of the total voting rights of all the members having the right to vote at the meeting; or (iv) by any member or members of the Company present in person (or by proxy), in each case, holding shares conferring a right to vote at the meeting, being shares on which an aggregate sum has been paid up equal to at least one-tenth of the total sum paid up on all the shares conferring that right.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any applicable law, the provisions of the Deposit Agreement, the Articles of Association of the Company and the provisions of the Deposited Securities, to vote, or cause the Custodian to vote, the Deposited Securities (in person or by proxy) represented by such Holder’s ADSs as follows: (i) in the event voting takes place at a shareholders’ meeting by a show of hands, the Depositary will instruct the Custodian to vote all Deposited Securities in accordance with the voting instructions received from a majority of Holders of ADSs who provided voting instructions, and</w:t>
      </w:r>
    </w:p>
    <w:p>
      <w:pPr>
        <w:spacing w:after="0" w:line="5" w:lineRule="exact"/>
        <w:rPr>
          <w:sz w:val="20"/>
          <w:szCs w:val="20"/>
          <w:color w:val="auto"/>
        </w:rPr>
      </w:pPr>
    </w:p>
    <w:p>
      <w:pPr>
        <w:ind w:firstLine="8"/>
        <w:spacing w:after="0" w:line="252" w:lineRule="auto"/>
        <w:tabs>
          <w:tab w:leader="none" w:pos="2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voting takes place at a shareholders’ meeting by poll, the Depositary will instruct the Custodian to vote the Deposited Securities in accordance with the voting instructions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4" w:name="page85"/>
    <w:bookmarkEnd w:id="84"/>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reasonably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5" w:name="page86"/>
    <w:bookmarkEnd w:id="85"/>
    <w:p>
      <w:pPr>
        <w:ind w:right="40" w:firstLine="656"/>
        <w:spacing w:after="0" w:line="267" w:lineRule="auto"/>
        <w:tabs>
          <w:tab w:leader="none" w:pos="1442" w:val="left"/>
        </w:tabs>
        <w:numPr>
          <w:ilvl w:val="1"/>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w:t>
      </w:r>
    </w:p>
    <w:p>
      <w:pPr>
        <w:spacing w:after="0" w:line="7" w:lineRule="exact"/>
        <w:rPr>
          <w:rFonts w:ascii="Times New Roman" w:cs="Times New Roman" w:eastAsia="Times New Roman" w:hAnsi="Times New Roman"/>
          <w:sz w:val="17"/>
          <w:szCs w:val="17"/>
          <w:b w:val="1"/>
          <w:bCs w:val="1"/>
          <w:color w:val="auto"/>
        </w:rPr>
      </w:pPr>
    </w:p>
    <w:p>
      <w:pPr>
        <w:ind w:firstLine="8"/>
        <w:spacing w:after="0" w:line="251"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7" w:lineRule="exact"/>
        <w:rPr>
          <w:rFonts w:ascii="Times New Roman" w:cs="Times New Roman" w:eastAsia="Times New Roman" w:hAnsi="Times New Roman"/>
          <w:sz w:val="18"/>
          <w:szCs w:val="18"/>
          <w:color w:val="auto"/>
        </w:rPr>
      </w:pPr>
    </w:p>
    <w:p>
      <w:pPr>
        <w:ind w:right="20" w:firstLine="656"/>
        <w:spacing w:after="0" w:line="252" w:lineRule="auto"/>
        <w:tabs>
          <w:tab w:leader="none" w:pos="1442"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which is inconsistent with the provisions of the Deposit Agreement or incur any liability (to the extent not limited by paragraph (25) hereof and Section 7.8 (b)) (i)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reasonably believed by it to be genuine and to have been signed or presented by the proper party or parties.</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ind w:firstLine="656"/>
        <w:spacing w:after="0" w:line="255" w:lineRule="auto"/>
        <w:tabs>
          <w:tab w:leader="none" w:pos="144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7" w:name="page88"/>
    <w:bookmarkEnd w:id="87"/>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 for the Company.</w:t>
      </w:r>
    </w:p>
    <w:p>
      <w:pPr>
        <w:spacing w:after="0" w:line="176" w:lineRule="exact"/>
        <w:rPr>
          <w:sz w:val="20"/>
          <w:szCs w:val="20"/>
          <w:color w:val="auto"/>
        </w:rPr>
      </w:pPr>
    </w:p>
    <w:p>
      <w:pPr>
        <w:ind w:firstLine="656"/>
        <w:spacing w:after="0" w:line="268" w:lineRule="auto"/>
        <w:tabs>
          <w:tab w:leader="none" w:pos="1442"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Resignation and Removal of the Depositary; Appointment of Successor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Depositary may at any time resign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8" w:name="page89"/>
    <w:bookmarkEnd w:id="88"/>
    <w:p>
      <w:pPr>
        <w:ind w:firstLine="656"/>
        <w:spacing w:after="0" w:line="252" w:lineRule="auto"/>
        <w:tabs>
          <w:tab w:leader="none" w:pos="144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86" w:lineRule="exact"/>
        <w:rPr>
          <w:rFonts w:ascii="Times New Roman" w:cs="Times New Roman" w:eastAsia="Times New Roman" w:hAnsi="Times New Roman"/>
          <w:sz w:val="18"/>
          <w:szCs w:val="18"/>
          <w:b w:val="1"/>
          <w:bCs w:val="1"/>
          <w:color w:val="auto"/>
        </w:rPr>
      </w:pPr>
    </w:p>
    <w:p>
      <w:pPr>
        <w:ind w:right="140" w:firstLine="656"/>
        <w:spacing w:after="0" w:line="259" w:lineRule="auto"/>
        <w:tabs>
          <w:tab w:leader="none" w:pos="144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w:t>
      </w:r>
    </w:p>
    <w:p>
      <w:pPr>
        <w:ind w:firstLine="8"/>
        <w:spacing w:after="0" w:line="250" w:lineRule="auto"/>
        <w:tabs>
          <w:tab w:leader="none" w:pos="2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9" w:name="page90"/>
    <w:bookmarkEnd w:id="89"/>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ind w:firstLine="656"/>
        <w:spacing w:after="0" w:line="268" w:lineRule="auto"/>
        <w:tabs>
          <w:tab w:leader="none" w:pos="144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ind w:right="40" w:firstLine="656"/>
        <w:spacing w:after="0" w:line="266" w:lineRule="auto"/>
        <w:tabs>
          <w:tab w:leader="none" w:pos="117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ind w:firstLine="656"/>
        <w:spacing w:after="0" w:line="268" w:lineRule="auto"/>
        <w:tabs>
          <w:tab w:leader="none" w:pos="1442" w:val="left"/>
        </w:tabs>
        <w:numPr>
          <w:ilvl w:val="1"/>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Third Party Beneficiaries/Acknowledgements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 Agreement is for the exclusive benefit of the parties hereto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7"/>
          <w:szCs w:val="17"/>
          <w:b w:val="1"/>
          <w:bCs w:val="1"/>
          <w:color w:val="auto"/>
        </w:rPr>
      </w:pPr>
    </w:p>
    <w:p>
      <w:pPr>
        <w:ind w:right="120" w:firstLine="8"/>
        <w:spacing w:after="0" w:line="251" w:lineRule="auto"/>
        <w:tabs>
          <w:tab w:leader="none" w:pos="3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United States, England,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ind w:firstLine="656"/>
        <w:spacing w:after="0" w:line="257" w:lineRule="auto"/>
        <w:tabs>
          <w:tab w:leader="none" w:pos="1442"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6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4760" w:type="dxa"/>
            <w:vAlign w:val="bottom"/>
            <w:vMerge w:val="continue"/>
          </w:tcPr>
          <w:p>
            <w:pPr>
              <w:spacing w:after="0"/>
              <w:rPr>
                <w:sz w:val="17"/>
                <w:szCs w:val="17"/>
                <w:color w:val="auto"/>
              </w:rPr>
            </w:pP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48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Legends</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440" w:hanging="432"/>
        <w:spacing w:after="0"/>
        <w:tabs>
          <w:tab w:leader="none" w:pos="4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 Distribution of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 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 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167640</wp:posOffset>
            </wp:positionV>
            <wp:extent cx="5040630" cy="677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4063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Deposit Agreement (as hereinafter defined) for the purpose of registering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100,000,000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to be issued under the Deposit Agreement, by and among Citibank, N.A., as Depositary, PureTech Health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Holders and Beneficial Owners (each as defined in the Deposit Agreement and hereinafter used as so defined) from time to time of ADSs issued thereunder, a draft copy of which is being filed as Exhibit (a) to the Registration Statement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Each ADS will represent, subject to the terms and conditions of the Deposit Agreement and, if applicable, the American Depositary Receipt (the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evidencing such ADS, the right to receive ten (10) ordinary shares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ind w:left="4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PATTERSON BELKNAP WEBB &amp; TYLER LLP</w:t>
      </w:r>
    </w:p>
    <w:p>
      <w:pPr>
        <w:spacing w:after="0" w:line="24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By: /s/ Herman H. Raspé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24345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 Member of the Firm</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Letter"/>
      <w:start w:val="1"/>
    </w:lvl>
  </w:abstractNum>
  <w:abstractNum w:abstractNumId="3">
    <w:nsid w:val="419AC241"/>
    <w:multiLevelType w:val="hybridMultilevel"/>
    <w:lvl w:ilvl="0">
      <w:lvlJc w:val="left"/>
      <w:lvlText w:val="(%1)"/>
      <w:numFmt w:val="lowerLetter"/>
      <w:start w:val="1"/>
    </w:lvl>
  </w:abstractNum>
  <w:abstractNum w:abstractNumId="4">
    <w:nsid w:val="5577F8E1"/>
    <w:multiLevelType w:val="hybridMultilevel"/>
    <w:lvl w:ilvl="0">
      <w:lvlJc w:val="left"/>
      <w:lvlText w:val="(%1)"/>
      <w:numFmt w:val="lowerLetter"/>
      <w:start w:val="1"/>
    </w:lvl>
  </w:abstractNum>
  <w:abstractNum w:abstractNumId="5">
    <w:nsid w:val="440BADFC"/>
    <w:multiLevelType w:val="hybridMultilevel"/>
    <w:lvl w:ilvl="0">
      <w:lvlJc w:val="left"/>
      <w:lvlText w:val="%1"/>
      <w:numFmt w:val="lowerLetter"/>
      <w:start w:val="1"/>
    </w:lvl>
    <w:lvl w:ilvl="1">
      <w:lvlJc w:val="left"/>
      <w:lvlText w:val="(%2)"/>
      <w:numFmt w:val="lowerLetter"/>
      <w:start w:val="1"/>
    </w:lvl>
  </w:abstractNum>
  <w:abstractNum w:abstractNumId="6">
    <w:nsid w:val="5072367"/>
    <w:multiLevelType w:val="hybridMultilevel"/>
    <w:lvl w:ilvl="0">
      <w:lvlJc w:val="left"/>
      <w:lvlText w:val="(%1)"/>
      <w:numFmt w:val="lowerLetter"/>
      <w:start w:val="35"/>
    </w:lvl>
    <w:lvl w:ilvl="1">
      <w:lvlJc w:val="left"/>
      <w:lvlText w:val="%2"/>
      <w:numFmt w:val="lowerLetter"/>
      <w:start w:val="1"/>
    </w:lvl>
  </w:abstractNum>
  <w:abstractNum w:abstractNumId="7">
    <w:nsid w:val="3804823E"/>
    <w:multiLevelType w:val="hybridMultilevel"/>
    <w:lvl w:ilvl="0">
      <w:lvlJc w:val="left"/>
      <w:lvlText w:val="(%1)"/>
      <w:numFmt w:val="lowerLetter"/>
      <w:start w:val="3"/>
    </w:lvl>
  </w:abstractNum>
  <w:abstractNum w:abstractNumId="8">
    <w:nsid w:val="77465F01"/>
    <w:multiLevelType w:val="hybridMultilevel"/>
    <w:lvl w:ilvl="0">
      <w:lvlJc w:val="left"/>
      <w:lvlText w:val="%1"/>
      <w:numFmt w:val="lowerLetter"/>
      <w:start w:val="1"/>
    </w:lvl>
    <w:lvl w:ilvl="1">
      <w:lvlJc w:val="left"/>
      <w:lvlText w:val="(%2)"/>
      <w:numFmt w:val="lowerLetter"/>
      <w:start w:val="1"/>
    </w:lvl>
  </w:abstractNum>
  <w:abstractNum w:abstractNumId="9">
    <w:nsid w:val="7724C67E"/>
    <w:multiLevelType w:val="hybridMultilevel"/>
    <w:lvl w:ilvl="0">
      <w:lvlJc w:val="left"/>
      <w:lvlText w:val="(%1)"/>
      <w:numFmt w:val="lowerLetter"/>
      <w:start w:val="61"/>
    </w:lvl>
    <w:lvl w:ilvl="1">
      <w:lvlJc w:val="left"/>
      <w:lvlText w:val="%2"/>
      <w:numFmt w:val="lowerLetter"/>
      <w:start w:val="1"/>
    </w:lvl>
  </w:abstractNum>
  <w:abstractNum w:abstractNumId="10">
    <w:nsid w:val="5C482A97"/>
    <w:multiLevelType w:val="hybridMultilevel"/>
    <w:lvl w:ilvl="0">
      <w:lvlJc w:val="left"/>
      <w:lvlText w:val="(%1)"/>
      <w:numFmt w:val="lowerLetter"/>
      <w:start w:val="2"/>
    </w:lvl>
  </w:abstractNum>
  <w:abstractNum w:abstractNumId="11">
    <w:nsid w:val="2463B9EA"/>
    <w:multiLevelType w:val="hybridMultilevel"/>
    <w:lvl w:ilvl="0">
      <w:lvlJc w:val="left"/>
      <w:lvlText w:val="%1"/>
      <w:numFmt w:val="upperLetter"/>
      <w:start w:val="1"/>
    </w:lvl>
    <w:lvl w:ilvl="1">
      <w:lvlJc w:val="left"/>
      <w:lvlText w:val="(%2)"/>
      <w:numFmt w:val="lowerLetter"/>
      <w:start w:val="1"/>
    </w:lvl>
  </w:abstractNum>
  <w:abstractNum w:abstractNumId="12">
    <w:nsid w:val="5E884ADC"/>
    <w:multiLevelType w:val="hybridMultilevel"/>
    <w:lvl w:ilvl="0">
      <w:lvlJc w:val="left"/>
      <w:lvlText w:val="(%1)"/>
      <w:numFmt w:val="upperLetter"/>
      <w:start w:val="2"/>
    </w:lvl>
    <w:lvl w:ilvl="1">
      <w:lvlJc w:val="left"/>
      <w:lvlText w:val="(%2)"/>
      <w:numFmt w:val="lowerLetter"/>
      <w:start w:val="2"/>
    </w:lvl>
  </w:abstractNum>
  <w:abstractNum w:abstractNumId="13">
    <w:nsid w:val="51EAD36B"/>
    <w:multiLevelType w:val="hybridMultilevel"/>
    <w:lvl w:ilvl="0">
      <w:lvlJc w:val="left"/>
      <w:lvlText w:val="(%1)"/>
      <w:numFmt w:val="lowerLetter"/>
      <w:start w:val="3"/>
    </w:lvl>
  </w:abstractNum>
  <w:abstractNum w:abstractNumId="14">
    <w:nsid w:val="2D517796"/>
    <w:multiLevelType w:val="hybridMultilevel"/>
    <w:lvl w:ilvl="0">
      <w:lvlJc w:val="left"/>
      <w:lvlText w:val="(%1)"/>
      <w:numFmt w:val="lowerLetter"/>
      <w:start w:val="2"/>
    </w:lvl>
  </w:abstractNum>
  <w:abstractNum w:abstractNumId="15">
    <w:nsid w:val="580BD78F"/>
    <w:multiLevelType w:val="hybridMultilevel"/>
    <w:lvl w:ilvl="0">
      <w:lvlJc w:val="left"/>
      <w:lvlText w:val="(%1)"/>
      <w:numFmt w:val="lowerRoman"/>
      <w:start w:val="2"/>
    </w:lvl>
  </w:abstractNum>
  <w:abstractNum w:abstractNumId="16">
    <w:nsid w:val="153EA438"/>
    <w:multiLevelType w:val="hybridMultilevel"/>
    <w:lvl w:ilvl="0">
      <w:lvlJc w:val="left"/>
      <w:lvlText w:val="%1"/>
      <w:numFmt w:val="lowerLetter"/>
      <w:start w:val="1"/>
    </w:lvl>
    <w:lvl w:ilvl="1">
      <w:lvlJc w:val="left"/>
      <w:lvlText w:val="(%2)"/>
      <w:numFmt w:val="lowerLetter"/>
      <w:start w:val="1"/>
    </w:lvl>
  </w:abstractNum>
  <w:abstractNum w:abstractNumId="17">
    <w:nsid w:val="3855585C"/>
    <w:multiLevelType w:val="hybridMultilevel"/>
    <w:lvl w:ilvl="0">
      <w:lvlJc w:val="left"/>
      <w:lvlText w:val="(%1)"/>
      <w:numFmt w:val="lowerLetter"/>
      <w:start w:val="25"/>
    </w:lvl>
    <w:lvl w:ilvl="1">
      <w:lvlJc w:val="left"/>
      <w:lvlText w:val="%2"/>
      <w:numFmt w:val="lowerLetter"/>
      <w:start w:val="1"/>
    </w:lvl>
  </w:abstractNum>
  <w:abstractNum w:abstractNumId="18">
    <w:nsid w:val="70A64E2A"/>
    <w:multiLevelType w:val="hybridMultilevel"/>
    <w:lvl w:ilvl="0">
      <w:lvlJc w:val="left"/>
      <w:lvlText w:val="(%1)"/>
      <w:numFmt w:val="lowerLetter"/>
      <w:start w:val="2"/>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lowerLetter"/>
      <w:start w:val="1"/>
    </w:lvl>
    <w:lvl w:ilvl="1">
      <w:lvlJc w:val="left"/>
      <w:lvlText w:val="(%2)"/>
      <w:numFmt w:val="lowerLetter"/>
      <w:start w:val="3"/>
    </w:lvl>
  </w:abstractNum>
  <w:abstractNum w:abstractNumId="21">
    <w:nsid w:val="1D4ED43B"/>
    <w:multiLevelType w:val="hybridMultilevel"/>
    <w:lvl w:ilvl="0">
      <w:lvlJc w:val="left"/>
      <w:lvlText w:val="(%1)"/>
      <w:numFmt w:val="lowerLetter"/>
      <w:start w:val="35"/>
    </w:lvl>
    <w:lvl w:ilvl="1">
      <w:lvlJc w:val="left"/>
      <w:lvlText w:val="(%2)"/>
      <w:numFmt w:val="lowerLetter"/>
      <w:start w:val="4"/>
    </w:lvl>
  </w:abstractNum>
  <w:abstractNum w:abstractNumId="22">
    <w:nsid w:val="725A06FB"/>
    <w:multiLevelType w:val="hybridMultilevel"/>
    <w:lvl w:ilvl="0">
      <w:lvlJc w:val="left"/>
      <w:lvlText w:val="(%1)"/>
      <w:numFmt w:val="lowerRoman"/>
      <w:start w:val="2"/>
    </w:lvl>
  </w:abstractNum>
  <w:abstractNum w:abstractNumId="23">
    <w:nsid w:val="2CD89A32"/>
    <w:multiLevelType w:val="hybridMultilevel"/>
    <w:lvl w:ilvl="0">
      <w:lvlJc w:val="left"/>
      <w:lvlText w:val="(%1)"/>
      <w:numFmt w:val="lowerRoman"/>
      <w:start w:val="2"/>
    </w:lvl>
  </w:abstractNum>
  <w:abstractNum w:abstractNumId="24">
    <w:nsid w:val="57E4CCAF"/>
    <w:multiLevelType w:val="hybridMultilevel"/>
    <w:lvl w:ilvl="0">
      <w:lvlJc w:val="left"/>
      <w:lvlText w:val="(%1)"/>
      <w:numFmt w:val="lowerRoman"/>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lowerRoman"/>
      <w:start w:val="2"/>
    </w:lvl>
  </w:abstractNum>
  <w:abstractNum w:abstractNumId="27">
    <w:nsid w:val="542289EC"/>
    <w:multiLevelType w:val="hybridMultilevel"/>
    <w:lvl w:ilvl="0">
      <w:lvlJc w:val="left"/>
      <w:lvlText w:val="(%1)"/>
      <w:numFmt w:val="lowerLetter"/>
      <w:start w:val="1"/>
    </w:lvl>
  </w:abstractNum>
  <w:abstractNum w:abstractNumId="28">
    <w:nsid w:val="6DE91B18"/>
    <w:multiLevelType w:val="hybridMultilevel"/>
    <w:lvl w:ilvl="0">
      <w:lvlJc w:val="left"/>
      <w:lvlText w:val="(%1)"/>
      <w:numFmt w:val="lowerLetter"/>
      <w:start w:val="1"/>
    </w:lvl>
  </w:abstractNum>
  <w:abstractNum w:abstractNumId="29">
    <w:nsid w:val="38437FDB"/>
    <w:multiLevelType w:val="hybridMultilevel"/>
    <w:lvl w:ilvl="0">
      <w:lvlJc w:val="left"/>
      <w:lvlText w:val="(%1)"/>
      <w:numFmt w:val="decimal"/>
      <w:start w:val="10"/>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2"/>
    </w:lvl>
  </w:abstractNum>
  <w:abstractNum w:abstractNumId="32">
    <w:nsid w:val="684A481A"/>
    <w:multiLevelType w:val="hybridMultilevel"/>
    <w:lvl w:ilvl="0">
      <w:lvlJc w:val="left"/>
      <w:lvlText w:val="(%1)"/>
      <w:numFmt w:val="decimal"/>
      <w:start w:val="3"/>
    </w:lvl>
  </w:abstractNum>
  <w:abstractNum w:abstractNumId="33">
    <w:nsid w:val="579478FE"/>
    <w:multiLevelType w:val="hybridMultilevel"/>
    <w:lvl w:ilvl="0">
      <w:lvlJc w:val="left"/>
      <w:lvlText w:val="(%1)"/>
      <w:numFmt w:val="lowerRoman"/>
      <w:start w:val="2"/>
    </w:lvl>
    <w:lvl w:ilvl="1">
      <w:lvlJc w:val="left"/>
      <w:lvlText w:val="(%2)"/>
      <w:numFmt w:val="decimal"/>
      <w:start w:val="4"/>
    </w:lvl>
  </w:abstractNum>
  <w:abstractNum w:abstractNumId="34">
    <w:nsid w:val="749ABB43"/>
    <w:multiLevelType w:val="hybridMultilevel"/>
    <w:lvl w:ilvl="0">
      <w:lvlJc w:val="left"/>
      <w:lvlText w:val="(%1)"/>
      <w:numFmt w:val="decimal"/>
      <w:start w:val="5"/>
    </w:lvl>
  </w:abstractNum>
  <w:abstractNum w:abstractNumId="35">
    <w:nsid w:val="3DC240FB"/>
    <w:multiLevelType w:val="hybridMultilevel"/>
    <w:lvl w:ilvl="0">
      <w:lvlJc w:val="left"/>
      <w:lvlText w:val="(%1)"/>
      <w:numFmt w:val="decimal"/>
      <w:start w:val="7"/>
    </w:lvl>
  </w:abstractNum>
  <w:abstractNum w:abstractNumId="36">
    <w:nsid w:val="1BA026FA"/>
    <w:multiLevelType w:val="hybridMultilevel"/>
    <w:lvl w:ilvl="0">
      <w:lvlJc w:val="left"/>
      <w:lvlText w:val="(%1)"/>
      <w:numFmt w:val="decimal"/>
      <w:start w:val="8"/>
    </w:lvl>
  </w:abstractNum>
  <w:abstractNum w:abstractNumId="37">
    <w:nsid w:val="79A1DEAA"/>
    <w:multiLevelType w:val="hybridMultilevel"/>
    <w:lvl w:ilvl="0">
      <w:lvlJc w:val="left"/>
      <w:lvlText w:val="(%1)"/>
      <w:numFmt w:val="decimal"/>
      <w:start w:val="10"/>
    </w:lvl>
    <w:lvl w:ilvl="1">
      <w:lvlJc w:val="left"/>
      <w:lvlText w:val="(%2)"/>
      <w:numFmt w:val="lowerRoman"/>
      <w:start w:val="1"/>
    </w:lvl>
  </w:abstractNum>
  <w:abstractNum w:abstractNumId="38">
    <w:nsid w:val="75C6C33A"/>
    <w:multiLevelType w:val="hybridMultilevel"/>
    <w:lvl w:ilvl="0">
      <w:lvlJc w:val="left"/>
      <w:lvlText w:val="(%1)"/>
      <w:numFmt w:val="lowerRoman"/>
      <w:start w:val="4"/>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5"/>
    </w:lvl>
  </w:abstractNum>
  <w:abstractNum w:abstractNumId="41">
    <w:nsid w:val="520EEDD1"/>
    <w:multiLevelType w:val="hybridMultilevel"/>
    <w:lvl w:ilvl="0">
      <w:lvlJc w:val="left"/>
      <w:lvlText w:val="(%1)"/>
      <w:numFmt w:val="decimal"/>
      <w:start w:val="12"/>
    </w:lvl>
  </w:abstractNum>
  <w:abstractNum w:abstractNumId="42">
    <w:nsid w:val="374A3FE6"/>
    <w:multiLevelType w:val="hybridMultilevel"/>
    <w:lvl w:ilvl="0">
      <w:lvlJc w:val="left"/>
      <w:lvlText w:val="(%1)"/>
      <w:numFmt w:val="decimal"/>
      <w:start w:val="15"/>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2"/>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3"/>
    </w:lvl>
  </w:abstractNum>
  <w:abstractNum w:abstractNumId="47">
    <w:nsid w:val="39386575"/>
    <w:multiLevelType w:val="hybridMultilevel"/>
    <w:lvl w:ilvl="0">
      <w:lvlJc w:val="left"/>
      <w:lvlText w:val="(%1)"/>
      <w:numFmt w:val="lowerLetter"/>
      <w:start w:val="5"/>
    </w:lvl>
  </w:abstractNum>
  <w:abstractNum w:abstractNumId="48">
    <w:nsid w:val="1CF10FD8"/>
    <w:multiLevelType w:val="hybridMultilevel"/>
    <w:lvl w:ilvl="0">
      <w:lvlJc w:val="left"/>
      <w:lvlText w:val="(%1)"/>
      <w:numFmt w:val="decimal"/>
      <w:start w:val="16"/>
    </w:lvl>
  </w:abstractNum>
  <w:abstractNum w:abstractNumId="49">
    <w:nsid w:val="180115BE"/>
    <w:multiLevelType w:val="hybridMultilevel"/>
    <w:lvl w:ilvl="0">
      <w:lvlJc w:val="left"/>
      <w:lvlText w:val="%1"/>
      <w:numFmt w:val="lowerLetter"/>
      <w:start w:val="1"/>
    </w:lvl>
    <w:lvl w:ilvl="1">
      <w:lvlJc w:val="left"/>
      <w:lvlText w:val="(%2)"/>
      <w:numFmt w:val="decimal"/>
      <w:start w:val="17"/>
    </w:lvl>
  </w:abstractNum>
  <w:abstractNum w:abstractNumId="50">
    <w:nsid w:val="235BA861"/>
    <w:multiLevelType w:val="hybridMultilevel"/>
    <w:lvl w:ilvl="0">
      <w:lvlJc w:val="left"/>
      <w:lvlText w:val="(%1)"/>
      <w:numFmt w:val="lowerLetter"/>
      <w:start w:val="2"/>
    </w:lvl>
    <w:lvl w:ilvl="1">
      <w:lvlJc w:val="left"/>
      <w:lvlText w:val="%2"/>
      <w:numFmt w:val="decimal"/>
      <w:start w:val="1"/>
    </w:lvl>
  </w:abstractNum>
  <w:abstractNum w:abstractNumId="51">
    <w:nsid w:val="47398C89"/>
    <w:multiLevelType w:val="hybridMultilevel"/>
    <w:lvl w:ilvl="0">
      <w:lvlJc w:val="left"/>
      <w:lvlText w:val="(%1)"/>
      <w:numFmt w:val="lowerRoman"/>
      <w:start w:val="2"/>
    </w:lvl>
  </w:abstractNum>
  <w:abstractNum w:abstractNumId="52">
    <w:nsid w:val="354FE9F9"/>
    <w:multiLevelType w:val="hybridMultilevel"/>
    <w:lvl w:ilvl="0">
      <w:lvlJc w:val="left"/>
      <w:lvlText w:val="%1"/>
      <w:numFmt w:val="lowerRoman"/>
      <w:start w:val="1"/>
    </w:lvl>
    <w:lvl w:ilvl="1">
      <w:lvlJc w:val="left"/>
      <w:lvlText w:val="(%2)"/>
      <w:numFmt w:val="decimal"/>
      <w:start w:val="19"/>
    </w:lvl>
  </w:abstractNum>
  <w:abstractNum w:abstractNumId="53">
    <w:nsid w:val="15B5AF5C"/>
    <w:multiLevelType w:val="hybridMultilevel"/>
    <w:lvl w:ilvl="0">
      <w:lvlJc w:val="left"/>
      <w:lvlText w:val="(%1)"/>
      <w:numFmt w:val="lowerRoman"/>
      <w:start w:val="2"/>
    </w:lvl>
    <w:lvl w:ilvl="1">
      <w:lvlJc w:val="left"/>
      <w:lvlText w:val="(%2)"/>
      <w:numFmt w:val="decimal"/>
      <w:start w:val="20"/>
    </w:lvl>
  </w:abstractNum>
  <w:abstractNum w:abstractNumId="54">
    <w:nsid w:val="741226BB"/>
    <w:multiLevelType w:val="hybridMultilevel"/>
    <w:lvl w:ilvl="0">
      <w:lvlJc w:val="left"/>
      <w:lvlText w:val="(%1)"/>
      <w:numFmt w:val="decimal"/>
      <w:start w:val="21"/>
    </w:lvl>
  </w:abstractNum>
  <w:abstractNum w:abstractNumId="55">
    <w:nsid w:val="D34B6A8"/>
    <w:multiLevelType w:val="hybridMultilevel"/>
    <w:lvl w:ilvl="0">
      <w:lvlJc w:val="left"/>
      <w:lvlText w:val="(%1)"/>
      <w:numFmt w:val="decimal"/>
      <w:start w:val="22"/>
    </w:lvl>
  </w:abstractNum>
  <w:abstractNum w:abstractNumId="56">
    <w:nsid w:val="10233C99"/>
    <w:multiLevelType w:val="hybridMultilevel"/>
    <w:lvl w:ilvl="0">
      <w:lvlJc w:val="left"/>
      <w:lvlText w:val="%1"/>
      <w:numFmt w:val="lowerRoman"/>
      <w:start w:val="1"/>
    </w:lvl>
    <w:lvl w:ilvl="1">
      <w:lvlJc w:val="left"/>
      <w:lvlText w:val="(%2)"/>
      <w:numFmt w:val="decimal"/>
      <w:start w:val="23"/>
    </w:lvl>
  </w:abstractNum>
  <w:abstractNum w:abstractNumId="57">
    <w:nsid w:val="3F6AB60F"/>
    <w:multiLevelType w:val="hybridMultilevel"/>
    <w:lvl w:ilvl="0">
      <w:lvlJc w:val="left"/>
      <w:lvlText w:val="(%1)"/>
      <w:numFmt w:val="lowerRoman"/>
      <w:start w:val="2"/>
    </w:lvl>
    <w:lvl w:ilvl="1">
      <w:lvlJc w:val="left"/>
      <w:lvlText w:val="%2"/>
      <w:numFmt w:val="decimal"/>
      <w:start w:val="1"/>
    </w:lvl>
  </w:abstractNum>
  <w:abstractNum w:abstractNumId="58">
    <w:nsid w:val="61574095"/>
    <w:multiLevelType w:val="hybridMultilevel"/>
    <w:lvl w:ilvl="0">
      <w:lvlJc w:val="left"/>
      <w:lvlText w:val="(%1)"/>
      <w:numFmt w:val="decimal"/>
      <w:start w:val="25"/>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1"/>
      <w:numFmt w:val="lowerRoman"/>
      <w:start w:val="1"/>
    </w:lvl>
    <w:lvl w:ilvl="1">
      <w:lvlJc w:val="left"/>
      <w:lvlText w:val="(%2)"/>
      <w:numFmt w:val="decimal"/>
      <w:start w:val="26"/>
    </w:lvl>
  </w:abstractNum>
  <w:abstractNum w:abstractNumId="61">
    <w:nsid w:val="579BE4F1"/>
    <w:multiLevelType w:val="hybridMultilevel"/>
    <w:lvl w:ilvl="0">
      <w:lvlJc w:val="left"/>
      <w:lvlText w:val="(%1)"/>
      <w:numFmt w:val="lowerRoman"/>
      <w:start w:val="4"/>
    </w:lvl>
    <w:lvl w:ilvl="1">
      <w:lvlJc w:val="left"/>
      <w:lvlText w:val="(%2)"/>
      <w:numFmt w:val="decimal"/>
      <w:start w:val="27"/>
    </w:lvl>
  </w:abstractNum>
  <w:abstractNum w:abstractNumId="62">
    <w:nsid w:val="310C50B3"/>
    <w:multiLevelType w:val="hybridMultilevel"/>
    <w:lvl w:ilvl="0">
      <w:lvlJc w:val="left"/>
      <w:lvlText w:val="%1."/>
      <w:numFmt w:val="upperLetter"/>
      <w:start w:val="9"/>
    </w:lvl>
  </w:abstractNum>
  <w:abstractNum w:abstractNumId="63">
    <w:nsid w:val="5FF87E05"/>
    <w:multiLevelType w:val="hybridMultilevel"/>
    <w:lvl w:ilvl="0">
      <w:lvlJc w:val="left"/>
      <w:lvlText w:val="%1."/>
      <w:numFmt w:val="upperLetter"/>
      <w:start w:val="35"/>
    </w:lvl>
  </w:abstractNum>
  <w:abstractNum w:abstractNumId="64">
    <w:nsid w:val="2F305DE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2020-11-02T16:29:10Z</dcterms:created>
  <dcterms:modified xsi:type="dcterms:W3CDTF">2020-11-02T16:29:10Z</dcterms:modified>
</cp:coreProperties>
</file>