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255270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May 2021</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2860"/>
        <w:spacing w:after="0"/>
        <w:rPr>
          <w:sz w:val="20"/>
          <w:szCs w:val="20"/>
          <w:color w:val="auto"/>
        </w:rPr>
      </w:pPr>
      <w:r>
        <w:rPr>
          <w:rFonts w:ascii="Arial" w:cs="Arial" w:eastAsia="Arial" w:hAnsi="Arial"/>
          <w:sz w:val="43"/>
          <w:szCs w:val="43"/>
          <w:b w:val="1"/>
          <w:bCs w:val="1"/>
          <w:color w:val="auto"/>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Attention: Chief Executive Officer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(617) 482-2333</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409" w:right="1440"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May 27, 2021, PureTech Health plc (LSE: PRTC, Nasdaq: PRTC) (the “Company”) issued a press release announcing the results of its 2021 Annual General Meeting. The full text of the resolutions may be found in the Notice of the Annual General Meeting, copies of which are available on both the Company’s website https://investors.puretechhealth.com/financials-filings/reports and on the National Storage Mechanism.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furnished herewith as Exhibit 99.1 and is incorporated by reference herein.</w:t>
      </w:r>
    </w:p>
    <w:p>
      <w:pPr>
        <w:sectPr>
          <w:pgSz w:w="11900" w:h="16838" w:orient="portrait"/>
          <w:cols w:equalWidth="0" w:num="1">
            <w:col w:w="10920"/>
          </w:cols>
          <w:pgMar w:left="440" w:top="270" w:right="5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117"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dated May 27, 2021, “Results of Annual General Meeting”</w:t>
        </w:r>
      </w:hyperlink>
    </w:p>
    <w:p>
      <w:pPr>
        <w:sectPr>
          <w:pgSz w:w="11900" w:h="16838" w:orient="portrait"/>
          <w:cols w:equalWidth="0" w:num="1">
            <w:col w:w="10019"/>
          </w:cols>
          <w:pgMar w:left="440" w:top="26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7780" w:type="dxa"/>
            <w:vAlign w:val="bottom"/>
            <w:gridSpan w:val="3"/>
          </w:tcPr>
          <w:p>
            <w:pPr>
              <w:ind w:left="1820"/>
              <w:spacing w:after="0"/>
              <w:rPr>
                <w:sz w:val="20"/>
                <w:szCs w:val="20"/>
                <w:color w:val="auto"/>
              </w:rPr>
            </w:pPr>
            <w:r>
              <w:rPr>
                <w:rFonts w:ascii="Arial" w:cs="Arial" w:eastAsia="Arial" w:hAnsi="Arial"/>
                <w:sz w:val="18"/>
                <w:szCs w:val="18"/>
                <w:color w:val="auto"/>
              </w:rPr>
              <w:t>PURETECH HEALTH PLC</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Date: May 27, 2021</w:t>
            </w:r>
          </w:p>
        </w:tc>
        <w:tc>
          <w:tcPr>
            <w:tcW w:w="7780" w:type="dxa"/>
            <w:vAlign w:val="bottom"/>
            <w:gridSpan w:val="3"/>
          </w:tcPr>
          <w:p>
            <w:pPr>
              <w:ind w:left="1820"/>
              <w:spacing w:after="0"/>
              <w:rPr>
                <w:sz w:val="20"/>
                <w:szCs w:val="20"/>
                <w:color w:val="auto"/>
              </w:rPr>
            </w:pPr>
            <w:r>
              <w:rPr>
                <w:rFonts w:ascii="Arial" w:cs="Arial" w:eastAsia="Arial" w:hAnsi="Arial"/>
                <w:sz w:val="18"/>
                <w:szCs w:val="18"/>
                <w:color w:val="auto"/>
              </w:rPr>
              <w:t>By:  /s/ Daphne Zohar</w:t>
            </w:r>
          </w:p>
        </w:tc>
      </w:tr>
      <w:tr>
        <w:trPr>
          <w:trHeight w:val="209"/>
        </w:trPr>
        <w:tc>
          <w:tcPr>
            <w:tcW w:w="3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May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Annual General Meeting</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Annual General Meeting of PureTech Health plc (Nasdaq: PRTC, LSE: PRTC) (“PureTech Health” or the “Company”) was held at 11 a.m. EDT/4 p.m. BST on Thursday, May 27, 2021. All of the resolutions proposed at the Annual General Meeting were duly passed by the shareholders on a poll.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poll, incorporating the proxy votes lodged in advance of the meeting, are set out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Resolutions</w:t>
            </w:r>
          </w:p>
        </w:tc>
        <w:tc>
          <w:tcPr>
            <w:tcW w:w="4660" w:type="dxa"/>
            <w:vAlign w:val="bottom"/>
            <w:vMerge w:val="restart"/>
          </w:tcPr>
          <w:p>
            <w:pPr>
              <w:spacing w:after="0"/>
              <w:rPr>
                <w:sz w:val="14"/>
                <w:szCs w:val="14"/>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For</w:t>
            </w:r>
          </w:p>
        </w:tc>
        <w:tc>
          <w:tcPr>
            <w:tcW w:w="7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Against</w:t>
            </w: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Withheld</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 votes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gridSpan w:val="2"/>
            <w:vMerge w:val="continue"/>
          </w:tcPr>
          <w:p>
            <w:pPr>
              <w:spacing w:after="0"/>
              <w:rPr>
                <w:sz w:val="15"/>
                <w:szCs w:val="15"/>
                <w:color w:val="auto"/>
              </w:rPr>
            </w:pPr>
          </w:p>
        </w:tc>
        <w:tc>
          <w:tcPr>
            <w:tcW w:w="466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cast</w:t>
            </w:r>
          </w:p>
        </w:tc>
        <w:tc>
          <w:tcPr>
            <w:tcW w:w="0" w:type="dxa"/>
            <w:vAlign w:val="bottom"/>
          </w:tcPr>
          <w:p>
            <w:pPr>
              <w:spacing w:after="0"/>
              <w:rPr>
                <w:sz w:val="1"/>
                <w:szCs w:val="1"/>
                <w:color w:val="auto"/>
              </w:rPr>
            </w:pPr>
          </w:p>
        </w:tc>
      </w:tr>
      <w:tr>
        <w:trPr>
          <w:trHeight w:val="175"/>
        </w:trPr>
        <w:tc>
          <w:tcPr>
            <w:tcW w:w="3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001.</w:t>
            </w:r>
          </w:p>
        </w:tc>
        <w:tc>
          <w:tcPr>
            <w:tcW w:w="5040" w:type="dxa"/>
            <w:vAlign w:val="bottom"/>
            <w:tcBorders>
              <w:top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To approve the Company’s Annual Report and Accounts for year</w:t>
            </w: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ended 31 December 2020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225,240,798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273,846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225,251,719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002.</w:t>
            </w: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To approve the Directors’ Remuneration Report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200,319,991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89.74%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22,895,826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10.26%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2,309,748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223,215,817</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003.</w:t>
            </w:r>
          </w:p>
        </w:tc>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 approve the Directors’ Remuneration Policy</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187,285,809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35,930,008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2,309,748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223,215,817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004.</w:t>
            </w: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To elect Dr. Raju Kucherlapati as a director</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222,659,203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98.73%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2,865,525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225,524,728</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005.</w:t>
            </w:r>
          </w:p>
        </w:tc>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 elect Dr. John LaMattina as a director</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218,438,727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7,086,001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225,524,728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006.</w:t>
            </w: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To elect Ms. Kiran Mazumdar-Shaw as a director</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189,257,653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84.32%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35,193,037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15.68%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1,074,875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224,450,690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007.</w:t>
            </w:r>
          </w:p>
        </w:tc>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 elect Dame Marjorie Scardino as a director</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222,228,072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3,296,656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225,524,728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008.</w:t>
            </w: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To elect Mr. Christopher Viehbacher as a director</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199,985,210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88.68%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25,539,518</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11.32%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225,524,728</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009.</w:t>
            </w:r>
          </w:p>
        </w:tc>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 elect Dr. Robert Langer as a director</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218,164,180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7,360,548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225,524,728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010.</w:t>
            </w: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To elect Ms. Daphne Zohar as a director</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225,474,510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99.98%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50,218</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225,524,728</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011. To elect Dr. Bharatt Chowrira as a director</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225,473,830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50,898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225,524,728</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Resolutions</w:t>
            </w:r>
          </w:p>
        </w:tc>
        <w:tc>
          <w:tcPr>
            <w:tcW w:w="5000" w:type="dxa"/>
            <w:vAlign w:val="bottom"/>
            <w:vMerge w:val="restart"/>
          </w:tcPr>
          <w:p>
            <w:pPr>
              <w:spacing w:after="0"/>
              <w:rPr>
                <w:sz w:val="14"/>
                <w:szCs w:val="14"/>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For</w:t>
            </w: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Against</w:t>
            </w: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Withheld</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 votes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gridSpan w:val="2"/>
            <w:vMerge w:val="continue"/>
          </w:tcPr>
          <w:p>
            <w:pPr>
              <w:spacing w:after="0"/>
              <w:rPr>
                <w:sz w:val="15"/>
                <w:szCs w:val="15"/>
                <w:color w:val="auto"/>
              </w:rPr>
            </w:pPr>
          </w:p>
        </w:tc>
        <w:tc>
          <w:tcPr>
            <w:tcW w:w="50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6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cast</w:t>
            </w:r>
          </w:p>
        </w:tc>
        <w:tc>
          <w:tcPr>
            <w:tcW w:w="0" w:type="dxa"/>
            <w:vAlign w:val="bottom"/>
          </w:tcPr>
          <w:p>
            <w:pPr>
              <w:spacing w:after="0"/>
              <w:rPr>
                <w:sz w:val="1"/>
                <w:szCs w:val="1"/>
                <w:color w:val="auto"/>
              </w:rPr>
            </w:pPr>
          </w:p>
        </w:tc>
      </w:tr>
      <w:tr>
        <w:trPr>
          <w:trHeight w:val="203"/>
        </w:trPr>
        <w:tc>
          <w:tcPr>
            <w:tcW w:w="3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1"/>
              </w:rPr>
              <w:t>012.</w:t>
            </w:r>
          </w:p>
        </w:tc>
        <w:tc>
          <w:tcPr>
            <w:tcW w:w="5380" w:type="dxa"/>
            <w:vAlign w:val="bottom"/>
            <w:tcBorders>
              <w:top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To reappoint KPMG LLP as Auditors of the Company</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225,291,096</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99.90%</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234,469</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0.10%</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225,525,565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w w:val="91"/>
              </w:rPr>
              <w:t>013.</w:t>
            </w:r>
          </w:p>
        </w:tc>
        <w:tc>
          <w:tcPr>
            <w:tcW w:w="53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To authorize the Audit Committee to determine the Auditors’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gridSpan w:val="3"/>
          </w:tcPr>
          <w:p>
            <w:pPr>
              <w:ind w:left="180"/>
              <w:spacing w:after="0"/>
              <w:rPr>
                <w:sz w:val="20"/>
                <w:szCs w:val="20"/>
                <w:color w:val="auto"/>
              </w:rPr>
            </w:pPr>
            <w:r>
              <w:rPr>
                <w:rFonts w:ascii="Arial" w:cs="Arial" w:eastAsia="Arial" w:hAnsi="Arial"/>
                <w:sz w:val="18"/>
                <w:szCs w:val="18"/>
                <w:color w:val="auto"/>
              </w:rPr>
              <w:t>remuneration</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225,483,695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99.98%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41,870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225,525,565</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014.</w:t>
            </w:r>
          </w:p>
        </w:tc>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 authorize the allotment of shares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221,538,872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3,986,693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225,525,565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015.</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To disapply pre-emption rights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225,102,915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99.81%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422,650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225,525,565</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016.</w:t>
            </w:r>
          </w:p>
        </w:tc>
        <w:tc>
          <w:tcPr>
            <w:tcW w:w="53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To further disapply pre-emption rights for acquisitions and specified</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capital investments.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215,316,258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10,209,307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225,525,565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017.</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To authorize market purchase of own shares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225,235,005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99.89%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258,692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31,868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225,493,697</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018.</w:t>
            </w:r>
          </w:p>
        </w:tc>
        <w:tc>
          <w:tcPr>
            <w:tcW w:w="53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To authorize general meetings to be called on not less than 14 clear</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days’ notice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222,063,258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3,462,307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225,525,565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vote “Withheld” is not a vote in law and is not counted in the calculation of the votes “For” or “Against” a resolution.</w:t>
      </w:r>
    </w:p>
    <w:p>
      <w:pPr>
        <w:spacing w:after="0" w:line="130" w:lineRule="exact"/>
        <w:rPr>
          <w:rFonts w:ascii="Arial" w:cs="Arial" w:eastAsia="Arial" w:hAnsi="Arial"/>
          <w:sz w:val="18"/>
          <w:szCs w:val="18"/>
          <w:color w:val="auto"/>
        </w:rPr>
      </w:pPr>
    </w:p>
    <w:p>
      <w:pPr>
        <w:ind w:left="960" w:right="200" w:hanging="532"/>
        <w:spacing w:after="0" w:line="286"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 at May 27, 2021 the number of issued shares in the Company was 286,018,538 ordinary shares, which was the total number of shares entitling the holders to attend and vote for or against all the resolutions at the AGM. In accordance with the Company’s Articles of Association, on a poll every member present in person or by proxy has one vote for every share held.</w:t>
      </w:r>
    </w:p>
    <w:p>
      <w:pPr>
        <w:spacing w:after="0" w:line="70" w:lineRule="exact"/>
        <w:rPr>
          <w:rFonts w:ascii="Arial" w:cs="Arial" w:eastAsia="Arial" w:hAnsi="Arial"/>
          <w:sz w:val="17"/>
          <w:szCs w:val="17"/>
          <w:color w:val="auto"/>
        </w:rPr>
      </w:pPr>
    </w:p>
    <w:p>
      <w:pPr>
        <w:ind w:left="960" w:right="520" w:hanging="532"/>
        <w:spacing w:after="0" w:line="308"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full text of the resolutions may be found in the Notice of the Annual General Meeting, copies of which are available on both the Company’s website </w:t>
      </w:r>
      <w:r>
        <w:rPr>
          <w:rFonts w:ascii="Arial" w:cs="Arial" w:eastAsia="Arial" w:hAnsi="Arial"/>
          <w:sz w:val="17"/>
          <w:szCs w:val="17"/>
          <w:u w:val="single" w:color="auto"/>
          <w:color w:val="auto"/>
        </w:rPr>
        <w:t>https://investors.puretechhealth.com/financials-filings/reports</w:t>
      </w:r>
      <w:r>
        <w:rPr>
          <w:rFonts w:ascii="Arial" w:cs="Arial" w:eastAsia="Arial" w:hAnsi="Arial"/>
          <w:sz w:val="17"/>
          <w:szCs w:val="17"/>
          <w:color w:val="auto"/>
        </w:rPr>
        <w:t xml:space="preserve"> and on the National Storage Mechanism.</w:t>
      </w:r>
    </w:p>
    <w:p>
      <w:pPr>
        <w:sectPr>
          <w:pgSz w:w="11900" w:h="16838" w:orient="portrait"/>
          <w:cols w:equalWidth="0" w:num="1">
            <w:col w:w="11020"/>
          </w:cols>
          <w:pgMar w:left="440" w:top="253"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PureTech Health</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PureTech is a clinical-stage biotherapeutics company dedicated to discovering, developing and commercializing highly differentiated medicines for devastating diseases, including inflammatory, fibrotic and immunological conditions, intractable cancers, lymphatic and gastrointestinal diseases and neurological and neuropsychological disorders,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26 therapeutics and therapeutic candidates, including two that have received FDA clearance and European marketing authorization, as of the date of PureTech’s most recently filed Annual Report on Form 20-F. All of the underlying programs and platforms that resulted in this pipeline of therapeutic candidates were initially identified or discovered and then advanced by the PureTech team through key validation points based on the Company’s unique insights into the biology of the brain, immune and gut, or BIG, systems and the interface between those systems, referred to as the BIG Axis.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www.puretechhealth.com</w:t>
      </w:r>
      <w:r>
        <w:rPr>
          <w:rFonts w:ascii="Arial" w:cs="Arial" w:eastAsia="Arial" w:hAnsi="Arial"/>
          <w:sz w:val="18"/>
          <w:szCs w:val="18"/>
          <w:color w:val="auto"/>
        </w:rPr>
        <w:t xml:space="preserve"> or connect with us on Twitter @puretechh.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press release contains statements that are or may be forward-looking statements, including statements that relate to the company’s future prospects, developments, and strategies. The forward-looking statements are based on current expectations and are subject to known and unknown risks and uncertainties that could cause actual results, performance and achievements to differ materially from current expectations, including, but not limited to, those risks and uncertainties described in the risk factors included in the regulatory filings for PureTech Health plc.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neither the company nor any other party intends to update or revise these forward-looking statements, whether as a result of new information, future events or otherwise.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Allison Mead Talbot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+1 617 651 3156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amt@puretechhealth.com</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2021-05-27T20:38:09Z</dcterms:created>
  <dcterms:modified xsi:type="dcterms:W3CDTF">2021-05-27T20:38:09Z</dcterms:modified>
</cp:coreProperties>
</file>