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58.jpeg" ContentType="image/jpeg"/>
  <Override PartName="/word/media/image257.jpeg" ContentType="image/jpeg"/>
  <Override PartName="/word/media/image256.jpeg" ContentType="image/jpeg"/>
  <Override PartName="/word/media/image255.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05"/>
        <w:rPr/>
      </w:pPr>
      <w:r>
        <w:rPr/>
      </w:r>
    </w:p>
    <w:p>
      <w:pPr>
        <w:pStyle w:val="TextBody"/>
        <w:spacing w:before="0" w:after="105"/>
        <w:rPr/>
      </w:pPr>
      <w:r>
        <w:rPr/>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Avenir LT Pro 45 Book;sans-serif" w:hAnsi="Avenir LT Pro 45 Book;sans-serif"/>
          <w:b w:val="false"/>
          <w:color w:val="000000"/>
          <w:sz w:val="26"/>
        </w:rPr>
      </w:pPr>
      <w:r>
        <w:rPr>
          <w:rFonts w:ascii="Avenir LT Pro 45 Book;sans-serif" w:hAnsi="Avenir LT Pro 45 Book;sans-serif"/>
          <w:b w:val="false"/>
          <w:color w:val="000000"/>
          <w:sz w:val="26"/>
        </w:rPr>
        <w:t xml:space="preserve">UNITED STATES </w:t>
      </w:r>
    </w:p>
    <w:p>
      <w:pPr>
        <w:pStyle w:val="TextBody"/>
        <w:spacing w:lineRule="auto" w:line="288" w:before="0" w:after="0"/>
        <w:jc w:val="center"/>
        <w:rPr>
          <w:rFonts w:ascii="Avenir LT Pro 45 Book;sans-serif" w:hAnsi="Avenir LT Pro 45 Book;sans-serif"/>
          <w:b w:val="false"/>
          <w:color w:val="000000"/>
          <w:sz w:val="26"/>
        </w:rPr>
      </w:pPr>
      <w:r>
        <w:rPr>
          <w:rFonts w:ascii="Avenir LT Pro 45 Book;sans-serif" w:hAnsi="Avenir LT Pro 45 Book;sans-serif"/>
          <w:b w:val="false"/>
          <w:color w:val="000000"/>
          <w:sz w:val="26"/>
        </w:rPr>
        <w:t xml:space="preserve">SECURITIES AND EXCHANGE COMMISSION </w:t>
      </w:r>
    </w:p>
    <w:p>
      <w:pPr>
        <w:pStyle w:val="TextBody"/>
        <w:spacing w:lineRule="auto" w:line="288" w:before="0" w:after="0"/>
        <w:jc w:val="center"/>
        <w:rPr>
          <w:rFonts w:ascii="Avenir LT Pro 45 Book;sans-serif" w:hAnsi="Avenir LT Pro 45 Book;sans-serif"/>
          <w:b w:val="false"/>
          <w:color w:val="000000"/>
          <w:sz w:val="20"/>
        </w:rPr>
      </w:pPr>
      <w:r>
        <w:rPr>
          <w:rFonts w:ascii="Avenir LT Pro 45 Book;sans-serif" w:hAnsi="Avenir LT Pro 45 Book;sans-serif"/>
          <w:b w:val="false"/>
          <w:color w:val="000000"/>
          <w:sz w:val="20"/>
        </w:rPr>
        <w:t xml:space="preserve">WASHINGTON, D.C. 20549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jc w:val="center"/>
        <w:rPr/>
      </w:pPr>
      <w:r>
        <w:rPr>
          <w:rFonts w:ascii="Avenir LT Pro 45 Book;sans-serif" w:hAnsi="Avenir LT Pro 45 Book;sans-serif"/>
          <w:b w:val="false"/>
          <w:color w:val="000000"/>
          <w:sz w:val="26"/>
        </w:rPr>
        <w:t>FORM 20-F</w:t>
      </w:r>
      <w:r>
        <w:rPr>
          <w:color w:val="000000"/>
        </w:rPr>
        <w:t xml:space="preserve"> </w:t>
      </w:r>
    </w:p>
    <w:p>
      <w:pPr>
        <w:pStyle w:val="TextBody"/>
        <w:spacing w:before="0" w:after="0"/>
        <w:rPr/>
      </w:pPr>
      <w:r>
        <w:rPr/>
      </w:r>
    </w:p>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(Mark One)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color w:val="000000"/>
                <w:sz w:val="16"/>
              </w:rPr>
            </w:pPr>
            <w:r>
              <w:rPr>
                <w:rFonts w:ascii="Avenir LT Pro 45 Book;sans-serif" w:hAnsi="Avenir LT Pro 45 Book;sans-serif"/>
                <w:b/>
                <w:color w:val="000000"/>
                <w:sz w:val="16"/>
              </w:rPr>
              <w:t>REGISTRATION STATEMENT PURSUANT TO SECTION 12(b) OR (g) OF THE SECURITIES EXCHANGE ACT OF 1934</w:t>
            </w:r>
          </w:p>
        </w:tc>
      </w:tr>
    </w:tbl>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8757" w:type="dxa"/>
        <w:jc w:val="center"/>
        <w:tblInd w:w="0" w:type="dxa"/>
        <w:tblCellMar>
          <w:top w:w="28" w:type="dxa"/>
          <w:left w:w="28" w:type="dxa"/>
          <w:bottom w:w="28" w:type="dxa"/>
          <w:right w:w="28" w:type="dxa"/>
        </w:tblCellMar>
      </w:tblPr>
      <w:tblGrid>
        <w:gridCol w:w="124"/>
        <w:gridCol w:w="109"/>
        <w:gridCol w:w="109"/>
        <w:gridCol w:w="2459"/>
        <w:gridCol w:w="2459"/>
        <w:gridCol w:w="34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34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ANNUAL REPORT PURSUANT TO SECTION 13 OR 15(d) OF THE SECURITIES EXCHANGE ACT OF 1934</w:t>
            </w:r>
          </w:p>
        </w:tc>
      </w:tr>
    </w:tbl>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For the fiscal year ended December 31, 2022</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9086" w:type="dxa"/>
        <w:jc w:val="center"/>
        <w:tblInd w:w="0" w:type="dxa"/>
        <w:tblCellMar>
          <w:top w:w="28" w:type="dxa"/>
          <w:left w:w="28" w:type="dxa"/>
          <w:bottom w:w="28" w:type="dxa"/>
          <w:right w:w="28" w:type="dxa"/>
        </w:tblCellMar>
      </w:tblPr>
      <w:tblGrid>
        <w:gridCol w:w="124"/>
        <w:gridCol w:w="109"/>
        <w:gridCol w:w="109"/>
        <w:gridCol w:w="2561"/>
        <w:gridCol w:w="2561"/>
        <w:gridCol w:w="362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c>
          <w:tcPr>
            <w:tcW w:w="362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TRANSITION REPORT PURSUANT TO SECTION 13 OR 15(d) OF THE SECURITIES EXCHANGE ACT OF 1934</w:t>
            </w:r>
          </w:p>
        </w:tc>
      </w:tr>
    </w:tbl>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For the transition period from to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9462" w:type="dxa"/>
        <w:jc w:val="center"/>
        <w:tblInd w:w="0" w:type="dxa"/>
        <w:tblCellMar>
          <w:top w:w="28" w:type="dxa"/>
          <w:left w:w="28" w:type="dxa"/>
          <w:bottom w:w="28" w:type="dxa"/>
          <w:right w:w="28" w:type="dxa"/>
        </w:tblCellMar>
      </w:tblPr>
      <w:tblGrid>
        <w:gridCol w:w="124"/>
        <w:gridCol w:w="109"/>
        <w:gridCol w:w="109"/>
        <w:gridCol w:w="2665"/>
        <w:gridCol w:w="2665"/>
        <w:gridCol w:w="37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37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SHELL COMPANY REPORT PURSUANT TO SECTION 13 OR 15(d) OF THE SECURITIES EXCHANGE ACT OF 1934</w:t>
            </w:r>
          </w:p>
        </w:tc>
      </w:tr>
    </w:tbl>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Date of event requiring this shell company report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For the transition period from to </w:t>
      </w:r>
    </w:p>
    <w:p>
      <w:pPr>
        <w:pStyle w:val="TextBody"/>
        <w:spacing w:before="0" w:after="0"/>
        <w:jc w:val="center"/>
        <w:rPr/>
      </w:pPr>
      <w:r>
        <w:rPr/>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Commission file number 001-39670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Avenir LT Pro 85 Heavy;sans-serif" w:hAnsi="Avenir LT Pro 85 Heavy;sans-serif"/>
          <w:b/>
          <w:color w:val="183964"/>
          <w:sz w:val="40"/>
        </w:rPr>
      </w:pPr>
      <w:r>
        <w:rPr>
          <w:rFonts w:ascii="Avenir LT Pro 85 Heavy;sans-serif" w:hAnsi="Avenir LT Pro 85 Heavy;sans-serif"/>
          <w:b/>
          <w:color w:val="183964"/>
          <w:sz w:val="40"/>
        </w:rPr>
        <w:t xml:space="preserve">PURETECH HEALTH PLC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(Exact name of registrant as specified in its charter) </w:t>
      </w:r>
    </w:p>
    <w:p>
      <w:pPr>
        <w:pStyle w:val="TextBody"/>
        <w:spacing w:before="0" w:after="0"/>
        <w:jc w:val="center"/>
        <w:rPr/>
      </w:pPr>
      <w:r>
        <w:rPr/>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N/A</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(Translation of Registrant’s name into English)</w:t>
      </w:r>
    </w:p>
    <w:p>
      <w:pPr>
        <w:pStyle w:val="TextBody"/>
        <w:spacing w:before="0" w:after="0"/>
        <w:jc w:val="center"/>
        <w:rPr/>
      </w:pPr>
      <w:r>
        <w:rPr/>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England and Wales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(Jurisdiction of incorporation or organization)</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6 Tide Street, Suite 400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Boston, Massachusetts 02210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United States</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(Address of principal executive offices)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Daphne Zohar </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Chief Executive Officer Tel: (617) 482-2333 </w:t>
      </w:r>
    </w:p>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E-mail: ir@puretechhealth.com</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 PureTech Health LLC</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 Tide Street, Suite 400</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Boston, Massachusetts 02210</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United States</w:t>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(Name, telephone, e-mail and/or facsimile number and address of company contact person) </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Securities registered or to be registered pursuant to Section 12(b) of the Act: </w:t>
      </w:r>
    </w:p>
    <w:tbl>
      <w:tblPr>
        <w:tblW w:w="10205" w:type="dxa"/>
        <w:jc w:val="left"/>
        <w:tblInd w:w="0" w:type="dxa"/>
        <w:tblCellMar>
          <w:top w:w="28" w:type="dxa"/>
          <w:left w:w="28" w:type="dxa"/>
          <w:bottom w:w="28" w:type="dxa"/>
          <w:right w:w="28" w:type="dxa"/>
        </w:tblCellMar>
      </w:tblPr>
      <w:tblGrid>
        <w:gridCol w:w="2430"/>
        <w:gridCol w:w="2080"/>
        <w:gridCol w:w="2076"/>
        <w:gridCol w:w="485"/>
        <w:gridCol w:w="485"/>
        <w:gridCol w:w="487"/>
        <w:gridCol w:w="632"/>
        <w:gridCol w:w="632"/>
        <w:gridCol w:w="898"/>
      </w:tblGrid>
      <w:tr>
        <w:trPr/>
        <w:tc>
          <w:tcPr>
            <w:tcW w:w="2430"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207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6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Title of each class:</w:t>
            </w:r>
          </w:p>
        </w:tc>
        <w:tc>
          <w:tcPr>
            <w:tcW w:w="145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Trading Symbol(s)</w:t>
            </w:r>
          </w:p>
        </w:tc>
        <w:tc>
          <w:tcPr>
            <w:tcW w:w="2162"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Name of each exchange</w:t>
            </w:r>
          </w:p>
          <w:p>
            <w:pPr>
              <w:pStyle w:val="TableContents"/>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on which registered:</w:t>
            </w:r>
          </w:p>
        </w:tc>
      </w:tr>
      <w:tr>
        <w:trPr/>
        <w:tc>
          <w:tcPr>
            <w:tcW w:w="6586"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American Depositary Shares, each representing 10 ordinary shares, par value £0.01 per share</w:t>
            </w:r>
          </w:p>
        </w:tc>
        <w:tc>
          <w:tcPr>
            <w:tcW w:w="1457"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PRTC</w:t>
            </w:r>
          </w:p>
        </w:tc>
        <w:tc>
          <w:tcPr>
            <w:tcW w:w="2162"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Avenir LT Pro 45 Book;sans-serif" w:hAnsi="Avenir LT Pro 45 Book;sans-serif"/>
                <w:b w:val="false"/>
                <w:color w:val="000000"/>
                <w:sz w:val="16"/>
              </w:rPr>
              <w:t xml:space="preserve">The </w:t>
            </w:r>
            <w:r>
              <w:rPr>
                <w:rFonts w:ascii="Avenir LT Pro 45 Book;sans-serif" w:hAnsi="Avenir LT Pro 45 Book;sans-serif"/>
                <w:b w:val="false"/>
                <w:color w:val="000000"/>
                <w:sz w:val="17"/>
              </w:rPr>
              <w:t>Nasdaq</w:t>
            </w:r>
            <w:r>
              <w:rPr>
                <w:color w:val="000000"/>
              </w:rPr>
              <w:t xml:space="preserve"> </w:t>
            </w:r>
            <w:r>
              <w:rPr>
                <w:rFonts w:ascii="Avenir LT Pro 45 Book;sans-serif" w:hAnsi="Avenir LT Pro 45 Book;sans-serif"/>
                <w:b w:val="false"/>
                <w:color w:val="000000"/>
                <w:sz w:val="16"/>
              </w:rPr>
              <w:t>Global Market</w:t>
            </w:r>
          </w:p>
        </w:tc>
      </w:tr>
      <w:tr>
        <w:trPr/>
        <w:tc>
          <w:tcPr>
            <w:tcW w:w="658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Ordinary shares, par value £0.01 per share*</w:t>
            </w:r>
          </w:p>
        </w:tc>
        <w:tc>
          <w:tcPr>
            <w:tcW w:w="1457"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216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45 Book;sans-serif" w:hAnsi="Avenir LT Pro 45 Book;sans-serif"/>
                <w:b w:val="false"/>
                <w:color w:val="000000"/>
                <w:sz w:val="16"/>
              </w:rPr>
              <w:t xml:space="preserve">The </w:t>
            </w:r>
            <w:r>
              <w:rPr>
                <w:rFonts w:ascii="Avenir LT Pro 45 Book;sans-serif" w:hAnsi="Avenir LT Pro 45 Book;sans-serif"/>
                <w:b w:val="false"/>
                <w:color w:val="000000"/>
                <w:sz w:val="17"/>
              </w:rPr>
              <w:t>Nasdaq</w:t>
            </w:r>
            <w:r>
              <w:rPr>
                <w:color w:val="000000"/>
              </w:rPr>
              <w:t xml:space="preserve"> </w:t>
            </w:r>
            <w:r>
              <w:rPr>
                <w:rFonts w:ascii="Avenir LT Pro 45 Book;sans-serif" w:hAnsi="Avenir LT Pro 45 Book;sans-serif"/>
                <w:b w:val="false"/>
                <w:color w:val="000000"/>
                <w:sz w:val="16"/>
              </w:rPr>
              <w:t>Global Market*</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05"/>
                        <w:jc w:val="center"/>
                        <w:rPr/>
                      </w:pPr>
                      <w:r>
                        <w:rPr/>
                      </w:r>
                    </w:p>
                  </w:txbxContent>
                </v:textbox>
              </v:rect>
            </w:pict>
          </mc:Fallback>
        </mc:AlternateContent>
      </w:r>
    </w:p>
    <w:p>
      <w:pPr>
        <w:pStyle w:val="TextBody"/>
        <w:spacing w:before="0" w:after="105"/>
        <w:rPr/>
      </w:pPr>
      <w:r>
        <w:rPr/>
      </w:r>
    </w:p>
    <w:p>
      <w:pPr>
        <w:pStyle w:val="TextBody"/>
        <w:spacing w:before="0" w:after="105"/>
        <w:rPr/>
      </w:pPr>
      <w:r>
        <w:rPr/>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Listed not for trading, but only in connection with the registration of the American Depositary Shares on The Nasdaq Global Market.</w:t>
            </w:r>
          </w:p>
        </w:tc>
      </w:tr>
    </w:tbl>
    <w:p>
      <w:pPr>
        <w:pStyle w:val="TextBody"/>
        <w:spacing w:lineRule="auto" w:line="288" w:before="0" w:after="0"/>
        <w:jc w:val="center"/>
        <w:rPr>
          <w:rFonts w:ascii="Avenir LT Pro 85 Heavy;sans-serif" w:hAnsi="Avenir LT Pro 85 Heavy;sans-serif"/>
          <w:b/>
          <w:color w:val="000000"/>
          <w:sz w:val="16"/>
        </w:rPr>
      </w:pPr>
      <w:r>
        <w:rPr>
          <w:rFonts w:ascii="Avenir LT Pro 85 Heavy;sans-serif" w:hAnsi="Avenir LT Pro 85 Heavy;sans-serif"/>
          <w:b/>
          <w:color w:val="000000"/>
          <w:sz w:val="16"/>
        </w:rPr>
        <w:t xml:space="preserve">Securities registered or to be registered pursuant to Section 12(g) of the Act: None. </w:t>
      </w:r>
    </w:p>
    <w:p>
      <w:pPr>
        <w:pStyle w:val="TextBody"/>
        <w:spacing w:lineRule="auto" w:line="288" w:before="0" w:after="0"/>
        <w:jc w:val="center"/>
        <w:rPr>
          <w:rFonts w:ascii="Avenir LT Pro 85 Heavy;sans-serif" w:hAnsi="Avenir LT Pro 85 Heavy;sans-serif"/>
          <w:b/>
          <w:color w:val="000000"/>
          <w:sz w:val="16"/>
        </w:rPr>
      </w:pPr>
      <w:r>
        <w:rPr>
          <w:rFonts w:ascii="Avenir LT Pro 85 Heavy;sans-serif" w:hAnsi="Avenir LT Pro 85 Heavy;sans-serif"/>
          <w:b/>
          <w:color w:val="000000"/>
          <w:sz w:val="16"/>
        </w:rPr>
        <w:t xml:space="preserve">Securities for which there is a reporting obligation pursuant to Section 15(d) of the Act: None. </w:t>
      </w:r>
    </w:p>
    <w:p>
      <w:pPr>
        <w:pStyle w:val="TextBody"/>
        <w:spacing w:before="0" w:after="0"/>
        <w:jc w:val="center"/>
        <w:rPr/>
      </w:pPr>
      <w:r>
        <w:rPr/>
      </w:r>
    </w:p>
    <w:p>
      <w:pPr>
        <w:pStyle w:val="TextBody"/>
        <w:spacing w:lineRule="auto" w:line="276" w:before="0" w:after="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the number of outstanding shares of each of the issuer’s classes of capital or common stock as of the close of the period covered by the annual report: Ordinary Shares: 278,566,306 outstanding as of December 31, 2022. </w:t>
      </w:r>
    </w:p>
    <w:p>
      <w:pPr>
        <w:pStyle w:val="TextBody"/>
        <w:spacing w:before="0" w:after="100"/>
        <w:rPr/>
      </w:pPr>
      <w:r>
        <w:rPr/>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if the registrant is a well-known seasoned issuer, as defined in Rule 405 of the Securities Act. Yes ☐ No ☒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this report is an annual or transition report, indicate by check mark if the registrant is not required to file reports pursuant to Section 13 or 15(d) of the Securities Exchange Act of 1934. Yes ☐ No ☒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tbl>
      <w:tblPr>
        <w:tblW w:w="10205" w:type="dxa"/>
        <w:jc w:val="left"/>
        <w:tblInd w:w="0" w:type="dxa"/>
        <w:tblCellMar>
          <w:top w:w="28" w:type="dxa"/>
          <w:left w:w="28" w:type="dxa"/>
          <w:bottom w:w="28" w:type="dxa"/>
          <w:right w:w="28" w:type="dxa"/>
        </w:tblCellMar>
      </w:tblPr>
      <w:tblGrid>
        <w:gridCol w:w="708"/>
        <w:gridCol w:w="623"/>
        <w:gridCol w:w="625"/>
        <w:gridCol w:w="109"/>
        <w:gridCol w:w="109"/>
        <w:gridCol w:w="109"/>
        <w:gridCol w:w="486"/>
        <w:gridCol w:w="486"/>
        <w:gridCol w:w="488"/>
        <w:gridCol w:w="109"/>
        <w:gridCol w:w="109"/>
        <w:gridCol w:w="109"/>
        <w:gridCol w:w="109"/>
        <w:gridCol w:w="109"/>
        <w:gridCol w:w="109"/>
        <w:gridCol w:w="611"/>
        <w:gridCol w:w="611"/>
        <w:gridCol w:w="613"/>
        <w:gridCol w:w="109"/>
        <w:gridCol w:w="109"/>
        <w:gridCol w:w="109"/>
        <w:gridCol w:w="109"/>
        <w:gridCol w:w="109"/>
        <w:gridCol w:w="109"/>
        <w:gridCol w:w="109"/>
        <w:gridCol w:w="109"/>
        <w:gridCol w:w="109"/>
        <w:gridCol w:w="761"/>
        <w:gridCol w:w="761"/>
        <w:gridCol w:w="764"/>
        <w:gridCol w:w="109"/>
        <w:gridCol w:w="109"/>
        <w:gridCol w:w="109"/>
        <w:gridCol w:w="109"/>
        <w:gridCol w:w="109"/>
        <w:gridCol w:w="161"/>
      </w:tblGrid>
      <w:tr>
        <w:trPr/>
        <w:tc>
          <w:tcPr>
            <w:tcW w:w="708"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1460"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r>
    </w:tbl>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The term “new or revised financial accounting standard” refers to any update issued by the Financial Accounting Standards Board to its Accounting Standards Codification after April 5, 2012.</w:t>
            </w:r>
          </w:p>
        </w:tc>
      </w:tr>
    </w:tbl>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88" w:before="0" w:after="100"/>
        <w:rPr/>
      </w:pPr>
      <w:r>
        <w:rPr>
          <w:rFonts w:ascii="Avenir LT Pro 45 Book;sans-serif" w:hAnsi="Avenir LT Pro 45 Book;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spacing w:lineRule="auto" w:line="288" w:before="0" w:after="100"/>
        <w:rPr/>
      </w:pPr>
      <w:r>
        <w:rPr>
          <w:rFonts w:ascii="Avenir LT Pro 45 Book;sans-serif" w:hAnsi="Avenir LT Pro 45 Book;sans-serif"/>
          <w:b w:val="false"/>
          <w:color w:val="000000"/>
          <w:sz w:val="17"/>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color w:val="000000"/>
        </w:rPr>
        <w:t xml:space="preserve">☐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which basis of accounting the registrant has used to prepare the financial statements included in this filing: </w:t>
      </w:r>
    </w:p>
    <w:tbl>
      <w:tblPr>
        <w:tblW w:w="8486" w:type="dxa"/>
        <w:jc w:val="left"/>
        <w:tblInd w:w="0" w:type="dxa"/>
        <w:tblCellMar>
          <w:top w:w="28" w:type="dxa"/>
          <w:left w:w="28" w:type="dxa"/>
          <w:bottom w:w="28" w:type="dxa"/>
          <w:right w:w="28" w:type="dxa"/>
        </w:tblCellMar>
      </w:tblPr>
      <w:tblGrid>
        <w:gridCol w:w="417"/>
        <w:gridCol w:w="367"/>
        <w:gridCol w:w="371"/>
        <w:gridCol w:w="109"/>
        <w:gridCol w:w="109"/>
        <w:gridCol w:w="109"/>
        <w:gridCol w:w="1514"/>
        <w:gridCol w:w="1514"/>
        <w:gridCol w:w="1517"/>
        <w:gridCol w:w="109"/>
        <w:gridCol w:w="109"/>
        <w:gridCol w:w="109"/>
        <w:gridCol w:w="109"/>
        <w:gridCol w:w="109"/>
        <w:gridCol w:w="109"/>
        <w:gridCol w:w="109"/>
        <w:gridCol w:w="109"/>
        <w:gridCol w:w="109"/>
        <w:gridCol w:w="109"/>
        <w:gridCol w:w="109"/>
        <w:gridCol w:w="109"/>
        <w:gridCol w:w="109"/>
        <w:gridCol w:w="109"/>
        <w:gridCol w:w="109"/>
        <w:gridCol w:w="240"/>
        <w:gridCol w:w="240"/>
        <w:gridCol w:w="344"/>
      </w:tblGrid>
      <w:tr>
        <w:trPr/>
        <w:tc>
          <w:tcPr>
            <w:tcW w:w="41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U.S. GAAP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Avenir LT Pro 45 Book;sans-serif" w:hAnsi="Avenir LT Pro 45 Book;sans-serif"/>
                <w:b w:val="false"/>
                <w:color w:val="000000"/>
                <w:sz w:val="17"/>
              </w:rPr>
              <w:t xml:space="preserve">International Financial Reporting Standards </w:t>
            </w:r>
            <w:r>
              <w:rPr>
                <w:rFonts w:ascii="Avenir LT Pro 45 Book;sans-serif" w:hAnsi="Avenir LT Pro 45 Book;sans-serif"/>
                <w:b w:val="false"/>
                <w:color w:val="000000"/>
                <w:sz w:val="16"/>
              </w:rPr>
              <w:t>as 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Other ☐</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by the International Accounting Standards Board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“Other” has been checked in response to the previous question, indicate by check mark which financial statement item the registrant has elected to follow. Item 17 ☐ Item 18 ☐ </w:t>
      </w:r>
    </w:p>
    <w:p>
      <w:pPr>
        <w:pStyle w:val="TextBody"/>
        <w:spacing w:lineRule="auto" w:line="288" w:before="0" w:after="10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this is an annual report, indicate by check mark whether the registrant is a shell company (as defined in Rule 12b-2 of the Exchange Act). Yes ☐ No ☒</w:t>
      </w:r>
    </w:p>
    <w:p>
      <w:pPr>
        <w:pStyle w:val="TextBody"/>
        <w:spacing w:before="0" w:after="100"/>
        <w:rPr/>
      </w:pPr>
      <w:r>
        <w:rPr/>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05"/>
                        <w:jc w:val="center"/>
                        <w:rPr/>
                      </w:pPr>
                      <w:r>
                        <w:rPr/>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TABLE OF CONTENTS</w:t>
      </w:r>
    </w:p>
    <w:tbl>
      <w:tblPr>
        <w:tblW w:w="9151" w:type="dxa"/>
        <w:jc w:val="center"/>
        <w:tblInd w:w="0" w:type="dxa"/>
        <w:tblCellMar>
          <w:top w:w="28" w:type="dxa"/>
          <w:left w:w="28" w:type="dxa"/>
          <w:bottom w:w="28" w:type="dxa"/>
          <w:right w:w="28" w:type="dxa"/>
        </w:tblCellMar>
      </w:tblPr>
      <w:tblGrid>
        <w:gridCol w:w="340"/>
        <w:gridCol w:w="299"/>
        <w:gridCol w:w="307"/>
        <w:gridCol w:w="2537"/>
        <w:gridCol w:w="2537"/>
        <w:gridCol w:w="2560"/>
        <w:gridCol w:w="167"/>
        <w:gridCol w:w="167"/>
        <w:gridCol w:w="237"/>
      </w:tblGrid>
      <w:tr>
        <w:trPr/>
        <w:tc>
          <w:tcPr>
            <w:tcW w:w="34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256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Page</w:t>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1afee01c248347e3bee5e1e589f0cd5c_70">
              <w:r>
                <w:rPr>
                  <w:rStyle w:val="InternetLink"/>
                  <w:rFonts w:ascii="Avenir LT Pro 45 Book;sans-serif" w:hAnsi="Avenir LT Pro 45 Book;sans-serif"/>
                  <w:b w:val="false"/>
                  <w:color w:val="0000FF"/>
                  <w:sz w:val="17"/>
                  <w:u w:val="single"/>
                </w:rPr>
                <w:t>PART I</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70">
              <w:r>
                <w:rPr>
                  <w:rStyle w:val="InternetLink"/>
                  <w:rFonts w:ascii="Avenir LT Pro 45 Book;sans-serif" w:hAnsi="Avenir LT Pro 45 Book;sans-serif"/>
                  <w:b w:val="false"/>
                  <w:color w:val="0000FF"/>
                  <w:sz w:val="17"/>
                  <w:u w:val="single"/>
                </w:rPr>
                <w:t>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70">
              <w:r>
                <w:rPr>
                  <w:rStyle w:val="InternetLink"/>
                  <w:rFonts w:ascii="Avenir LT Pro 45 Book;sans-serif" w:hAnsi="Avenir LT Pro 45 Book;sans-serif"/>
                  <w:b w:val="false"/>
                  <w:color w:val="0000FF"/>
                  <w:sz w:val="17"/>
                  <w:u w:val="single"/>
                </w:rPr>
                <w:t>IDENTITY OF DIRECTORS, SENIOR MANAGEMENT AND ADVISERS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70">
              <w:r>
                <w:rPr>
                  <w:rStyle w:val="InternetLink"/>
                  <w:rFonts w:ascii="Avenir LT Pro 45 Book;sans-serif" w:hAnsi="Avenir LT Pro 45 Book;sans-serif"/>
                  <w:b w:val="false"/>
                  <w:color w:val="0000FF"/>
                  <w:sz w:val="17"/>
                  <w:u w:val="single"/>
                </w:rPr>
                <w:t>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2.</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73">
              <w:r>
                <w:rPr>
                  <w:rStyle w:val="InternetLink"/>
                  <w:rFonts w:ascii="Avenir LT Pro 45 Book;sans-serif" w:hAnsi="Avenir LT Pro 45 Book;sans-serif"/>
                  <w:b w:val="false"/>
                  <w:color w:val="0000FF"/>
                  <w:sz w:val="17"/>
                  <w:u w:val="single"/>
                </w:rPr>
                <w:t>OFFER STATISTICS AND EXPECTED TIMETABLE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73">
              <w:r>
                <w:rPr>
                  <w:rStyle w:val="InternetLink"/>
                  <w:rFonts w:ascii="Avenir LT Pro 45 Book;sans-serif" w:hAnsi="Avenir LT Pro 45 Book;sans-serif"/>
                  <w:b w:val="false"/>
                  <w:color w:val="0000FF"/>
                  <w:sz w:val="17"/>
                  <w:u w:val="single"/>
                </w:rPr>
                <w:t>2</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3.</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76">
              <w:r>
                <w:rPr>
                  <w:rStyle w:val="InternetLink"/>
                  <w:rFonts w:ascii="Avenir LT Pro 45 Book;sans-serif" w:hAnsi="Avenir LT Pro 45 Book;sans-serif"/>
                  <w:b w:val="false"/>
                  <w:color w:val="0000FF"/>
                  <w:sz w:val="17"/>
                  <w:u w:val="single"/>
                </w:rPr>
                <w:t>KEY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76">
              <w:r>
                <w:rPr>
                  <w:rStyle w:val="InternetLink"/>
                  <w:rFonts w:ascii="Avenir LT Pro 45 Book;sans-serif" w:hAnsi="Avenir LT Pro 45 Book;sans-serif"/>
                  <w:b w:val="false"/>
                  <w:color w:val="0000FF"/>
                  <w:sz w:val="17"/>
                  <w:u w:val="single"/>
                </w:rPr>
                <w:t>3</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4.</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79">
              <w:r>
                <w:rPr>
                  <w:rStyle w:val="InternetLink"/>
                  <w:rFonts w:ascii="Avenir LT Pro 45 Book;sans-serif" w:hAnsi="Avenir LT Pro 45 Book;sans-serif"/>
                  <w:b w:val="false"/>
                  <w:color w:val="0000FF"/>
                  <w:sz w:val="17"/>
                  <w:u w:val="single"/>
                </w:rPr>
                <w:t>INFORMATION ON THE COMPANY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79">
              <w:r>
                <w:rPr>
                  <w:rStyle w:val="InternetLink"/>
                  <w:rFonts w:ascii="Avenir LT Pro 45 Book;sans-serif" w:hAnsi="Avenir LT Pro 45 Book;sans-serif"/>
                  <w:b w:val="false"/>
                  <w:color w:val="0000FF"/>
                  <w:sz w:val="17"/>
                  <w:u w:val="single"/>
                </w:rPr>
                <w:t>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4A.</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82">
              <w:r>
                <w:rPr>
                  <w:rStyle w:val="InternetLink"/>
                  <w:rFonts w:ascii="Avenir LT Pro 45 Book;sans-serif" w:hAnsi="Avenir LT Pro 45 Book;sans-serif"/>
                  <w:b w:val="false"/>
                  <w:color w:val="0000FF"/>
                  <w:sz w:val="17"/>
                  <w:u w:val="single"/>
                </w:rPr>
                <w:t>UNRESOLVED STAFF COMMENTS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82">
              <w:r>
                <w:rPr>
                  <w:rStyle w:val="InternetLink"/>
                  <w:rFonts w:ascii="Avenir LT Pro 45 Book;sans-serif" w:hAnsi="Avenir LT Pro 45 Book;sans-serif"/>
                  <w:b w:val="false"/>
                  <w:color w:val="0000FF"/>
                  <w:sz w:val="17"/>
                  <w:u w:val="single"/>
                </w:rPr>
                <w:t>27</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5.</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85">
              <w:r>
                <w:rPr>
                  <w:rStyle w:val="InternetLink"/>
                  <w:rFonts w:ascii="Avenir LT Pro 45 Book;sans-serif" w:hAnsi="Avenir LT Pro 45 Book;sans-serif"/>
                  <w:b w:val="false"/>
                  <w:color w:val="0000FF"/>
                  <w:sz w:val="17"/>
                  <w:u w:val="single"/>
                </w:rPr>
                <w:t>OPERATING AND FINANCIAL REVIEW AND PROSPECTS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85">
              <w:r>
                <w:rPr>
                  <w:rStyle w:val="InternetLink"/>
                  <w:rFonts w:ascii="Avenir LT Pro 45 Book;sans-serif" w:hAnsi="Avenir LT Pro 45 Book;sans-serif"/>
                  <w:b w:val="false"/>
                  <w:color w:val="0000FF"/>
                  <w:sz w:val="17"/>
                  <w:u w:val="single"/>
                </w:rPr>
                <w:t>28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6.</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88">
              <w:r>
                <w:rPr>
                  <w:rStyle w:val="InternetLink"/>
                  <w:rFonts w:ascii="Avenir LT Pro 45 Book;sans-serif" w:hAnsi="Avenir LT Pro 45 Book;sans-serif"/>
                  <w:b w:val="false"/>
                  <w:color w:val="0000FF"/>
                  <w:sz w:val="17"/>
                  <w:u w:val="single"/>
                </w:rPr>
                <w:t>DIRECTORS, SENIOR MANAGEMENT AND EMPLOYEES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88">
              <w:r>
                <w:rPr>
                  <w:rStyle w:val="InternetLink"/>
                  <w:rFonts w:ascii="Avenir LT Pro 45 Book;sans-serif" w:hAnsi="Avenir LT Pro 45 Book;sans-serif"/>
                  <w:b w:val="false"/>
                  <w:color w:val="0000FF"/>
                  <w:sz w:val="17"/>
                  <w:u w:val="single"/>
                </w:rPr>
                <w:t>30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7.</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91">
              <w:r>
                <w:rPr>
                  <w:rStyle w:val="InternetLink"/>
                  <w:rFonts w:ascii="Avenir LT Pro 45 Book;sans-serif" w:hAnsi="Avenir LT Pro 45 Book;sans-serif"/>
                  <w:b w:val="false"/>
                  <w:color w:val="0000FF"/>
                  <w:sz w:val="17"/>
                  <w:u w:val="single"/>
                </w:rPr>
                <w:t>MAJOR SHAREHOLDERS AND RELATED PARTY TRANSACTIONS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91">
              <w:r>
                <w:rPr>
                  <w:rStyle w:val="InternetLink"/>
                  <w:rFonts w:ascii="Avenir LT Pro 45 Book;sans-serif" w:hAnsi="Avenir LT Pro 45 Book;sans-serif"/>
                  <w:b w:val="false"/>
                  <w:color w:val="0000FF"/>
                  <w:sz w:val="17"/>
                  <w:u w:val="single"/>
                </w:rPr>
                <w:t>31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8.</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94">
              <w:r>
                <w:rPr>
                  <w:rStyle w:val="InternetLink"/>
                  <w:rFonts w:ascii="Avenir LT Pro 45 Book;sans-serif" w:hAnsi="Avenir LT Pro 45 Book;sans-serif"/>
                  <w:b w:val="false"/>
                  <w:color w:val="0000FF"/>
                  <w:sz w:val="17"/>
                  <w:u w:val="single"/>
                </w:rPr>
                <w:t>FINANCIAL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94">
              <w:r>
                <w:rPr>
                  <w:rStyle w:val="InternetLink"/>
                  <w:rFonts w:ascii="Avenir LT Pro 45 Book;sans-serif" w:hAnsi="Avenir LT Pro 45 Book;sans-serif"/>
                  <w:b w:val="false"/>
                  <w:color w:val="0000FF"/>
                  <w:sz w:val="17"/>
                  <w:u w:val="single"/>
                </w:rPr>
                <w:t>33</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9.</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97">
              <w:r>
                <w:rPr>
                  <w:rStyle w:val="InternetLink"/>
                  <w:rFonts w:ascii="Avenir LT Pro 45 Book;sans-serif" w:hAnsi="Avenir LT Pro 45 Book;sans-serif"/>
                  <w:b w:val="false"/>
                  <w:color w:val="0000FF"/>
                  <w:sz w:val="17"/>
                  <w:u w:val="single"/>
                </w:rPr>
                <w:t>THE OFFER AND LISTING</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97">
              <w:r>
                <w:rPr>
                  <w:rStyle w:val="InternetLink"/>
                  <w:rFonts w:ascii="Avenir LT Pro 45 Book;sans-serif" w:hAnsi="Avenir LT Pro 45 Book;sans-serif"/>
                  <w:b w:val="false"/>
                  <w:color w:val="0000FF"/>
                  <w:sz w:val="17"/>
                  <w:u w:val="single"/>
                </w:rPr>
                <w:t>34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10.</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00">
              <w:r>
                <w:rPr>
                  <w:rStyle w:val="InternetLink"/>
                  <w:rFonts w:ascii="Avenir LT Pro 45 Book;sans-serif" w:hAnsi="Avenir LT Pro 45 Book;sans-serif"/>
                  <w:b w:val="false"/>
                  <w:color w:val="0000FF"/>
                  <w:sz w:val="17"/>
                  <w:u w:val="single"/>
                </w:rPr>
                <w:t>ADDITIONAL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00">
              <w:r>
                <w:rPr>
                  <w:rStyle w:val="InternetLink"/>
                  <w:rFonts w:ascii="Avenir LT Pro 45 Book;sans-serif" w:hAnsi="Avenir LT Pro 45 Book;sans-serif"/>
                  <w:b w:val="false"/>
                  <w:color w:val="0000FF"/>
                  <w:sz w:val="17"/>
                  <w:u w:val="single"/>
                </w:rPr>
                <w:t>35</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11.</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03">
              <w:r>
                <w:rPr>
                  <w:rStyle w:val="InternetLink"/>
                  <w:rFonts w:ascii="Avenir LT Pro 45 Book;sans-serif" w:hAnsi="Avenir LT Pro 45 Book;sans-serif"/>
                  <w:b w:val="false"/>
                  <w:color w:val="0000FF"/>
                  <w:sz w:val="17"/>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03">
              <w:r>
                <w:rPr>
                  <w:rStyle w:val="InternetLink"/>
                  <w:rFonts w:ascii="Avenir LT Pro 45 Book;sans-serif" w:hAnsi="Avenir LT Pro 45 Book;sans-serif"/>
                  <w:b w:val="false"/>
                  <w:color w:val="0000FF"/>
                  <w:sz w:val="17"/>
                  <w:u w:val="single"/>
                </w:rPr>
                <w:t>46</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12.</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06">
              <w:r>
                <w:rPr>
                  <w:rStyle w:val="InternetLink"/>
                  <w:rFonts w:ascii="Avenir LT Pro 45 Book;sans-serif" w:hAnsi="Avenir LT Pro 45 Book;sans-serif"/>
                  <w:b w:val="false"/>
                  <w:color w:val="0000FF"/>
                  <w:sz w:val="17"/>
                  <w:u w:val="single"/>
                </w:rPr>
                <w:t>DESCRIPTION OF SECURITIES OTHER THAN EQUITY SECURITIES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06">
              <w:r>
                <w:rPr>
                  <w:rStyle w:val="InternetLink"/>
                  <w:rFonts w:ascii="Avenir LT Pro 45 Book;sans-serif" w:hAnsi="Avenir LT Pro 45 Book;sans-serif"/>
                  <w:b w:val="false"/>
                  <w:color w:val="0000FF"/>
                  <w:sz w:val="17"/>
                  <w:u w:val="single"/>
                </w:rPr>
                <w:t>47</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1afee01c248347e3bee5e1e589f0cd5c_109">
              <w:r>
                <w:rPr>
                  <w:rStyle w:val="InternetLink"/>
                  <w:rFonts w:ascii="Avenir LT Pro 45 Book;sans-serif" w:hAnsi="Avenir LT Pro 45 Book;sans-serif"/>
                  <w:b w:val="false"/>
                  <w:color w:val="0000FF"/>
                  <w:sz w:val="17"/>
                  <w:u w:val="single"/>
                </w:rPr>
                <w:t>PART II</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09">
              <w:r>
                <w:rPr>
                  <w:rStyle w:val="InternetLink"/>
                  <w:rFonts w:ascii="Avenir LT Pro 45 Book;sans-serif" w:hAnsi="Avenir LT Pro 45 Book;sans-serif"/>
                  <w:b w:val="false"/>
                  <w:color w:val="0000FF"/>
                  <w:sz w:val="17"/>
                  <w:u w:val="single"/>
                </w:rPr>
                <w:t>49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13.</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09">
              <w:r>
                <w:rPr>
                  <w:rStyle w:val="InternetLink"/>
                  <w:rFonts w:ascii="Avenir LT Pro 45 Book;sans-serif" w:hAnsi="Avenir LT Pro 45 Book;sans-serif"/>
                  <w:b w:val="false"/>
                  <w:color w:val="0000FF"/>
                  <w:sz w:val="17"/>
                  <w:u w:val="single"/>
                </w:rPr>
                <w:t>DEFAULTS, DIVIDEND ARREARAGES AND DELINQUENCIES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09">
              <w:r>
                <w:rPr>
                  <w:rStyle w:val="InternetLink"/>
                  <w:rFonts w:ascii="Avenir LT Pro 45 Book;sans-serif" w:hAnsi="Avenir LT Pro 45 Book;sans-serif"/>
                  <w:b w:val="false"/>
                  <w:color w:val="0000FF"/>
                  <w:sz w:val="17"/>
                  <w:u w:val="single"/>
                </w:rPr>
                <w:t>49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14.</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2">
              <w:r>
                <w:rPr>
                  <w:rStyle w:val="InternetLink"/>
                  <w:rFonts w:ascii="Avenir LT Pro 45 Book;sans-serif" w:hAnsi="Avenir LT Pro 45 Book;sans-serif"/>
                  <w:b w:val="false"/>
                  <w:color w:val="0000FF"/>
                  <w:sz w:val="17"/>
                  <w:u w:val="single"/>
                </w:rPr>
                <w:t>MATERIAL MODIFICATIONS TO THE RIGHTS OF SECURITY HOLDERS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2">
              <w:r>
                <w:rPr>
                  <w:rStyle w:val="InternetLink"/>
                  <w:rFonts w:ascii="Avenir LT Pro 45 Book;sans-serif" w:hAnsi="Avenir LT Pro 45 Book;sans-serif"/>
                  <w:b w:val="false"/>
                  <w:color w:val="0000FF"/>
                  <w:sz w:val="17"/>
                  <w:u w:val="single"/>
                </w:rPr>
                <w:t>50</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15.</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5">
              <w:r>
                <w:rPr>
                  <w:rStyle w:val="InternetLink"/>
                  <w:rFonts w:ascii="Avenir LT Pro 45 Book;sans-serif" w:hAnsi="Avenir LT Pro 45 Book;sans-serif"/>
                  <w:b w:val="false"/>
                  <w:color w:val="0000FF"/>
                  <w:sz w:val="17"/>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5">
              <w:r>
                <w:rPr>
                  <w:rStyle w:val="InternetLink"/>
                  <w:rFonts w:ascii="Avenir LT Pro 45 Book;sans-serif" w:hAnsi="Avenir LT Pro 45 Book;sans-serif"/>
                  <w:b w:val="false"/>
                  <w:color w:val="0000FF"/>
                  <w:sz w:val="17"/>
                  <w:u w:val="single"/>
                </w:rPr>
                <w:t>51</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RESERVED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16A.</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AUDIT COMMITTEE FINANCIAL EXPERT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16B.</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CODE OF ETHICS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16C.</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PRINCIPAL ACCOUNTANT FEES AND SERVICES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16D.</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EXEMPTIONS FROM THE LISTING STANDARDS FOR AUDIT COMMITTEES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16E.</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PURCHASES OF EQUITY SECURITIES BY THE ISSUER AND AFFILIATED PURCHASERS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16F.</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CHANGE IN REGISTRANT’S CERTIFYING ACCOUNTANT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16G.</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CORPORATE GOVERNANCE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16H.</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MINE SAFETY DISCLOSURE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16I.</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18">
              <w:r>
                <w:rPr>
                  <w:rStyle w:val="InternetLink"/>
                  <w:rFonts w:ascii="Avenir LT Pro 45 Book;sans-serif" w:hAnsi="Avenir LT Pro 45 Book;sans-serif"/>
                  <w:b w:val="false"/>
                  <w:color w:val="0000FF"/>
                  <w:sz w:val="17"/>
                  <w:u w:val="single"/>
                </w:rPr>
                <w:t>DISCLOSURE REGARDING FOREIGN JURISDICTIONS THAT PREVENT INSPECTIONS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18">
              <w:r>
                <w:rPr>
                  <w:rStyle w:val="InternetLink"/>
                  <w:rFonts w:ascii="Avenir LT Pro 45 Book;sans-serif" w:hAnsi="Avenir LT Pro 45 Book;sans-serif"/>
                  <w:b w:val="false"/>
                  <w:color w:val="0000FF"/>
                  <w:sz w:val="17"/>
                  <w:u w:val="single"/>
                </w:rPr>
                <w:t>54</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1afee01c248347e3bee5e1e589f0cd5c_121">
              <w:r>
                <w:rPr>
                  <w:rStyle w:val="InternetLink"/>
                  <w:rFonts w:ascii="Avenir LT Pro 45 Book;sans-serif" w:hAnsi="Avenir LT Pro 45 Book;sans-serif"/>
                  <w:b w:val="false"/>
                  <w:color w:val="0000FF"/>
                  <w:sz w:val="17"/>
                  <w:u w:val="single"/>
                </w:rPr>
                <w:t>PART III</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21">
              <w:r>
                <w:rPr>
                  <w:rStyle w:val="InternetLink"/>
                  <w:rFonts w:ascii="Avenir LT Pro 45 Book;sans-serif" w:hAnsi="Avenir LT Pro 45 Book;sans-serif"/>
                  <w:b w:val="false"/>
                  <w:color w:val="0000FF"/>
                  <w:sz w:val="17"/>
                  <w:u w:val="single"/>
                </w:rPr>
                <w:t>58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17.</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21">
              <w:r>
                <w:rPr>
                  <w:rStyle w:val="InternetLink"/>
                  <w:rFonts w:ascii="Avenir LT Pro 45 Book;sans-serif" w:hAnsi="Avenir LT Pro 45 Book;sans-serif"/>
                  <w:b w:val="false"/>
                  <w:color w:val="0000FF"/>
                  <w:sz w:val="17"/>
                  <w:u w:val="single"/>
                </w:rPr>
                <w:t>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21">
              <w:r>
                <w:rPr>
                  <w:rStyle w:val="InternetLink"/>
                  <w:rFonts w:ascii="Avenir LT Pro 45 Book;sans-serif" w:hAnsi="Avenir LT Pro 45 Book;sans-serif"/>
                  <w:b w:val="false"/>
                  <w:color w:val="0000FF"/>
                  <w:sz w:val="17"/>
                  <w:u w:val="single"/>
                </w:rPr>
                <w:t>58</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18.</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24">
              <w:r>
                <w:rPr>
                  <w:rStyle w:val="InternetLink"/>
                  <w:rFonts w:ascii="Avenir LT Pro 45 Book;sans-serif" w:hAnsi="Avenir LT Pro 45 Book;sans-serif"/>
                  <w:b w:val="false"/>
                  <w:color w:val="0000FF"/>
                  <w:sz w:val="17"/>
                  <w:u w:val="single"/>
                </w:rPr>
                <w:t>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24">
              <w:r>
                <w:rPr>
                  <w:rStyle w:val="InternetLink"/>
                  <w:rFonts w:ascii="Avenir LT Pro 45 Book;sans-serif" w:hAnsi="Avenir LT Pro 45 Book;sans-serif"/>
                  <w:b w:val="false"/>
                  <w:color w:val="0000FF"/>
                  <w:sz w:val="17"/>
                  <w:u w:val="single"/>
                </w:rPr>
                <w:t>59</w:t>
              </w:r>
            </w:hyperlink>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19.</w:t>
            </w:r>
          </w:p>
        </w:tc>
        <w:tc>
          <w:tcPr>
            <w:tcW w:w="7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afee01c248347e3bee5e1e589f0cd5c_127">
              <w:r>
                <w:rPr>
                  <w:rStyle w:val="InternetLink"/>
                  <w:rFonts w:ascii="Avenir LT Pro 45 Book;sans-serif" w:hAnsi="Avenir LT Pro 45 Book;sans-serif"/>
                  <w:b w:val="false"/>
                  <w:color w:val="0000FF"/>
                  <w:sz w:val="17"/>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1afee01c248347e3bee5e1e589f0cd5c_127">
              <w:r>
                <w:rPr>
                  <w:rStyle w:val="InternetLink"/>
                  <w:rFonts w:ascii="Avenir LT Pro 45 Book;sans-serif" w:hAnsi="Avenir LT Pro 45 Book;sans-serif"/>
                  <w:b w:val="false"/>
                  <w:color w:val="0000FF"/>
                  <w:sz w:val="17"/>
                  <w:u w:val="single"/>
                </w:rPr>
                <w:t>60</w:t>
              </w:r>
            </w:hyperlink>
          </w:p>
        </w:tc>
      </w:tr>
    </w:tbl>
    <w:p>
      <w:pPr>
        <w:pStyle w:val="TextBody"/>
        <w:spacing w:before="0" w:after="105"/>
        <w:jc w:val="center"/>
        <w:rPr/>
      </w:pPr>
      <w:r>
        <w:rPr/>
      </w:r>
    </w:p>
    <w:p>
      <w:pPr>
        <w:pStyle w:val="TextBody"/>
        <w:spacing w:before="100" w:after="10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5730"/>
                <wp:effectExtent l="0" t="0" r="0" b="0"/>
                <wp:wrapNone/>
                <wp:docPr id="3" name="Frame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Special Note Regarding Forward-Looking Statements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annual report on Form 20-F contains forward-looking statements that involve substantial risks and uncertainties. All statements contained in this report, other than statements of historical fact, including statements regarding our and our Founded Entities' strategy, future operations, future financial position, future revenues, projected costs, prospects, plans and objectives of management, are forward-looking statements. The words “anticipate,” “believe,” “estimate,” “expect,” “intend,” “may,” “plan,” “predict,” “project,” “target,” “potential,” “would,” “could,” “should,” “continue” and similar expressions are intended to identify forward-looking statements, although not all forward-looking statements contain these identifying words. The forward-looking statements in this annual report on Form 20-F include, among other things, statements about: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ability to realize value from our Founded Entities, which may be impacted if we reduce our ownership to a minority interest or otherwise cede control to other investors through contractual agreements or otherwise;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success, cost and timing of our clinical development of our Wholly Owned Programs, including the progress of, and results from, our preclinical and clinical trials of LYT-100, LYT-200, LYT-300, LYT-310, LYT-503/IMB-150, our technology platforms and other potential therapeutic candidates within our Wholly Owned Pipeline;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ability to obtain and maintain regulatory clearance, certification, authorization or approval of the therapeutic candidates within our Wholly Owned Pipeline or our Founded Entities, and any related restrictions, limitations or warnings in the label of any of the therapeutic candidates if cleared, certified, authorized or approved;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ability to compete with companies currently marketing or engaged in the development of treatments for indications within our Wholly Owned Pipeline or those of our Founded Entities are designed to target;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plans to pursue research and development of other future therapeutic candidates;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potential advantages of the therapeutic candidates within our Wholly Owned Pipeline and the therapeutic candidates being developed by our Founded Entities;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rate and degree of market acceptance and clinical utility of our therapeutic candidates;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success of our collaborations and partnerships with third parties;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estimates regarding the potential market opportunity for the therapeutic candidates within our Wholly Owned Pipeline and the therapeutic candidates being developed by our Founded Entities;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sales, marketing and distribution capabilities and strategy;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ability to establish and maintain arrangements for manufacture of the therapeutic candidates within our Wholly Owned Pipeline and therapeutic candidates being developed by our Founded Entities;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intellectual property position;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expectations related to the use of capital;</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effect of the COVID-19 pandemic, including mitigation efforts and economic effects, on any of the foregoing or other aspects of our business operations;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estimates regarding expenses, future revenues, capital requirements and needs for additional financing;</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impact of government laws and regulations; and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competitive position.</w:t>
      </w:r>
    </w:p>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5730"/>
                <wp:effectExtent l="0" t="0" r="0" b="0"/>
                <wp:wrapNone/>
                <wp:docPr id="4" name="Frame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SUMMARY OF RISK FACTORS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risk factors described below are a summary of the principal risk factors associated with our business. These are not the only risks we face. You should carefully consider these risk factors, together with the risk factors incorporated by reference into Item 3D. of this annual report on Form 20-F and the other reports and documents filed by us with the SEC.</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As of December 31, 2022, we had never generated revenue from the therapeutic candidates within our Wholly Owned Pipeline, and we may never be operationally profitable.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may require substantial additional funding to achieve our business goals. If we are unable to obtain this funding when needed and on acceptable terms, we could be forced to delay, limit or terminate certain of our therapeutic development efforts. Certain of our Founded Entities will similarly require substantial additional funding to achieve their business goals.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ability to realize value from our Founded Entities may be impacted if we reduce our ownership or otherwise cede control to other investors through contractual agreements or otherwise.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have limited information about and limited control or influence over our Non-Controlled Founded Entities.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therapeutic candidates within our Wholly Owned Pipeline and most of our Founded Entities’ therapeutic candidates are in preclinical or clinical development, which is a lengthy and expensive process with uncertain outcomes and the potential for substantial delays. We cannot give any assurance that any of our and our Founded Entities’ therapeutic candidates will receive regulatory clearance, authorization or approval, which is necessary before they can be commercialized.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Preclinical development is uncertain. Our preclinical programs may experience delays or may never advance to clinical trials, which would adversely affect our ability to obtain regulatory clearance, authorization or approvals or commercialize these programs on a timely basis or at all, which would have an adverse effect on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Clinical trials of our or our Founded Entities’ therapeutic candidates may be delayed, and certain programs may never advance in the clinic or may be more costly to conduct than we anticipate, any of which can affect our ability to fund our company and would have a material adverse impact on our platform or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encounter difficulties enrolling patients in clinical trials, our clinical development activities could be delayed or otherwise adversely affected.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Use of the therapeutic candidates within our Wholly Owned Pipeline or the therapeutic candidates being developed by our Founded Entities could be associated with side effects, AEs or other properties or safety risks, which could delay or halt their clinical development, prevent their regulatory clearance, authorization or approval, cause us to suspend or discontinue clinical trials, abandon a therapeutic candidate, limit their commercial potential, if cleared, authorized or approved, or result in other significant negative consequences that could severely harm our business, prospects, operating results and financial condition.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clinical trials may fail to demonstrate substantial evidence of the safety and effectiveness of therapeutic candidates that we may identify and pursue for their intended uses, which would prevent, delay or limit the scope of regulatory clearance, certification, authorization or approval and potential commercialization.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Even if we complete the necessary preclinical studies and clinical trials, the marketing approval and certification process is expensive, time-consuming and uncertain and may prevent us from obtaining clearance, certification, authorization or approvals for the potential commercialization of therapeutic candidates.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are unable to obtain regulatory clearance, certification, authorization or approval in one or more jurisdictions for any therapeutic candidates that we may identify and develop, our business could be substantially harmed.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Certain of the therapeutic candidates being developed by us or our Founded Entities are novel, complex and difficult to manufacture. We could experience manufacturing problems that result in delays in our development or commercialization programs or otherwise harm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If, in the future, we are unable to establish sales and marketing capabilities or enter into agreements with third parties to sell and market any therapeutic candidates we may develop, we may not be successful in commercializing those therapeutic candidates if and when they are approved.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fail to comply with healthcare laws, we could face substantial penalties and our business, operations and financial conditions could be adversely affected.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therapeutic candidates we may develop and ultimately harm our financial condition.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We rely on third parties to assist in conducting our clinical trials and some aspects of our research and preclinical testing, and those third parties may not perform satisfactorily, including failing to meet deadlines for the completion of such trials, research, or testing.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or our Founded Entities are unable to obtain and maintain sufficient intellectual property protection for our or our Founded Entities’ existing therapeutic candidates or any other therapeutic candidates that we or they may identify, or if the scope of the intellectual property protection we or they currently have or obtain in the future is not sufficiently broad, our competitors could develop and commercialize therapeutic candidates similar or identical to ours, and our ability to successfully commercialize our existing therapeutic candidates and any other therapeutic candidates that we or they may pursue may be impaired.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may not be able to protect our intellectual property rights throughout the world.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or our Founded Entities’ proprietary rights may not adequately protect our technologies and therapeutic candidates, and do not necessarily address all potential threats to our competitive advantage.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failure to maintain our licenses and realize their benefits may harm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or our Founded Entities fail to comply with our obligations in the agreements under which we license intellectual property rights from third parties or these agreements are terminated or we or our Founded Entities otherwise experience disruptions to our business relationships with our licensors, we could lose intellectual property rights that are important to our business.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5730"/>
                <wp:effectExtent l="0" t="0" r="0" b="0"/>
                <wp:wrapNone/>
                <wp:docPr id="5" name="Frame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iii</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Patent terms may be inadequate to protect our competitive position on therapeutic candidates for an adequate amount of time.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Issued patents covering our Wholly Owned Programs or our Founded Entities’ therapeutic candidates could be found invalid or unenforceable if challenged in courts or patent offices.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If we are unable to protect the confidentiality of our trade secrets, the value of our technology could be materially adversely affected and our business would be harmed.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and our Founded Entities may be subject to claims challenging the inventorship of our patents and other intellectual property.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COVID-19 pandemic has impacted, and may in the future impact, our business, including our clinical trials and preclinical studies, and may materially and adversely affect our business in the future.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Failures in one or more of our programs could adversely impact other programs and have a material adverse impact on our business, results of operations and ability to fund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Our business is highly dependent on the clinical advancement of our programs and our success in identifying potential therapeutic candidates . Delay or failure to advance our programs could adversely impact our business.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Our future success depends on our ability to retain key employees, directors, consultants and advisors and to attract, retain and motivate qualified personnel.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market price of our ADSs has been and will likely continue to be highly volatile, and you could lose all or part of your investment.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Holders of ADSs are not treated as holders of our ordinary shares.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If we are unable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5730"/>
                <wp:effectExtent l="0" t="0" r="0" b="0"/>
                <wp:wrapNone/>
                <wp:docPr id="6" name="Frame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iv</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EXPLANATORY NOTE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Pursuant to Rule 12b-23(a) of the Securities Exchange Act of 1934, as amended, the information for the 2022 Form 20-F of PureTech Health plc (the “Company”) set out below is being incorporated by reference from PureTech’s “Annual Report and Accounts 2022”, portions of which are included as exhibit 15.1 to this annual report on Form 20-F. Only the information set out below with specific reference to items and pages of PureTech's "Annual Report and Accounts 2022" is deemed to be filed as part of this annual report on Form 20-F. Other information contained within PureTech's "Annual Report and Accounts 2022" that is not specified, including graphs and tabular data, is not included in this annual report on Form 20-F and is not deemed to be filed as part of this annual report on Form 20-F. Photographs are also not included. References herein to PureTech's websites are textual references only and information on or accessible through such websites does not form part of and is not incorporated into this annual report on Form 20-F.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References below to major headings include all information under such major headings, including subheadings, unless such reference is a reference to a subheading, in which case such reference includes only the information contained under such subheading. Unless the context otherwise requires, “PureTech” and “PureTech Health” refer to the Company, which is comprised of PureTech and its Founded Entities (together, the “Group”). “Founded Entities” are comprised of “Controlled Founded Entities” and “Non-Controlled Founded Entities.” References in this annual report on Form 20-F to “Controlled Founded Entities” refer to Follica, Incorporated, Entrega, Inc. and Vedanta Biosciences, Inc., for all periods prior to May 25, 2022, Sonde Health Inc., and for all periods prior to June 10, 2021, Alivio Therapeutics, Inc. References to our “Non-Controlled Founded Entities” refer to Akili Interactive Labs, Inc., Karuna Therapeutics, Inc., VorBio, Inc. and Gelesis, Inc., for all periods following May 25, 2022, Sonde Health, Inc., and for all periods prior to December 18, 2019, resTORbio, Inc. PureTech formed each of its Founded Entities and has been involved in development efforts in varying degrees. In the case of each of the Company’s Controlled Founded Entities, the Company continues to maintain majority voting control. With respect to Non-Controlled Founded Entities, the Company may benefit from appreciation in its investment as a shareholder of such companies. </w:t>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5730"/>
                <wp:effectExtent l="0" t="0" r="0" b="0"/>
                <wp:wrapNone/>
                <wp:docPr id="7" name="Frame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 </w:t>
      </w:r>
    </w:p>
    <w:tbl>
      <w:tblPr>
        <w:tblW w:w="8264" w:type="dxa"/>
        <w:jc w:val="left"/>
        <w:tblInd w:w="0" w:type="dxa"/>
        <w:tblCellMar>
          <w:top w:w="28" w:type="dxa"/>
          <w:left w:w="28" w:type="dxa"/>
          <w:bottom w:w="28" w:type="dxa"/>
          <w:right w:w="28" w:type="dxa"/>
        </w:tblCellMar>
      </w:tblPr>
      <w:tblGrid>
        <w:gridCol w:w="342"/>
        <w:gridCol w:w="300"/>
        <w:gridCol w:w="303"/>
        <w:gridCol w:w="2144"/>
        <w:gridCol w:w="2144"/>
        <w:gridCol w:w="3031"/>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3031"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w:t>
            </w:r>
          </w:p>
        </w:tc>
        <w:tc>
          <w:tcPr>
            <w:tcW w:w="7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IDENTITY OF DIRECTORS, SENIOR MANAGEMENT AND ADVISERS.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5730"/>
                <wp:effectExtent l="0" t="0" r="0" b="0"/>
                <wp:wrapNone/>
                <wp:docPr id="8" name="Frame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w:t>
                      </w:r>
                    </w:p>
                  </w:txbxContent>
                </v:textbox>
              </v:rect>
            </w:pict>
          </mc:Fallback>
        </mc:AlternateContent>
      </w:r>
    </w:p>
    <w:p>
      <w:pPr>
        <w:pStyle w:val="TextBody"/>
        <w:spacing w:before="0" w:after="105"/>
        <w:rPr/>
      </w:pPr>
      <w:r>
        <w:rPr/>
      </w:r>
    </w:p>
    <w:p>
      <w:pPr>
        <w:pStyle w:val="TextBody"/>
        <w:spacing w:before="0" w:after="105"/>
        <w:rPr/>
      </w:pPr>
      <w:r>
        <w:rPr/>
      </w:r>
    </w:p>
    <w:tbl>
      <w:tblPr>
        <w:tblW w:w="6240" w:type="dxa"/>
        <w:jc w:val="left"/>
        <w:tblInd w:w="0" w:type="dxa"/>
        <w:tblCellMar>
          <w:top w:w="28" w:type="dxa"/>
          <w:left w:w="28" w:type="dxa"/>
          <w:bottom w:w="28" w:type="dxa"/>
          <w:right w:w="28" w:type="dxa"/>
        </w:tblCellMar>
      </w:tblPr>
      <w:tblGrid>
        <w:gridCol w:w="342"/>
        <w:gridCol w:w="300"/>
        <w:gridCol w:w="303"/>
        <w:gridCol w:w="1550"/>
        <w:gridCol w:w="1550"/>
        <w:gridCol w:w="219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2.</w:t>
            </w:r>
          </w:p>
        </w:tc>
        <w:tc>
          <w:tcPr>
            <w:tcW w:w="52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OFFER STATISTICS AND EXPECTED TIMETABLE</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5730"/>
                <wp:effectExtent l="0" t="0" r="0" b="0"/>
                <wp:wrapNone/>
                <wp:docPr id="9" name="Frame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t>
                      </w:r>
                    </w:p>
                  </w:txbxContent>
                </v:textbox>
              </v:rect>
            </w:pict>
          </mc:Fallback>
        </mc:AlternateContent>
      </w:r>
    </w:p>
    <w:p>
      <w:pPr>
        <w:pStyle w:val="TextBody"/>
        <w:spacing w:before="0" w:after="105"/>
        <w:rPr/>
      </w:pPr>
      <w:r>
        <w:rPr/>
      </w:r>
    </w:p>
    <w:p>
      <w:pPr>
        <w:pStyle w:val="TextBody"/>
        <w:spacing w:before="0" w:after="105"/>
        <w:rPr/>
      </w:pPr>
      <w:r>
        <w:rPr/>
      </w:r>
    </w:p>
    <w:tbl>
      <w:tblPr>
        <w:tblW w:w="3164" w:type="dxa"/>
        <w:jc w:val="left"/>
        <w:tblInd w:w="0" w:type="dxa"/>
        <w:tblCellMar>
          <w:top w:w="28" w:type="dxa"/>
          <w:left w:w="28" w:type="dxa"/>
          <w:bottom w:w="28" w:type="dxa"/>
          <w:right w:w="28" w:type="dxa"/>
        </w:tblCellMar>
      </w:tblPr>
      <w:tblGrid>
        <w:gridCol w:w="342"/>
        <w:gridCol w:w="300"/>
        <w:gridCol w:w="303"/>
        <w:gridCol w:w="649"/>
        <w:gridCol w:w="649"/>
        <w:gridCol w:w="921"/>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3.</w:t>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KEY INFORMATION</w:t>
            </w:r>
          </w:p>
        </w:tc>
      </w:tr>
    </w:tbl>
    <w:p>
      <w:pPr>
        <w:pStyle w:val="TextBody"/>
        <w:spacing w:lineRule="auto" w:line="288" w:before="100" w:after="100"/>
        <w:rPr/>
      </w:pPr>
      <w:r>
        <w:rPr>
          <w:rFonts w:ascii="Avenir LT Pro 85 Heavy;sans-serif" w:hAnsi="Avenir LT Pro 85 Heavy;sans-serif"/>
          <w:b/>
          <w:color w:val="183964"/>
          <w:sz w:val="17"/>
        </w:rPr>
        <w:t xml:space="preserve">A. </w:t>
      </w:r>
      <w:r>
        <w:rPr>
          <w:rFonts w:ascii="Avenir LT Pro 85 Heavy;sans-serif" w:hAnsi="Avenir LT Pro 85 Heavy;sans-serif"/>
          <w:b w:val="false"/>
          <w:color w:val="183964"/>
          <w:sz w:val="17"/>
        </w:rPr>
        <w:t xml:space="preserve">[Reserved]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CAPITALIZATION AND INDEBTEDNESS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REASONS FOR THE OFFER AND USE OF PROCEEDS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D. RISK FACTORS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“Risk Factor Annex" on pages 175 to 211 of PureTech’s “Annual Report and Accounts 2022” included as exhibit 15.1 to this annual report on Form 20-F is incorporated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5730"/>
                <wp:effectExtent l="0" t="0" r="0" b="0"/>
                <wp:wrapNone/>
                <wp:docPr id="10" name="Frame1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w:t>
                      </w:r>
                    </w:p>
                  </w:txbxContent>
                </v:textbox>
              </v:rect>
            </w:pict>
          </mc:Fallback>
        </mc:AlternateContent>
      </w:r>
    </w:p>
    <w:p>
      <w:pPr>
        <w:pStyle w:val="TextBody"/>
        <w:spacing w:before="0" w:after="105"/>
        <w:rPr/>
      </w:pPr>
      <w:r>
        <w:rPr/>
      </w:r>
    </w:p>
    <w:p>
      <w:pPr>
        <w:pStyle w:val="TextBody"/>
        <w:spacing w:before="0" w:after="105"/>
        <w:rPr/>
      </w:pPr>
      <w:r>
        <w:rPr/>
      </w:r>
    </w:p>
    <w:tbl>
      <w:tblPr>
        <w:tblW w:w="4770" w:type="dxa"/>
        <w:jc w:val="left"/>
        <w:tblInd w:w="0" w:type="dxa"/>
        <w:tblCellMar>
          <w:top w:w="28" w:type="dxa"/>
          <w:left w:w="28" w:type="dxa"/>
          <w:bottom w:w="28" w:type="dxa"/>
          <w:right w:w="28" w:type="dxa"/>
        </w:tblCellMar>
      </w:tblPr>
      <w:tblGrid>
        <w:gridCol w:w="342"/>
        <w:gridCol w:w="300"/>
        <w:gridCol w:w="303"/>
        <w:gridCol w:w="1119"/>
        <w:gridCol w:w="1119"/>
        <w:gridCol w:w="1587"/>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4.</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INFORMATION ON THE COMPANY</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HISTORY AND DEVELOPMENT OF THE COMPANY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set forth under the heading "History and Development of the Company" on page 174 of PureTech’s “Annual Report and Accounts 2022” included as exhibit 15.1 to this annual report on Form 20-F is incorporated by reference.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a description of our principal capital expenditures and divestitures for the three years ended December 31, 2022 and for those currently in progress, see Item 5. “Operating and Financial Review and Prospects—A. Operating Results”.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United States Securities and Exchange Commission (the “SEC”) maintains an internet website that contains reports, proxy and information statements, and other information regarding issuers, like us, that file electronically with the SEC. The address of that website is www.sec.gov. We also maintain an Internet website at www.puretechhealth.com. The information contained on, or that may be accessed through, our website is not part of, and is not incorporated into, annual report on Form 20-F.</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BUSINESS OVERVIEW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by reference herein: “Highlights of the Year—2022” (for the years of 2020, 2021 and 2022) on page 1, “Components of Our Value” on pages 6to 7, "PureTech’s Wholly Owned Programs" on pages 8 to 11, “ESG Report—Chapter 1: Patients-Ensuring Drug Efficacy and Safety” on page 22, “Risk Management—Risks related to regulatory approval" on page 45 and "Risk Management—Risks related to intellectual property protection" on page 46, “Financial Review—Revenue” on page 54, in each case of PureTech's "Annual Report and Accounts 2022" included as exhibit 15.1 to this annual report on Form 20-F, “Consolidated Statements of Comprehensive Income/(Loss),” “Notes to the Consolidated Financial Statements—Note 3.—Revenue” and “Notes to the Consolidated Financial Statements—Note 4.—Segment information,” in each case of our audited consolidated financial statements included elsewhere in this annual report on Form 20-F. Seasonality does not materially impact the Company's main business.</w:t>
      </w:r>
    </w:p>
    <w:p>
      <w:pPr>
        <w:pStyle w:val="TextBody"/>
        <w:spacing w:lineRule="auto" w:line="288" w:before="0" w:after="0"/>
        <w:rPr>
          <w:rFonts w:ascii="Avenir LT Pro 45 Book;sans-serif" w:hAnsi="Avenir LT Pro 45 Book;sans-serif"/>
          <w:b/>
          <w:color w:val="183964"/>
          <w:sz w:val="17"/>
        </w:rPr>
      </w:pPr>
      <w:r>
        <w:rPr>
          <w:rFonts w:ascii="Avenir LT Pro 45 Book;sans-serif" w:hAnsi="Avenir LT Pro 45 Book;sans-serif"/>
          <w:b/>
          <w:color w:val="183964"/>
          <w:sz w:val="17"/>
        </w:rPr>
        <w:t>Competition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biotechnology and pharmaceutical industries utilize rapidly advancing technologies and are characterized by intense competition. There is also a strong emphasis on intellectual property and proprietary products. Our pipeline builds on validated biology of known therapeutics while applying unique inventive steps that improve the clinical pharmacology. We further de-risk programs with key experiments at an early stage to validate the underlying value proposition. We believe that our technology, drug discovery and development expertise and capabilities enable such strong pipeline creation and provide us with a competitive advantage. However, we will continue to face competition from different sources including major pharmaceutical companies, biotechnology companies, academic institutions, government agencies, and public and private research institutions. In addition, there are many companies that have approved therapeutics for some of our target indications. For any products that we eventually commercialize, we will not only compete with existing therapies but also compete with new therapies that may become available in the future.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to the competition we will face from the parties described above, we face competition for certain of the product candidates we are developing internally.</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LYT-100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IPF, there are two approved drugs, pirfenidone (Esbriet), marketed by Roche, and nintedanib (Ofev), marketed by Boehringer Ingelheim. These drugs have unfavorable tolerability profiles, leading to sustained unmet need for novel therapies. In May 2022, a generic version of pirfenidone was approved in the US. Other potential competitive product candidates in various stages of development include, but are not limited to: Fibrogen’s pamrevlumab in Phase 3 clinical trials, United Therapeutics’ treprostinil in Phase 3 clinical trials, Boehringer Ingelheim’s BI1015550 in Phase 3 development, Avalyn’s AP01 which is expected to enter a Phase 3 trial , Pliant Therapeutics’ PLN-74809 in Phase 2 clinical development, Horizon Therapeutics’ HZN-825 in Phase 2 clinical development, BMS’ BMS-986278 in Phase 2 clinical development, and Galecto’s GB0139 in Phase 2 clinical development.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LYT-200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aware of one current drug product candidate targeting galectin-9, FibroGen’s FG-3165, which FibroGen has previously disclosed, is expected to enter clinical development in the second half of 2023. Additionally, if we are successful in developing LYT-200 as an immuno-oncology (IO) treatment we would expect to compete with currently approved IO therapies and those that may be developed in the future. Current marketed IO products include CTLA-4, such as BMS’ Yervoy, and PD-1/PD-L1, such as BMS’ Opdivo, Merck’s Keytruda and Genentech’s Tecentriq, and T cell engager immunotherapies, such as Amgen’s Blincyto. In addition, there are other academic groups and/or companies that may be involved in pre-clinical research centered around galectin-9 as a therapeutic target.</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LYT-300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GABAA positive allosteric modulators, there are three approved drugs, allopregnanolone (Zulresso), marketed by Sage Therapeutics, ganaxolone (Ztalmy), marketed by Marinus Pharmaceuticals, and cenobamate (Xcopri), marketed by SK Life Science. Other potential competitive product candidates in various stages of development include, but are not limited to, Sage Therapeutics’ SAGE-217 (zuranolone) which has completed a New Drug Application submission to the FDA, Cerevel’s darigabat in Phase 2 clinical development, and Sage’s SAGE-324 in Phase 2 clinical development.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LYT-310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cannabidiol agents, there is one FDA approved drug, Epidiolex, marketed by Jazz Pharmaceuticals (originally GW Pharmaceuticals). Other potential competitive product candidates in various stages of development include Zynerba Pharmaceuticals’ ZyGel in Phase 3 clinical development, Cardiol Therapeutics’ Cardiol Rx in Phase 2 clinical development, and Emerald Health Pharmaceuticals’ EPH-101 in Phase 2 clinical development.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5730"/>
                <wp:effectExtent l="0" t="0" r="0" b="0"/>
                <wp:wrapNone/>
                <wp:docPr id="11" name="Frame1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LYT-503/IMB-150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interstitial cystitis/bladder pain syndrome, there are a few FDA approved agents including JnJ’s Elmiron, , and Mylan Pharmaceutical’s Rimso-50. There are also numerous clinical trials ongoing for interstitial cystitis. If LYT-503 is successful in interstitial cystitis, we would expect to compete with currently approved therapies and those that may be developed in the future. Current interstitial cystitis products in development include, but are not limited to, Urigen Pharmaceutical’s URG-101, Vaneltix Pharma’s Alenura, and Seikagaku Corp’s SI-722 all in Phase 2 clinical development. </w:t>
      </w:r>
    </w:p>
    <w:p>
      <w:pPr>
        <w:pStyle w:val="TextBody"/>
        <w:spacing w:lineRule="auto" w:line="288" w:before="0" w:after="0"/>
        <w:rPr>
          <w:rFonts w:ascii="Avenir LT Pro 45 Book;sans-serif" w:hAnsi="Avenir LT Pro 45 Book;sans-serif"/>
          <w:b w:val="false"/>
          <w:i/>
          <w:color w:val="000000"/>
          <w:sz w:val="17"/>
        </w:rPr>
      </w:pPr>
      <w:r>
        <w:rPr>
          <w:rFonts w:ascii="Avenir LT Pro 45 Book;sans-serif" w:hAnsi="Avenir LT Pro 45 Book;sans-serif"/>
          <w:b w:val="false"/>
          <w:i/>
          <w:color w:val="000000"/>
          <w:sz w:val="17"/>
        </w:rPr>
        <w:t>Glyph Technology Platform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not aware of any direct competitors to our Glyph technology platform, but it may compete with new therapies that become available in the future to target the indications we are focused on.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Government Regulation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Government authorities in the United States, at the federal, state and local level, and in other countries and jurisdictions, including the European Union, or EU, extensively regulate, among other things, the research, development, testing, manufacture, quality control, approval, packaging, storage, recordkeeping, labeling, advertising, promotion, distribution, marketing, post-approval monitoring and reporting, and import and export of drugs, biological products and medical devices. The processes for obtaining regulatory approvals in the United States and in foreign countries and jurisdictions, along with subsequent compliance with applicable statutes and regulations, require the expenditure of substantial time and financial resources.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Regulation of Drugs and Biologics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United States, the FDA regulates drugs under the FDCA, and its implementing regulations, and biologics under the FDCA and the Public Health Service Act and its implementing regulations. FDA approval is required before any new unapproved drug or dosage form, including a new use of a previously approved drug, can be marketed in the United States. Drugs and biologics are also subject to other federal, state, and local statutes and regulations. The process required by the FDA before such product candidates may be marketed in the United States generally involves the following: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completion of extensive preclinical laboratory tests and preclinical animal studies, all performed in accordance with applicable regulations, including Good Laboratory Practice, or GLP, regulations;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submission to the FDA of an Investigational New Drug Application, or IND, which must become effective before human clinical studies may begin;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approval by an independent institutional review board, or IRB, or ethics committee representing each clinical site before each clinical study may be initiated;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performance of adequate and well-controlled human clinical studies in accordance with Good Clinical Practice, or GCP, requirements to establish the safety and efficacy, or with respect to biologics, the safety, purity and potency of the product candidate for each proposed indication;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preparation of and submission to the FDA of a new drug application, or NDA, or biologics license application, or BLA, after completion of all pivotal clinical studies;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potential review of the product application by an FDA advisory committee, where appropriate and if applicable;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 determination by the FDA within 60 days of its receipt of an NDA or BLA to file the application for review;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satisfactory completion of an FDA pre-approval inspection of the manufacturing facilities where the proposed product drug substance is produced to assess compliance with current Good Manufacturing Practices, or cGMP, and potential audits of selected clinical trial sites to ensure compliance with GCP; and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FDA review and approval of an NDA or BLA prior to any commercial marketing or sale of the drug in the United States.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 is a request for authorization from the FDA to administer an investigational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pharmacodynamics of the product, chemistry, manufacturing and controls, or CMC,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involve the administration of the investigational product to human subjects under the supervision of qualified investigators in accordance with GCP, which includes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25730"/>
                <wp:effectExtent l="0" t="0" r="0" b="0"/>
                <wp:wrapNone/>
                <wp:docPr id="12" name="Frame1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clinical investigation of a drug is generally divided into three phases. Although the phases are usually conducted sequentially, they may overlap or be combined.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Phase 1. The investigational product is initially introduced into healthy human subjects or patients with the target disease or condition. These studies are generally designed to test the safety, dosage tolerance, absorption, metabolism and distribution of the investigational product in humans, the side effects associated with increasing doses, and, if possible, to gain early evidence on effectiveness.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some cases, the FDA may condition approval of an NDA or BLA for a product candidate on the sponsor’s agreement to conduct additional clinical studies after approval. In other cases, a sponsor may voluntarily conduct additional clinical studies after approval to gain more information about the drug. Such post-approval studies are often referred to as Phase 4 clinical studies.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Special Protocol Assessment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special protocol assessment, or SPA, process is designed to facilitate the FDA’s review and approval of certain drugs and biologics by allowing the FDA to evaluate the proposed design of certain preclinical studies and clinical trials, including among others, trials that are intended to form the primary basis for determining a product candidate’s efficacy. Upon specific request by a clinical trial sponsor, the FDA aims to evaluate the protocol and respond to a sponsor’s questions regarding, among other things, entry, criteria, dose selection, endpoints, trial conduct and data analyses, within 45 days of receipt of the request. 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Even if the FDA agrees to the design, execution and analyses proposed in protocols reviewed under the SPA process, the FDA may rescind or alter its agreement where the FDA determines that a substantial scientific issue essential to determining the safety or efficacy of the product candidate has been identified after the trial has begun, which can include, but is not limited to, the following circumstances: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identification of data that would call into question the clinical relevance of previously agreed-upon efficacy endpoints;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identification of safety concerns related to the product or its pharmacological class;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paradigm shifts in disease diagnosis or management recognized by the scientific community and the FDA; or</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the relevant data, assumptions, or information provided by the sponsor in the SPA submission are found to be false statements or misstatements, or are found to omit relevant facts, such that the clinical relevance of critical components of trial design is called into question, or appropriate safety monitoring and human subject protection are affected.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documented SPA may be modified, and such modification will be deemed binding on the FDA review division, except under the circumstances described above, if the FDA and the sponsor agree in writing to modify the protocol and such modification is intended to improve the study. If the sponsor fails to follow the protocol that was agreed upon with FDA consistent with the SPA agreement, or makes substantive changes in the protocol without the FDA’s agreement, then FDA will consider the results from the study as a BLA or NDA review issue. The FDA will not be bound by an SPA agreement where the sponsor fails to conduct the trial in accordance with the agreed SPA.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NDA and BLA Review Process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Assuming successful completion of all required testing in accordance with all applicable regulatory requirements, the results of product development, nonclinical studies and clinical trials are submitted to the FDA as part of an NDA or BLA requesting approval to market the product for one or more indications. The NDA or BLA must include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studies intended to test the safety and effectiveness of the product, or from a number of alternative sources, including studies initiated and sponsored by investigators. The submission of an NDA or BLA requires payment of a substantial application user fee to the FDA, unless a waiver or exemption applies.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under the Pediatric Research Equity Act, or PREA, an NDA or BLA or supplement to an NDA or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after an end-of-Phase 2 meeting or as may be agreed between the sponsor and FDA. Unless otherwise required by regulation, PREA does not apply to any product candidate for an indication for which orphan designation has been granted.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5730"/>
                <wp:effectExtent l="0" t="0" r="0" b="0"/>
                <wp:wrapNone/>
                <wp:docPr id="13" name="Frame1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Within 60 days following submission of the application, the FDA reviews the submitted BLA or NDA to determine if the application is substantially complete before the FDA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applications for original biologics or new-molecular-entity drugs within ten months after the filing date, or, if the application qualifies for priority review, six months after the filing date. In both standard and priority reviews, the review process may also be extended by FDA requests for additional information or clarification.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reviews an NDA to determine, among other things, whether a product is safe and effective for its intended use and whether its manufacturing is sufficient to assure and preserve the product’s identity, strength, quality and purity. The FDA reviews a BLA to determine, among other things, whether a product is safe, pure and potent and the facility in which it is manufactured, processed, packed or held meets standards designed to assure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sites to assure compliance with GCP.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After the FDA evaluates the NDA or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NDA or BLA in condition for approval, including requests for additional clinical studies, or other information supporting the application. Notwithstanding the submission of additional information or data, the FDA may delay or refuse approval of an NDA or BLA if applicable regulatory criteria are not satisfied.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the FDA approves a BLA or NDA, such approval will be granted for particular indications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post-market studies and surveillance to further assess and monitor the product’s safety and effectiveness after commercialization, and may limit further marketing of the product based on the results of these post-marketing studies.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Regulation of Combination Products in the United States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therapeutic products are comprised of multiple components, such as drug or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approval processes set forth in the FDCA.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or QSR, applicable to medical devices.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Expedited Development and Review Programs for Drugs and Biologics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offers a number of expedited development and review programs for qualifying product candidates. The fast track program is intended to expedite or facilitate the process for reviewing product candidates that meet certain criteria. Specifically,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an NDA or BLA is submitted, the application may be eligible for priority review. A fast track product candidate may also be eligible for rolling review, where the FDA may consider for review sections of the NDA or BLA on a rolling basis before the complete application is submitted, if the sponsor provides a schedule for the submission of the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5730"/>
                <wp:effectExtent l="0" t="0" r="0" b="0"/>
                <wp:wrapNone/>
                <wp:docPr id="14" name="Frame1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sections of the NDA or BLA, the FDA agrees to accept sections of the NDA or BLA and determines that the schedule is acceptable, and the sponsor pays any required user fees upon submission of the first section of the NDA or BLA.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 NDA or BLA is eligible for priority review if the product candidate has the potential to provide a significant improvement in the treatment, diagnosis or prevention of a serious disease or condition. For new-molecular-entity NDAs and original BLAs, priority review designation means the FDA’s goal is to take action on the marketing application within six months of the 60-day filing date (as compared to ten months under standard review).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Additionally,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Rare Pediatric Disease Priority Review Voucher Program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On December 27, 2020, the Rare Pediatric Disease Priority Review Voucher Program was extended. Under the current statutory sunset provisions, after September 30, 2024, FDA may only award a voucher for an approved rare pediatric disease product application if the Sponsor has rare pediatric disease designation for the drug, and that designation was granted by September 30, 2024. After September 30, 2026, FDA may not award any Rare Pediatric Disease Priority Review Voucher.</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Orphan Drug Designation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NDA or BLA, to market the same drug or biologic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or biologic was designated. Orphan drug exclusivity does not prevent the FDA from approving a different drug or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5730"/>
                <wp:effectExtent l="0" t="0" r="0" b="0"/>
                <wp:wrapNone/>
                <wp:docPr id="15" name="Frame1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biologic for the same disease or condition, or the same drug or biologic for a different disease or condition. Among the other benefits of orphan drug designation are tax credits for certain research and a waiver of the NDA or BLA application user fee.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Post-Approval Requirements for Drugs and Biologics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NDA or BLA holders and any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restrictions on the marketing or manufacturing of a product, complete withdrawal of the product from the market or product recalls;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fines, warning letters or holds on post-approval clinical studies;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refusal of the FDA to approve pending applications or supplements to approved applications, or suspension or revocation of existing product approvals;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product seizure or detention, or refusal of the FDA to permit the import or export of products;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consent decrees, corporate integrity agreements, debarment or exclusion from federal healthcare programs;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mandated modification of promotional materials and labeling and the issuance of corrective information;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the issuance of safety alerts, Dear Healthcare Provider letters, press releases and other communications containing warnings or other safety information about the product; or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injunctions or the imposition of civil or criminal penalties.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Hatch-Waxman Act and Drug Product Exclusivity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of the FDCA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25730"/>
                <wp:effectExtent l="0" t="0" r="0" b="0"/>
                <wp:wrapNone/>
                <wp:docPr id="16" name="Frame1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Hatch-Waxman Act also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non-patent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 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Biosimilars and Reference Product Exclusivity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Biologics Price Competition and Innovation Act of 2009, or BPCIA, created an abbreviated approval pathway for biological products that are highly similar, or “biosimilar,” to or interchangeable with an FDA-approved reference biological product.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Drug Enforcement Administration Regulation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developing certain product candidates that utilize, or may utilize controlled substances regulated by the U.S. Drug Enforcement Administration, DEA. The Controlled Substances Act of 1970, or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25730"/>
                <wp:effectExtent l="0" t="0" r="0" b="0"/>
                <wp:wrapNone/>
                <wp:docPr id="17" name="Frame1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substances considered to present the highest risk of abuse and Schedule V substances the lowest relative risk of abuse among such substances.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authorization must be obtained to destroy any controlled substance. In addition, special authorization and notification requirements apply to imports and exports.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meet its responsibilities, the DEA conducts periodic inspections of registered establishments that handle controlled substances. Failure to maintain compliance with applicable requirements, particularly as manifested in loss or diversion, can result in enforcement action. The DEA may seek civil penalties, refuse to renew necessary registrations, or initiate proceedings to revoke those registrations. In certain circumstances, violations could eventuate in criminal proceedings. Individual states also regulate controlled substances, and we and our contract manufacturers are also subject to state regulation on distribution of these products.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Regulation of Medical Devices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U.S. Medical Device Classification: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Unless an exemption applies, each medical device commercially distributed in the United States requires either FDA clearance of a 510(k) premarket notification, or approval of a premarket approval, or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510(k) Clearance Marketing Pathway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reclassification. The FDA requires each manufacturer to determine whether the proposed change requires submission of a 510(k), de novo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de novo request is granted. Also, in these circumstances, the manufacturer may be subject to significant regulatory fines or penalties.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25730"/>
                <wp:effectExtent l="0" t="0" r="0" b="0"/>
                <wp:wrapNone/>
                <wp:docPr id="18" name="Frame1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PMA Approval Pathway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or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De novo classification process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The enactment of the Food and Drug Administration Safety and Innovation Act, or FDASIA, streamlined the de novo classification pathway by permitting manufacturers to request de novo classification directly without first submitting a 510(k) pre-market notification to the FDA and receiving a not-substantially-equivalent determination.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FDASIA, FDA is required to classify the device within 120 days following receipt of the de novo 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de novo 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de novo classification, any modification that could significantly affect its safety or efficacy, or that would constitute a major change or modification in its intended use, will require a new 510(k) clearance or, depending on the modification, another de novo request or even PMA approval.</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Clinical Trials for Medical Devices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are almost always required to support a PMA or a de novo request, and are sometimes required to support 510(k) submissions.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25730"/>
                <wp:effectExtent l="0" t="0" r="0" b="0"/>
                <wp:wrapNone/>
                <wp:docPr id="19" name="Frame1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Post-market Regulation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After a device is cleared or approved for marketing, numerous and pervasive regulatory requirements continue to apply. These include: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establishment registration and device listing with the FDA;</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labeling regulations and FDA prohibitions against the promotion of investigational products, or the promotion of “off-label” uses of cleared or approved products;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requirements related to promotional activities;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FDA’s recall authority, whereby the agency can order device manufacturers to recall from the market a product that is in violation of governing laws and regulations;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post-market surveillance activities and regulations, which apply when deemed by the FDA to be necessary to protect the public health or to provide additional safety and effectiveness data for the device.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Failure to maintain compliance with the QSR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has broad regulatory compliance and enforcement powers. If the FDA determines that a manufacturer has failed to comply with applicable regulatory requirements, it can take a variety of compliance or enforcement actions, which may result in a variety of sanctions, including: warning letters, untitled letters, fines, injunctions, consent decrees and civil penalties; recalls, withdrawals, or administrative detention or product seizures; operating restrictions or partial suspension or total shutdown of production; refusing or delaying requests for 510(k) marketing clearance or PMA approvals of new products or modified products; withdrawing 510(k) clearances or PMA approvals that have already been granted; refusal to grant export approvals for; or criminal prosecution.</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FDA Regulation of Companion Diagnostics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safe and effective use of a drug or biologic depends on an in vitro diagnostic test,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the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Foreign Regulation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The foreign regulatory approval process includes all of the risks associated with FDA approval set forth above, as well as additional country-specific regulation. Because biologically sourced raw materials are subject to unique contamination risks, their use may be restricted in some countries.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25730"/>
                <wp:effectExtent l="0" t="0" r="0" b="0"/>
                <wp:wrapNone/>
                <wp:docPr id="20" name="Frame2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medicinal products in the European Union</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Non-clinical Studies and Clinical Trials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Similar to the United States, the various phases of preclinical and clinical research in the EU are subject to significant regulatory controls.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Non-clinical studies are performed to demonstrate the health or environmental safety of new chemical or biological substances. Non-clinical studies (pharmaco-toxicological) must be conducted in compliance with the principles of good laboratory practice, or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While the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Medicines used in clinical trials must be manufactured in accordance with Good Manufacturing Practice, or GMP. Other national and EU-wide regulatory requirements may also apply.</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Marketing Authorization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order to market our product candidates in the EU and many other foreign jurisdictions, we must obtain separate regulatory approvals. More concretely, in the EU, medicinal products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main types of MA.</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Centralized MAs” are issued by the European Commission through the centralized procedure, based on the opinion of the Committee for Medicinal Products for Human Use, or CHMP, of the European Medicines Agency, or EMA, and are valid throughout the entire territory of the EU. The centralized procedure is mandatory for certain types of products, such as (i) medicinal products derived from biotechnological processes, (ii) designated orphan medicinal products, (iii) advanced-therapy medicinal products (i.e. gene-therapy, somatic cell-therapy or tissue-engineered medicines) and (iv) medicinal products containing a new active substance indicated for the treatment of HIV/AIDS, cancer, neurodegenerative diseases, diabetes,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 MAA by the EMA is 210 days, excluding clock stops. In exceptional cases, the CHMP might perform an accelerated review of a MAA in no more than 150 days (not including clock stops).“National MAs” are issued by the competent authorities of the EU member states, only cover their respective territory, and are available for products not falling within the mandatory scope of the centralized procedure. Where a product has already been authorized for marketing in an EU member state, this national MA can be recognized in other member states through the mutual recognition procedure. If the product has not received a national MA in any member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25730"/>
                <wp:effectExtent l="0" t="0" r="0" b="0"/>
                <wp:wrapNone/>
                <wp:docPr id="21" name="Frame2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14</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concerned member states, or CMSs) for their approval. If the CMSs raise no objections, based on a potential serious risk to public health, to the assessment, SmPC, labeling, or packaging proposed by the RMS, the product is subsequently granted a national MA in all the member states (i.e., in the RMS and the CMSs).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above described procedures, before granting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reserved to medicinal products to be approved for severe diseases or unmet medical needs and the applicant does not hold the complete data set legally required for the grant of a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Data and Marketing Exclusivity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innovative medicinal products (including both small molecules and biological medicinal products) generally receive eight years of data exclusivity and an additional two years of market exclusivity upon MA. The data exclusivity period,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can be submitted, and the innovator’s data may be referenced, but no generic or biosimilar product can be marketed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However, there is no guarantee that a product will be considered by the EU’s regulatory authorities to be a new chemical or biological entity, and products may not qualify for data exclusivity.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Orphan Medicinal Products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life-threatening or chronically debilitating conditions, (2) either (a) such condition affects no more than 5 in 10,000 persons in the EU when the application is made, or (b) where it is unlikely that the marketing of the medicine would generate sufficient return in the EU to justify the necessary investment in its development, and (3) there exists no satisfactory method of diagnosis, prevention or treatment of the condition must have been authorized in the EU or, if such a method exists, the product in question would be of significant benefit to those affected by the condition.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Orphan designation must be requested before submitting an MAA. In the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period may be reduced to six years if, at the end of the fifth year, it is established that the orphan designation criteria are no longer met, including where it is shown that the product is sufficiently profitable not to justify maintenance of market exclusivity or where the prevalence of the condition has increased above the threshold. Additionally, MA may only be granted to a “similar medicinal product” for the same indication at any time, if (i) the holder of the MA for the original orphan medicinal product consents to a second orphan medicinal product application, (ii) the holder of the MA for the original orphan medicinal product cannot supply sufficient quantities of the orphan medicinal product, or (iii) the second applicant can establish that its medicinal product, although similar, is safer, more effective or otherwise clinically superior to the authorized orphan medicinal product. A “similar medicinal product” is defined as a medicinal product containing a similar active substance or substances as contained in an authorized orphan medicinal product, and which is intended for the same therapeutic indication. Orphan designation does not convey any advantage in, or shorten the duration of, the regulatory review and approval process.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25730"/>
                <wp:effectExtent l="0" t="0" r="0" b="0"/>
                <wp:wrapNone/>
                <wp:docPr id="22" name="Frame2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European Pediatric Development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MAAs for new medicinal products have to include the results of studies conducted in the pediatric population, in compliance with a PIP, with the EMA’s Pediatric Committee, or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where such results are negative, the product is eligible for six months’ supplementary protection certificate extension (if any is in effect at the time of approval).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Controlled Substances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Controlled substances are not regulated at EU level and the EU legislation does not establish different classes of narcotic or psychotropic substances. However, the United Nations, or UN, Single Convention on Narcotic Drugs of 1961 and the UN Convention on Psychotropic Substances of 1971, or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Before the relevant authority can issue an export authorization for a particular shipment, the exporter must provide the authority with a copy of the import authorization issued by the relevant authority of the importing country. Implementation of the obligations provided in the UN Conventions and additional requirements are regulated at national level and requirements may vary from one member state to another.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Post-Approval requirements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oversight of that system, and oversees the safety profiles of medicinal products and any emerging safety concerns. Key obligations include expedited reporting of suspected serious adverse reactions and submission of periodic safety update reports, or PSURs.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All new MAA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Much like the Anti-Kickback Statue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national EU member states anti-bribery laws. Infringement of these laws could result in substantial fines and imprisonment.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Payments made to physicians in certain EU member states must be publicly disclosed. Moreover, agreements with physicians often must be the subject of prior notification and/or approval by the physician’s employer, his or her competent professional organization and/or the regulatory authorities of the individual EU member states. These requirements are provided in national laws, industry codes or professional codes of conduct, applicable in the EU member states.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European Economic Area, or EEA, which consists of the 27 EU member states plus Norway, Liechtenstein and Iceland.</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25730"/>
                <wp:effectExtent l="0" t="0" r="0" b="0"/>
                <wp:wrapNone/>
                <wp:docPr id="23" name="Frame2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16</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Combination Products in the European Union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EU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requirements regarding quality documentation for medicinal products when used with a medical device, including single integral products, co-packaged and referenced products, are outlined in the EMA guideline of July 22, 2021, which became applicable as of January 1, 2022.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Regulation of Medical Devices in the European Union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EU, until May 25, 2021, medical devices were regulated by the Council Directive 93/42/EEC, or the EU Medical Devices Directive which has been repealed and replaced by Regulation (EU) No 2017/745, or the EU Medical Devices Regulation. Our Founded Entities' medical devices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pStyle w:val="TextBody"/>
        <w:spacing w:lineRule="auto" w:line="256"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Medical Devices Directive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certification of conformity, which the manufacturer uses as a basis for its own declaration of conformity. The manufacturer may then apply the CE mark to the device, which allows the device to be placed on the market throughout the EU.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25730"/>
                <wp:effectExtent l="0" t="0" r="0" b="0"/>
                <wp:wrapNone/>
                <wp:docPr id="24" name="Frame2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17</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Medical Devices Regulation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in particular the obligations described below.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manufacturers placing medical devices into the market in the EU must comply with the EU medical device vigilance system which has been reinforced by the EU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In Vitro Diagnostic Medical Devices in the European Union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EU regulatory landscape concerning in vitro diagnostic medical devices, or IVD MDs, recently evolved. On April 5, 2017 Regulation (EU) 2017/746 of the European Parliament and of the Council on IVD MDs and repealing Directive 98/79/EC and Commission Decision 2010/227/EU, or the IVDR, was adopted to establish a modernized and more robust EU legislative framework, with the aim of ensuring better protection of public health and patient safety. This aims at reducing the risk of discrepancies in interpretation across the different European markets.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IVDR fully applies since May 26, 2022 but there is a tiered system extending the grace period for many devices (depending on their risk classification) before they have to be fully compliant with the regulation. The IVDR among other things: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strengthens the rules on placing devices on the market and reinforce surveillance once they are available;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establishes explicit provisions on manufacturers’ responsibilities for the follow-up of the quality, performance and safety of devices placed on the market;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establishes explicit provisions on importers’ and distributors’ obligations and responsibilities;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imposes an obligation to identify a responsible person who is ultimately responsible for all aspects of compliance with the requirements of the new regulation;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25730"/>
                <wp:effectExtent l="0" t="0" r="0" b="0"/>
                <wp:wrapNone/>
                <wp:docPr id="25" name="Frame2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18</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sets up a central database (Eudamed) to provide patients, healthcare professionals and the public with comprehensive information on products available in the EU;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strengthens rules for the assessment of certain high-risk devices that may have to undergo an additional check by experts before they are placed on the market.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Companion Diagnostics in the European Union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IVD MDs were regulated by Directive 98/79/EC, or the IVDD, which regulated the placing on the market, the CE marking, the essential requirements, the conformity assessment procedures, the registration obligations for manufactures and devices as well as the vigilance procedure. IVD MDs had to comply with the requirements provided for in the IVDD, and with further requirements implemented at national level (as the case may be).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regulation of companion diagnostics is subject to further requirements since the IVDR became applicable on May 26, 2022.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Brexit and the Regulatory Framework in the United Kingdom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Since the end of the Brexit transition period on January 1, 2021, Great Britain, or GB (England, Scotland and Wales) has not been directly subject to EU laws, however under the terms of the Ireland/Northern Ireland Protocol, EU laws generally apply to Northern Ireland. On February 27, the UK Government and the European Commission reached a political agreement on the “Windsor Agreement” which will revise the Protocol on Ireland/Northern Ireland in order to address some of the perceived shortcomings in its operation. Under the proposed changes, Northern Ireland would be reintegrated under the regulatory authority of the Medicines and Healthcare products Regulatory Agency, or MHRA, with respect to medicinal products. These proposed changes need to be codified and agreed by the respective parliaments of the United Kingdom, or UK, and EU before taking effect. There could be additional uncertainty and risk around what these changes will mean to our business. It is currently unclear to what extent the UK Government will seek to align its regulations with the EU.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CTR is not applicable in GB. Whilst the EU-UK Trade and Cooperation Agreement, or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or CTIS, adding further complexity, cost and potential risk to future clinical and development activity in the UK. Significant political and economic uncertainty remains about how much the relationship between the UK and EU will differ as a result of the UK’s withdrawal.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Since January 1, 2021, the MHRA is the UK’s standalone medicines and medical devices regulator. As a result of the Northern Ireland protocol, different rules currently apply in Northern Ireland than in England, Wales, and Scotland, together GB, but this may be subject to further revisions following implementation of the proposals set out in the Windsor Agreement. Broadly, Northern Ireland currently follows the EU regulatory regime, but its national competent authority remains the MHRA. </w:t>
      </w:r>
    </w:p>
    <w:p>
      <w:pPr>
        <w:pStyle w:val="TextBody"/>
        <w:spacing w:lineRule="auto" w:line="26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UK regulatory framework in relation to clinical trials is derived from existing EU legislation (as implemented into UK law, through secondary legislation). On January 17, 2022, the MHRA launched an eight-week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resulting new legislation will determine how aligned the UK clinical trials regime is compared to the (EU) CTR. </w:t>
      </w:r>
    </w:p>
    <w:p>
      <w:pPr>
        <w:pStyle w:val="TextBody"/>
        <w:spacing w:before="0" w:after="10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25730"/>
                <wp:effectExtent l="0" t="0" r="0" b="0"/>
                <wp:wrapNone/>
                <wp:docPr id="26" name="Frame2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19</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decentralized or mutual recognition procedures which enable MAs approved in EU member states (or Iceland, Liechtenstein, Norway) to be granted in GB.</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With respect to medical devices (including IVD MDs), the TCA does not specifically refer to them but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The rules for placing medical devices on the Northern Ireland market will differ from those in GB.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New regulations require all medical devices to be registered with the MHRA, and since January 1, 2022, manufacturers based outside the UK have been required to appoint a UK responsible person that has a registered place of business in the UK to register devices with the MHRA.</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26, 2022, the MHRA published its response to a 10-week consultation on the post-Brexit regulatory framework for medical devices and diagnostics. The MHRA seeks to amend the UK Medical Devices Regulations 2002, or the “UK MDR” (which continues to be based on the EU legislation which preceded the EU Medical Devices Regulation, primarily the EU Medical Devices Directive and the (EU) IVDD), in particular to create a new access pathway to support innovation, create an innovative framework for regulating software and artificial intelligence as medical devices, reform in vitro diagnostic medical device regulation and foster sustainability through the reuse and remanufacture of medical devices. Regulations implementing the new regime were originally scheduled to come into force in July 2023, but the Government has recently confirmed that this date has been postponed until July 2024. Devices which have valid certification issued by EU notified bodies under the EU Medical Devices Regulation or Medical Devices Directive are subject to transitional arrangements. In its consultation response, the MHRA indicated that the future UK regulations will allow devices certified under the EU Medical Devices Regulation to be placed on the market in Great Britain under the CE mark until either the certificate expires or for five years after the new regulations take effect, whichever is sooner. Devices certified under the Medical Devices Directive could continue to be placed on the market until either the certificate expires or for three years after the new regulations take effect, whichever is sooner. Following these transitional periods, it is expected that all medical devices will require a UK Conformity Assessment, or UKCA, mark. Manufacturers may choose to use the UKCA mark on a voluntary basis prior to the regulations coming into force. However, from July 2024, products which do not have existing and valid CE certification under the EU Medical Devices Directive or EU Medical Devices Regulation and are therefore not subject to the transitional arrangements will be required to carry the UKCA mark if they are to be sold into the market in Great Britain. UKCA marking will not be recognized in the EU. The rules for placing medical devices on the market in Northern Ireland, which is part of the UK, differ from those in Great Britain (England, Scotland and Wales) and continues to be based on EU law.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applied and the device may only be placed on the market in Northern Ireland and not the EU.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Rest of the World Regulation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other countries outside of the EU, the UK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Additional Laws and Regulations Governing International Operations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25730"/>
                <wp:effectExtent l="0" t="0" r="0" b="0"/>
                <wp:wrapNone/>
                <wp:docPr id="27" name="Frame2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Healthcare Laws and Regulation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Manufacturing, sales, promotion and other activities following product approval are also subject to regulation by numerous regulatory authorities in the United States in addition to the FDA, including the Centers for Medicare &amp; Medicaid Services, or CMS, the Office of Inspector General and Office for Civil Rights,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Healthcare providers and third-party payors play a primary role in the recommendation and prescription of drug products and other medical items and services. Arrangements with providers, consultants, third-party payors and customers are subject to broadly applicable fraud and abuse, anti-kickback, false claims laws, reporting of payments to physicians and teaching hospitals and patient privacy laws and regulations and other healthcare laws and regulations that may constrain our business and/or financial arrangements. Restrictions under applicable federal and state healthcare and data privacy and security laws and regulations, include the following:</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the federal Anti-Kickback Statute, which makes it illegal for any person, including a prescription drug manufacturer (or a party acting on its behalf), to knowingly and willfully solicit, receive, offer or pay any remuneration (including any kickback, bribe or certain rebate), directly or indirectly, overtly or covertly, in cash or in kind, or in return for, that is intended to induce or reward referrals, including the purchase, recommendation, order or prescription of a particular drug, for which payment may be made under a federal healthcare program, such as Medicare or Medicaid. A person or entity need not have actual knowledge of the federal Anti-Kickback Statute or specific intent to violate it in order to have committed a violation;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federal Health Insurance Portability and Accountability Act of 1996, or HIPAA, which imposes civil and criminal liability for, among other things, knowingly and willfully executing, or attempting to execute, a scheme to defraud any healthcare benefit program or knowingly and willfully falsifying, concealing or covering up by any trick or device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federal transparency requirements known as the federal Physician Payments Sunshine Act,which requires certain manufacturers of drugs, devices, biologics and medical supplies to report annually to CMS information related to payments and other transfers of value made by that entity to physicians (defined to include doctors, dentists, optometrists, podiatrists and chiropractors), certain non-physician practitioners such as physician assistants and nurse practitioners, and teaching hospitals, as well as ownership and investment interests held by the physicians described above and their immediate family members;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federal consumer protection and unfair competition laws, which broadly regulate marketplace activities and activities that potentially harm consumers;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federal price reporting laws, which require manufacturers to calculate and report complex pricing metrics to government programs, where such reported prices may be used in the calculation of reimbursement and/or discounts on approved products;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analogous state and foreign laws and regulations, such as state anti-kickback and false claims laws, which may apply to healthcare items or services that are reimbursed by non-governmental third-party payors, including private insurers;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some state laws require pharmaceutical companies to comply with the industry’s voluntary compliance guidelines and the relevant compliance guidance promulgated by the federal government in addition to requiring manufacturers to report information related to payments to physicians and other healthcare providers, marketing expenditures, and pricing information. Certain state and local laws require the registration of pharmaceutical sales and medical representatives.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of the breadth of these laws and the narrowness of the statutory exceptions and safe harbors available, in the event we obtain regulatory approval for any one of our products,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Violations of these laws can subject us to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Efforts to ensure that our current and future business arrangements with third parties, and our business generally, will comply with applicable healthcare laws and regulations will involve substantial costs.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25730"/>
                <wp:effectExtent l="0" t="0" r="0" b="0"/>
                <wp:wrapNone/>
                <wp:docPr id="28" name="Frame2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Coverage and Reimbursement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and other medical products exists among third-party payors. Although CMS determines whether and to what extent a new medicine will be covered and reimbursed under Medicare and private payors tend to follow CMS to a substantial degree, coverage and reimbursement for drug and other medical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order to secure coverage and reimbursement for any product that might be approved for sale, a company may need to conduct expensive pharmacoeconomic or other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Factors payors consider in determining reimbursement are based on whether the product is: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 covered benefit under its health plan;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safe, effective and medically necessary;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appropriate for the specific patient;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cost-effective;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neither experimental nor investigational.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in many foreign countries, the proposed pricing for a drug must be approved before it may be lawfully marketed. The requirements governing drug pricing and reimbursement vary widely from country to country.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containment of healthcare costs has become a priority of federal, state and foreign governments, and the prices of products have been a focus in this effort. Governments have shown significant interest in implementing cost-containment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25730"/>
                <wp:effectExtent l="0" t="0" r="0" b="0"/>
                <wp:wrapNone/>
                <wp:docPr id="29" name="Frame2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Healthcare Reform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U.S. Congress enacted the Patient Protection and Affordable Care Act, as amended by the Health Care and Education Reconciliation Act, or collectively the ACA which, among other things, included changes to the coverage and payment for products under government health care programs. The ACA included provisions of importance to our potential product candidates that: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created an annual, nondeductible fee on any entity that manufactures or imports specified branded prescription drugs and biologic products, apportioned among these entities according to their market share in certain government healthcare programs;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expanded eligibility criteria for Medicaid programs by, among other things, allowing states to offer Medicaid coverage to certain individuals with income at or below 133 percent of the federal poverty level, thereby potentially increasing a manufacturer’s Medicaid rebate liability;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addressed a new methodology by which rebates owed by manufacturers under the Medicaid Drug Rebate Program are calculated for drugs that are inhaled, infused, instilled, implanted or injected;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expanded the types of entities eligible for the 340B drug discount program;</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established the Medicare Part D coverage gap discount program by requiring manufacturers to provide a 50 percent point-of-sale-discount (increased to 70% as of January 1, 2019 pursuant to subsequent legislation) off the negotiated price of applicable brand drugs to eligible beneficiaries during their coverage gap period as a condition for the manufacturers’ outpatient drugs to be covered under Medicare Part D;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created a Patient-Centered Outcomes Research Institute to oversee, identify priorities in, and conduct comparative clinical effectiveness research, along with funding for such research.</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Since its enactment, there have been numerous judicial, administrative, executive, and legislative challenges to certain aspects of the ACA.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to the statute, will remain in effect through 2032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currently set at 100% of a drug’s average manufacturer price, beginning January 1, 2024.</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25730"/>
                <wp:effectExtent l="0" t="0" r="0" b="0"/>
                <wp:wrapNone/>
                <wp:docPr id="30" name="Frame3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party payors and governmental authorities in reference pricing systems and publication of discounts and list prices. It is difficult to predict the future legislative landscape in healthcare and the effect on our business, results of operations, financial condition and prospects. However, we expect that additional state and federal healthcare reform measures will be adopted in the future.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Drug manufacturers who provide their investigational product under the Right to Try Act are required to submit to FDA an annual summary of the use of their drug.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EU, pricing and reimbursement schemes vary widely from country to country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Data Privacy and Security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Foreign Private Issuer Status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sections of the Exchange Act regulating the solicitation of proxies, consents or authorizations in respect of a security registered under the Exchange Act;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sections of the Exchange Act requiring insiders to file public reports of their stock ownership and trading activities and liability for insiders who profit from trades made in a short period of time;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rules under the Exchange Act requiring the filing with the SEC of quarterly reports on Form 10-Q containing unaudited financial and other specified information, or current reports on Form 8-K, upon the occurrence of specified significant events;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Regulation FD, which regulates selective disclosures of material information by issuers.</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25730"/>
                <wp:effectExtent l="0" t="0" r="0" b="0"/>
                <wp:wrapNone/>
                <wp:docPr id="31" name="Frame3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24</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25730"/>
                <wp:effectExtent l="0" t="0" r="0" b="0"/>
                <wp:wrapNone/>
                <wp:docPr id="32" name="Frame3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25</w:t>
                      </w:r>
                    </w:p>
                  </w:txbxContent>
                </v:textbox>
              </v:rect>
            </w:pict>
          </mc:Fallback>
        </mc:AlternateContent>
      </w:r>
    </w:p>
    <w:p>
      <w:pPr>
        <w:pStyle w:val="TextBody"/>
        <w:spacing w:before="0" w:after="105"/>
        <w:rPr/>
      </w:pPr>
      <w:r>
        <w:rPr/>
      </w:r>
    </w:p>
    <w:p>
      <w:pPr>
        <w:pStyle w:val="TextBody"/>
        <w:spacing w:lineRule="auto" w:line="256" w:before="200" w:after="283"/>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C. ORGANIZATIONAL STRUCTURE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“Highlights of the Year—2022" on page 1 and- "Components of Our Value” on pages 6 to 7 of PureTech’s “Annual Report and Accounts 2022” included as exhibit 15.1 to this annual report on Form 20-F is incorporated by reference.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D. PROPERTY, PLANTS AND EQUIPMENT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headings “Notes to the Consolidated Financial Statements—Note 11. Property and Equipment” and “Notes to the Consolidated Financial Statements—Note 21. Leases” in each case of our audited consolidated financial statements included elsewhere in this annual report on Form 20-F.</w:t>
      </w:r>
    </w:p>
    <w:p>
      <w:pPr>
        <w:pStyle w:val="TextBody"/>
        <w:spacing w:before="0" w:after="40"/>
        <w:ind w:left="0" w:right="0" w:hanging="284"/>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25730"/>
                <wp:effectExtent l="0" t="0" r="0" b="0"/>
                <wp:wrapNone/>
                <wp:docPr id="33" name="Frame3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w:t>
                      </w:r>
                    </w:p>
                  </w:txbxContent>
                </v:textbox>
              </v:rect>
            </w:pict>
          </mc:Fallback>
        </mc:AlternateContent>
      </w:r>
    </w:p>
    <w:p>
      <w:pPr>
        <w:pStyle w:val="TextBody"/>
        <w:spacing w:before="0" w:after="105"/>
        <w:rPr/>
      </w:pPr>
      <w:r>
        <w:rPr/>
      </w:r>
    </w:p>
    <w:p>
      <w:pPr>
        <w:pStyle w:val="TextBody"/>
        <w:spacing w:before="0" w:after="105"/>
        <w:rPr/>
      </w:pPr>
      <w:r>
        <w:rPr/>
      </w:r>
    </w:p>
    <w:tbl>
      <w:tblPr>
        <w:tblW w:w="4845" w:type="dxa"/>
        <w:jc w:val="left"/>
        <w:tblInd w:w="0" w:type="dxa"/>
        <w:tblCellMar>
          <w:top w:w="28" w:type="dxa"/>
          <w:left w:w="28" w:type="dxa"/>
          <w:bottom w:w="28" w:type="dxa"/>
          <w:right w:w="28" w:type="dxa"/>
        </w:tblCellMar>
      </w:tblPr>
      <w:tblGrid>
        <w:gridCol w:w="396"/>
        <w:gridCol w:w="348"/>
        <w:gridCol w:w="351"/>
        <w:gridCol w:w="1098"/>
        <w:gridCol w:w="1098"/>
        <w:gridCol w:w="1554"/>
      </w:tblGrid>
      <w:tr>
        <w:trPr/>
        <w:tc>
          <w:tcPr>
            <w:tcW w:w="39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4A.</w:t>
            </w:r>
          </w:p>
        </w:tc>
        <w:tc>
          <w:tcPr>
            <w:tcW w:w="37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UNRESOLVED STAFF COMMENTS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spacing w:before="0" w:after="100"/>
        <w:rPr/>
      </w:pPr>
      <w:r>
        <w:rPr/>
      </w:r>
    </w:p>
    <w:p>
      <w:pPr>
        <w:pStyle w:val="TextBody"/>
        <w:spacing w:before="0" w:after="100"/>
        <w:rPr/>
      </w:pPr>
      <w:r>
        <w:rPr/>
      </w:r>
    </w:p>
    <w:p>
      <w:pPr>
        <w:pStyle w:val="TextBody"/>
        <w:spacing w:before="0" w:after="100"/>
        <w:rPr/>
      </w:pPr>
      <w:r>
        <w:rPr/>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25730"/>
                <wp:effectExtent l="0" t="0" r="0" b="0"/>
                <wp:wrapNone/>
                <wp:docPr id="34" name="Frame3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w:t>
                      </w:r>
                    </w:p>
                  </w:txbxContent>
                </v:textbox>
              </v:rect>
            </w:pict>
          </mc:Fallback>
        </mc:AlternateContent>
      </w:r>
    </w:p>
    <w:p>
      <w:pPr>
        <w:pStyle w:val="TextBody"/>
        <w:spacing w:before="0" w:after="105"/>
        <w:rPr/>
      </w:pPr>
      <w:r>
        <w:rPr/>
      </w:r>
    </w:p>
    <w:p>
      <w:pPr>
        <w:pStyle w:val="TextBody"/>
        <w:spacing w:before="0" w:after="105"/>
        <w:rPr/>
      </w:pPr>
      <w:r>
        <w:rPr/>
      </w:r>
    </w:p>
    <w:tbl>
      <w:tblPr>
        <w:tblW w:w="7064" w:type="dxa"/>
        <w:jc w:val="left"/>
        <w:tblInd w:w="0" w:type="dxa"/>
        <w:tblCellMar>
          <w:top w:w="28" w:type="dxa"/>
          <w:left w:w="28" w:type="dxa"/>
          <w:bottom w:w="28" w:type="dxa"/>
          <w:right w:w="28" w:type="dxa"/>
        </w:tblCellMar>
      </w:tblPr>
      <w:tblGrid>
        <w:gridCol w:w="342"/>
        <w:gridCol w:w="300"/>
        <w:gridCol w:w="303"/>
        <w:gridCol w:w="1790"/>
        <w:gridCol w:w="1790"/>
        <w:gridCol w:w="2539"/>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5.</w:t>
            </w:r>
          </w:p>
        </w:tc>
        <w:tc>
          <w:tcPr>
            <w:tcW w:w="6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OPERATING AND FINANCIAL REVIEW AND PROSPECTS</w:t>
            </w:r>
          </w:p>
        </w:tc>
      </w:tr>
    </w:tbl>
    <w:p>
      <w:pPr>
        <w:pStyle w:val="TextBody"/>
        <w:spacing w:lineRule="auto" w:line="288" w:before="0" w:after="100"/>
        <w:rPr>
          <w:rFonts w:ascii="Avenir LT Pro 45 Book;sans-serif" w:hAnsi="Avenir LT Pro 45 Book;sans-serif"/>
          <w:b w:val="false"/>
          <w:i/>
          <w:color w:val="000000"/>
          <w:sz w:val="17"/>
        </w:rPr>
      </w:pPr>
      <w:r>
        <w:rPr>
          <w:rFonts w:ascii="Avenir LT Pro 45 Book;sans-serif" w:hAnsi="Avenir LT Pro 45 Book;sans-serif"/>
          <w:b w:val="false"/>
          <w:i/>
          <w:color w:val="000000"/>
          <w:sz w:val="17"/>
        </w:rPr>
        <w:t>You should read the following discussion and analysis, including those portions incorporated herein by reference, together with our consolidated financial statements, including the notes thereto, included elsewhere in this annual report on Form 20-F. Some of the information contained in this discussion and analysis or incorporated herein, including information with respect to our plans and strategy for our business and related financing, includes forward-looking statements that involve risks and uncertainties. As a result of many factors, including those factors set forth in the “Risk Factors” section incorporated herein by reference, our actual results could differ materially from the results described in or implied by these forward-looking statements.</w:t>
      </w:r>
    </w:p>
    <w:p>
      <w:pPr>
        <w:pStyle w:val="TextBody"/>
        <w:spacing w:lineRule="auto" w:line="288" w:before="0" w:after="100"/>
        <w:rPr>
          <w:rFonts w:ascii="Avenir LT Pro 45 Book;sans-serif" w:hAnsi="Avenir LT Pro 45 Book;sans-serif"/>
          <w:b w:val="false"/>
          <w:i/>
          <w:color w:val="000000"/>
          <w:sz w:val="17"/>
        </w:rPr>
      </w:pPr>
      <w:r>
        <w:rPr>
          <w:rFonts w:ascii="Avenir LT Pro 45 Book;sans-serif" w:hAnsi="Avenir LT Pro 45 Book;sans-serif"/>
          <w:b w:val="false"/>
          <w:i/>
          <w:color w:val="000000"/>
          <w:sz w:val="17"/>
        </w:rPr>
        <w:t>Our audited consolidated financial statements as of and for the years ended December 31, 2022, 2021 and 2020 have been prepared in accordance with UK-adopted International Financial Reporting Standards (IFRSs). The audited consolidated financial statements also comply fully with IFRSs as issued by the International Accounting Standards Board ("IASB").</w:t>
      </w:r>
    </w:p>
    <w:p>
      <w:pPr>
        <w:pStyle w:val="TextBody"/>
        <w:spacing w:lineRule="auto" w:line="288" w:before="0" w:after="100"/>
        <w:rPr>
          <w:rFonts w:ascii="Avenir LT Pro 45 Book;sans-serif" w:hAnsi="Avenir LT Pro 45 Book;sans-serif"/>
          <w:b w:val="false"/>
          <w:i/>
          <w:color w:val="000000"/>
          <w:sz w:val="17"/>
        </w:rPr>
      </w:pPr>
      <w:r>
        <w:rPr>
          <w:rFonts w:ascii="Avenir LT Pro 45 Book;sans-serif" w:hAnsi="Avenir LT Pro 45 Book;sans-serif"/>
          <w:b w:val="false"/>
          <w:i/>
          <w:color w:val="000000"/>
          <w:sz w:val="17"/>
        </w:rPr>
        <w:t xml:space="preserve">The following discussion contains references to the consolidated financial statements of PureTech Health plc and its consolidated subsidiaries, or the Company.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the financial and operating policies. Where we have neither control nor significant influence for financial accounting purposes, we recognize our holding in such entity as an investment at fair value. For purposes of our consolidated financial statements, each of our Founded Entities are considered to be either a “subsidiary” or an “associate” depending on whether PureTech Health plc controls or maintains significant influence over the financial and operating policies of the respective entity at the respective period end date. For additional information regarding the accounting treatment of these entities, see Note 1 of our consolidated financial statements included elsewhere in this annual report on Form 20-F.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A. OPERATING RESULTS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“Key Performance Indicators—2022” on page 49 of PureTech’s “Annual Report and Accounts 2022” included as exhibit 15.1 to this annual report on Form 20-F is incorporated by reference.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2022 Compared with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“Financial Review” on pages 50 to 64 of PureTech’s “Annual Report and Accounts 2022” included as exhibit 15.1 to this annual report on Form 20-F is incorporated by reference.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2021 Compared with 2020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“Financial Review” on pages 50 to 64 of PureTech’s “Annual Report and Accounts 2022” included as exhibit 15.1 to this annual report on Form 20-F is incorporated by reference.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“Risk Management” on pages 44 to 47 of PureTech’s “Annual Report and Accounts 2022” included as exhibit 15.1 to this annual report on Form 20-F is incorporated by reference.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LIQUIDITY AND CAPITAL RESOURCES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tabular data) set forth or referenced under the following headings is incorporated by reference herein: "Viability" on page 48 and "Financial Review—Cash Flow and Liquidity" on pages 61 to 63 of PureTech's "Annual Report and Accounts 2022" included as exhibit 15.1 to this annual report on Form 20-F and “Notes to the Consolidated Financial Statements—Note 17.—Subsidiary Notes Payable”, “Notes to the Consolidated Financial Statements—Note 20.—Long-term Loan”, “Notes to the Consolidated Financial Statements—Note 21.—Leases”, “Notes to the Consolidated Financial Statements—Note 22.—Capital and Financial Risk Management” and “Notes to the Consolidated Financial Statements—Note 23.—Commitments and Contingencies”, in each case of our consolidated financial statements included elsewhere in this annual report on Form 20-F.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various license and collaboration agreements we are required to make milestone payments upon successful completion and achievement of certain intellectual property, clinical, regulatory and sales milestones. We will also be required to make royalty payments in connection with the sale of products developed under these agreements, if and when such sales occur. As of December 31, 2022, these milestone events have not yet occurred and therefore the Company does not have a present obligation to make the related payments in respect of the licenses. We believe that the occurrence of many of these milestones is remote at this time. As of December 31, 2022 payments in respect of contingent developmental milestones that are dependent on events that are outside the control of the Company but are reasonably possible to occur amounted to approximately $8.7 million. These milestone amounts represent an aggregate of multiple milestone payments depending on different milestone events in multiple agreements. The probability that all such milestone events will occur in the aggregate is remote. We are not able to predict when and if such milestone events will occur. Payments made to license IP represent the acquisition cost of intangible assets. For more information, see "Note 12 - Intangible Assets" to our audited consolidated financial statements included elsewhere in this annual report on Form 20-F.</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present the preferred shares issued by our subsidiaries to third parties as liabilities. Such preferred shares are redeemable only upon liquidation or deemed liquidation (as defined in the subsidiaries' incorporation documents) of the respective subsidiaries. We are unable to predict when and if such liquidation or deemed liquidation events will occur, and therefore when and if such shares will be redeemed, if at all.</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25730"/>
                <wp:effectExtent l="0" t="0" r="0" b="0"/>
                <wp:wrapNone/>
                <wp:docPr id="35" name="Frame3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our off-balance sheet arrangements consist of outstanding standby letters of credit. We have no other off-balance sheet arrangements that have had, or are reasonably likely to have, a material current or future effect on our consolidated financial statements or changes in financial condition, revenues or expenses, results of operations, liquidity, capital expenditures or capital resources. See “Notes to the Consolidated Financial Statements—Note 13.—Other Financial Assets” included in our audited consolidated financial statements included elsewhere in this annual report on Form 20-F.</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consider the Group's working capital to be sufficient for its present requirements.</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C. RESEARCH AND DEVELOPMENT, PATENTS AND LICENSES, ETC.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tabular data) set forth or referenced under the following headings is incorporated by reference herein: "Overview - Giving Life To Science" on page 3 and “ESG Report-Chapter 1: Patients—Bioethics: R&amp;D” on page 20 of PureTech’s “Annual Report and Accounts 2022” included as exhibit 15.1 to this annual report on Form 20-F and "Notes to the Consolidated Financial Statements - Note 4.-Segment Information" of our consolidated financial statements included elsewhere in this annual report on Form 20-F. </w:t>
      </w:r>
    </w:p>
    <w:p>
      <w:pPr>
        <w:pStyle w:val="TextBody"/>
        <w:spacing w:lineRule="auto" w:line="288" w:before="200" w:after="283"/>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D. TREND INFORMATION </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Other than as disclosed elsewhere in this annual report on Form 20-F, we are not aware of any trends, uncertainties, demands, commitments or events for the period from January 1, 2022 to the present time that are reasonably likely to have a material adverse effect on our net revenue, income, profitability, liquidity or capital resources, or that would cause the disclosed financial information to be not necessarily indicative of future operating results or financial condition. </w:t>
      </w:r>
    </w:p>
    <w:p>
      <w:pPr>
        <w:pStyle w:val="TextBody"/>
        <w:spacing w:lineRule="auto" w:line="288" w:before="200" w:after="283"/>
        <w:rPr>
          <w:rFonts w:ascii="Avenir LT Pro 85 Heavy;sans-serif" w:hAnsi="Avenir LT Pro 85 Heavy;sans-serif"/>
          <w:b/>
          <w:color w:val="183964"/>
          <w:sz w:val="17"/>
        </w:rPr>
      </w:pPr>
      <w:r>
        <w:rPr>
          <w:rFonts w:ascii="Avenir LT Pro 85 Heavy;sans-serif" w:hAnsi="Avenir LT Pro 85 Heavy;sans-serif"/>
          <w:b/>
          <w:color w:val="183964"/>
          <w:sz w:val="17"/>
        </w:rPr>
        <w:t>E. CRITICAL ACCOUNTING ESTIMATES</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25730"/>
                <wp:effectExtent l="0" t="0" r="0" b="0"/>
                <wp:wrapNone/>
                <wp:docPr id="36" name="Frame3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29</w:t>
                      </w:r>
                    </w:p>
                  </w:txbxContent>
                </v:textbox>
              </v:rect>
            </w:pict>
          </mc:Fallback>
        </mc:AlternateContent>
      </w:r>
    </w:p>
    <w:p>
      <w:pPr>
        <w:pStyle w:val="TextBody"/>
        <w:spacing w:before="0" w:after="105"/>
        <w:rPr/>
      </w:pPr>
      <w:r>
        <w:rPr/>
      </w:r>
    </w:p>
    <w:p>
      <w:pPr>
        <w:pStyle w:val="TextBody"/>
        <w:spacing w:before="0" w:after="105"/>
        <w:rPr/>
      </w:pPr>
      <w:r>
        <w:rPr/>
      </w:r>
    </w:p>
    <w:tbl>
      <w:tblPr>
        <w:tblW w:w="6929" w:type="dxa"/>
        <w:jc w:val="left"/>
        <w:tblInd w:w="0" w:type="dxa"/>
        <w:tblCellMar>
          <w:top w:w="28" w:type="dxa"/>
          <w:left w:w="28" w:type="dxa"/>
          <w:bottom w:w="28" w:type="dxa"/>
          <w:right w:w="28" w:type="dxa"/>
        </w:tblCellMar>
      </w:tblPr>
      <w:tblGrid>
        <w:gridCol w:w="342"/>
        <w:gridCol w:w="300"/>
        <w:gridCol w:w="303"/>
        <w:gridCol w:w="1753"/>
        <w:gridCol w:w="1753"/>
        <w:gridCol w:w="2478"/>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6.</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DIRECTORS, SENIOR MANAGEMENT AND EMPLOYEES</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DIRECTORS AND SENIOR MANAGEMENT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under the heading “Board of Directors” on pages 66 to 68, “Management team” on pages 69 to 70 and "Directors’ Report for the year ended December 31, 2022” on pages 78 to 81 in each case of PureTech’s “Annual Report and Accounts 2022" included as exhibit 15.1 to this annual report on Form 20-F is incorporated by reference.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Board Diversity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table below provides certain information regarding the diversity of our Board and Directors as of the date of this annual report. </w:t>
      </w:r>
    </w:p>
    <w:p>
      <w:pPr>
        <w:pStyle w:val="TextBody"/>
        <w:spacing w:before="0" w:after="100"/>
        <w:rPr/>
      </w:pPr>
      <w:r>
        <w:rPr/>
      </w:r>
    </w:p>
    <w:tbl>
      <w:tblPr>
        <w:tblW w:w="5340" w:type="dxa"/>
        <w:jc w:val="left"/>
        <w:tblInd w:w="0" w:type="dxa"/>
        <w:tblCellMar>
          <w:top w:w="28" w:type="dxa"/>
          <w:left w:w="28" w:type="dxa"/>
          <w:bottom w:w="28" w:type="dxa"/>
          <w:right w:w="28" w:type="dxa"/>
        </w:tblCellMar>
      </w:tblPr>
      <w:tblGrid>
        <w:gridCol w:w="1482"/>
        <w:gridCol w:w="1299"/>
        <w:gridCol w:w="1299"/>
        <w:gridCol w:w="368"/>
        <w:gridCol w:w="368"/>
        <w:gridCol w:w="524"/>
      </w:tblGrid>
      <w:tr>
        <w:trPr/>
        <w:tc>
          <w:tcPr>
            <w:tcW w:w="1482"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53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Board Diversity Matrix</w:t>
            </w:r>
          </w:p>
        </w:tc>
      </w:tr>
      <w:tr>
        <w:trPr/>
        <w:tc>
          <w:tcPr>
            <w:tcW w:w="408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Country of Principal Executive Offices</w:t>
            </w:r>
          </w:p>
        </w:tc>
        <w:tc>
          <w:tcPr>
            <w:tcW w:w="12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United States</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Foreign Private Issuer</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Yes</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Disclosure Prohibited Under Home Country Law</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w:t>
            </w:r>
          </w:p>
        </w:tc>
      </w:tr>
      <w:tr>
        <w:trPr/>
        <w:tc>
          <w:tcPr>
            <w:tcW w:w="408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Total Number of Directors </w:t>
            </w:r>
          </w:p>
        </w:tc>
        <w:tc>
          <w:tcPr>
            <w:tcW w:w="126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w:t>
            </w:r>
          </w:p>
        </w:tc>
      </w:tr>
    </w:tbl>
    <w:tbl>
      <w:tblPr>
        <w:tblW w:w="8808" w:type="dxa"/>
        <w:jc w:val="left"/>
        <w:tblInd w:w="0" w:type="dxa"/>
        <w:tblCellMar>
          <w:top w:w="28" w:type="dxa"/>
          <w:left w:w="28" w:type="dxa"/>
          <w:bottom w:w="28" w:type="dxa"/>
          <w:right w:w="28" w:type="dxa"/>
        </w:tblCellMar>
      </w:tblPr>
      <w:tblGrid>
        <w:gridCol w:w="1786"/>
        <w:gridCol w:w="1570"/>
        <w:gridCol w:w="1579"/>
        <w:gridCol w:w="210"/>
        <w:gridCol w:w="210"/>
        <w:gridCol w:w="211"/>
        <w:gridCol w:w="150"/>
        <w:gridCol w:w="150"/>
        <w:gridCol w:w="151"/>
        <w:gridCol w:w="295"/>
        <w:gridCol w:w="295"/>
        <w:gridCol w:w="296"/>
        <w:gridCol w:w="558"/>
        <w:gridCol w:w="558"/>
        <w:gridCol w:w="789"/>
      </w:tblGrid>
      <w:tr>
        <w:trPr/>
        <w:tc>
          <w:tcPr>
            <w:tcW w:w="1786"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Female</w:t>
            </w:r>
          </w:p>
        </w:tc>
        <w:tc>
          <w:tcPr>
            <w:tcW w:w="451"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Male</w:t>
            </w:r>
          </w:p>
        </w:tc>
        <w:tc>
          <w:tcPr>
            <w:tcW w:w="88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Non-Binary</w:t>
            </w:r>
          </w:p>
        </w:tc>
        <w:tc>
          <w:tcPr>
            <w:tcW w:w="190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Did Not Disclose Gender</w:t>
            </w:r>
          </w:p>
        </w:tc>
      </w:tr>
      <w:tr>
        <w:trPr/>
        <w:tc>
          <w:tcPr>
            <w:tcW w:w="8808" w:type="dxa"/>
            <w:gridSpan w:val="15"/>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Part I: Gender Identity</w:t>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Directors</w:t>
            </w:r>
          </w:p>
        </w:tc>
        <w:tc>
          <w:tcPr>
            <w:tcW w:w="631"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w:t>
            </w:r>
          </w:p>
        </w:tc>
        <w:tc>
          <w:tcPr>
            <w:tcW w:w="451"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w:t>
            </w:r>
          </w:p>
        </w:tc>
        <w:tc>
          <w:tcPr>
            <w:tcW w:w="88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c>
          <w:tcPr>
            <w:tcW w:w="190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8808" w:type="dxa"/>
            <w:gridSpan w:val="15"/>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Part II: Demographic Background</w:t>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Underrepresented Individual in Home Country Jurisdiction</w:t>
            </w:r>
          </w:p>
        </w:tc>
        <w:tc>
          <w:tcPr>
            <w:tcW w:w="3873"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LGBTQ+</w:t>
            </w:r>
          </w:p>
        </w:tc>
        <w:tc>
          <w:tcPr>
            <w:tcW w:w="3873"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493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Did Not Disclose Demographic Background</w:t>
            </w:r>
          </w:p>
        </w:tc>
        <w:tc>
          <w:tcPr>
            <w:tcW w:w="3873" w:type="dxa"/>
            <w:gridSpan w:val="1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bl>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COMPENSATION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by reference herein: “Directors’ Report for the year ended December 31, 2022” on pages 78 to 81, “Directors’ Remuneration Report for the year ended December 31, 2022” on pages 86 to 89, “Directors’ Remuneration Policy” on pages 90 to 94, “Annual Report on Remuneration” on pages 95 to 102, in each case of PureTech’s “Annual Report and Accounts 2022” included as exhibit 15.1 to this annual report on Form 20-F and “Notes to the Consolidated Financial Statements—Note 8.—Share-Based Payments” of our audited consolidated financial statements included elsewhere in this annual report.</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BOARD PRACTICES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headings "Board of Directors" on pages 66 to 68 “The Board” on pages 71 to 75, “Report of the Nomination Committee” on page 82, “Report of the Audit Committee” on pages 83 to 85, and "Directors' Remuneration Report for the year ended December 31, 2022" on pages 90 to 94 in each case of PureTech’s “Annual Report and Accounts 2022” included as exhibit 15.1 to this annual report on Form 20-F is incorporated by reference.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D. EMPLOYEES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under the heading “ESG Report—Chapter 2: People” on pages 23 to 31 of PureTech’s “Annual Report and Accounts 2022” included as exhibit 15.1 to this annual report on Form 20-F is incorporated by reference.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E. SHARE OWNERSHIP</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graphs and tabular data) set forth under the headings “Directors’ Report for the year ended December 31, 2022” on pages 78 to 81 and “Annual Report on Remuneration” on pages 95 to 102, in each case of PureTech’s “Annual Report and Accounts 2022” included as exhibit 15.1 to this annual report on Form 20-F is incorporated by reference. For information regarding the share ownership of our directors and executive officers, see Item 7.A - "Major Shareholders".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25730"/>
                <wp:effectExtent l="0" t="0" r="0" b="0"/>
                <wp:wrapNone/>
                <wp:docPr id="37" name="Frame3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w:t>
                      </w:r>
                    </w:p>
                  </w:txbxContent>
                </v:textbox>
              </v:rect>
            </w:pict>
          </mc:Fallback>
        </mc:AlternateContent>
      </w:r>
    </w:p>
    <w:p>
      <w:pPr>
        <w:pStyle w:val="TextBody"/>
        <w:spacing w:before="0" w:after="105"/>
        <w:rPr/>
      </w:pPr>
      <w:r>
        <w:rPr/>
      </w:r>
    </w:p>
    <w:p>
      <w:pPr>
        <w:pStyle w:val="TextBody"/>
        <w:spacing w:before="0" w:after="105"/>
        <w:rPr/>
      </w:pPr>
      <w:r>
        <w:rPr/>
      </w:r>
    </w:p>
    <w:tbl>
      <w:tblPr>
        <w:tblW w:w="7874" w:type="dxa"/>
        <w:jc w:val="left"/>
        <w:tblInd w:w="0" w:type="dxa"/>
        <w:tblCellMar>
          <w:top w:w="28" w:type="dxa"/>
          <w:left w:w="28" w:type="dxa"/>
          <w:bottom w:w="28" w:type="dxa"/>
          <w:right w:w="28" w:type="dxa"/>
        </w:tblCellMar>
      </w:tblPr>
      <w:tblGrid>
        <w:gridCol w:w="342"/>
        <w:gridCol w:w="300"/>
        <w:gridCol w:w="303"/>
        <w:gridCol w:w="2027"/>
        <w:gridCol w:w="2027"/>
        <w:gridCol w:w="287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7.</w:t>
            </w:r>
          </w:p>
        </w:tc>
        <w:tc>
          <w:tcPr>
            <w:tcW w:w="69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MAJOR SHAREHOLDERS AND RELATED PARTY TRANSACTIONS</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MAJOR SHAREHOLDERS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sets forth information with respect to the beneficial ownership of our ordinary shares as of by:</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each of our directors;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each of our executive officers;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each person, or group of affiliated persons, who is known by us to beneficially own more than 3 percent of our outstanding ordinary shares.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column entitled “Percentage of Shares Beneficially Owned” is based on a total of 278,461,805 ordinary shares outstanding as of March 31, 2023.</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Beneficial ownership is determined in accordance with the rules and regulations of the SEC and includes voting or investment power with respect to our ordinary shares. Ordinary shares subject to options that are currently exercisable or exercisable within 60 days after March 31,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ordinary shares beneficially owned by them, subject to community property laws, where applicable. Except as otherwise set forth below, the address of the beneficial owner is c/o PureTech Health, 6 Tide Street, Suite 400, Boston, Massachusetts 02210. The information in the table below is based on information known to us or ascertained by us from public filings made by the shareholders. We have also set forth below information known to us regarding any significant change in the percentage ownership of our ordinary shares by any major shareholders during the past three years. The major shareholders listed below do not have voting rights with respect to their ordinary shares that are different from the voting rights of other holders of our ordinary shares.</w:t>
      </w:r>
    </w:p>
    <w:tbl>
      <w:tblPr>
        <w:tblW w:w="5189" w:type="dxa"/>
        <w:jc w:val="left"/>
        <w:tblInd w:w="0" w:type="dxa"/>
        <w:tblCellMar>
          <w:top w:w="28" w:type="dxa"/>
          <w:left w:w="28" w:type="dxa"/>
          <w:bottom w:w="28" w:type="dxa"/>
          <w:right w:w="28" w:type="dxa"/>
        </w:tblCellMar>
      </w:tblPr>
      <w:tblGrid>
        <w:gridCol w:w="1135"/>
        <w:gridCol w:w="997"/>
        <w:gridCol w:w="1003"/>
        <w:gridCol w:w="430"/>
        <w:gridCol w:w="430"/>
        <w:gridCol w:w="1194"/>
      </w:tblGrid>
      <w:tr>
        <w:trPr/>
        <w:tc>
          <w:tcPr>
            <w:tcW w:w="1135"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NAME OF BENEFICIAL OWNER</w:t>
            </w:r>
          </w:p>
        </w:tc>
        <w:tc>
          <w:tcPr>
            <w:tcW w:w="2054"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PERCENTAGE OF SHARES</w:t>
              <w:br/>
              <w:t>BENEFICIALLY OWNED</w:t>
            </w:r>
          </w:p>
        </w:tc>
      </w:tr>
      <w:tr>
        <w:trPr/>
        <w:tc>
          <w:tcPr>
            <w:tcW w:w="313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3 Percent Shareholders</w:t>
            </w:r>
          </w:p>
        </w:tc>
        <w:tc>
          <w:tcPr>
            <w:tcW w:w="2054"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Invesco Asset Management Limited</w:t>
            </w:r>
            <w:r>
              <w:rPr>
                <w:rFonts w:ascii="Avenir LT Pro 45 Book;sans-serif" w:hAnsi="Avenir LT Pro 45 Book;sans-serif"/>
                <w:b w:val="false"/>
                <w:color w:val="000000"/>
                <w:sz w:val="11"/>
              </w:rPr>
              <w:t>1</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23.3 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Lansdowne Partners Limited</w:t>
            </w:r>
            <w:r>
              <w:rPr>
                <w:rFonts w:ascii="Avenir LT Pro 45 Book;sans-serif" w:hAnsi="Avenir LT Pro 45 Book;sans-serif"/>
                <w:b w:val="false"/>
                <w:color w:val="000000"/>
                <w:sz w:val="11"/>
              </w:rPr>
              <w:t>2</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Baillie Gifford &amp; Co</w:t>
            </w:r>
            <w:r>
              <w:rPr>
                <w:rFonts w:ascii="Avenir LT Pro 45 Book;sans-serif" w:hAnsi="Avenir LT Pro 45 Book;sans-serif"/>
                <w:b w:val="false"/>
                <w:color w:val="000000"/>
                <w:sz w:val="11"/>
              </w:rPr>
              <w:t>3</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M&amp;G Investment Management, LTD</w:t>
            </w:r>
            <w:r>
              <w:rPr>
                <w:rFonts w:ascii="Avenir LT Pro 45 Book;sans-serif" w:hAnsi="Avenir LT Pro 45 Book;sans-serif"/>
                <w:b w:val="false"/>
                <w:color w:val="000000"/>
                <w:sz w:val="11"/>
              </w:rPr>
              <w:t>4</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Vanguard Group, Inc.</w:t>
            </w:r>
            <w:r>
              <w:rPr>
                <w:rFonts w:ascii="Avenir LT Pro 45 Book;sans-serif" w:hAnsi="Avenir LT Pro 45 Book;sans-serif"/>
                <w:b w:val="false"/>
                <w:color w:val="000000"/>
                <w:sz w:val="11"/>
              </w:rPr>
              <w:t>5</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Patient Capital Management, Inc. </w:t>
            </w:r>
            <w:r>
              <w:rPr>
                <w:rFonts w:ascii="Avenir LT Pro 45 Book;sans-serif" w:hAnsi="Avenir LT Pro 45 Book;sans-serif"/>
                <w:b w:val="false"/>
                <w:color w:val="000000"/>
                <w:sz w:val="11"/>
              </w:rPr>
              <w:t>6</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Recordati S.p.A</w:t>
            </w:r>
            <w:r>
              <w:rPr>
                <w:rFonts w:ascii="Avenir LT Pro 45 Book;sans-serif" w:hAnsi="Avenir LT Pro 45 Book;sans-serif"/>
                <w:b w:val="false"/>
                <w:color w:val="000000"/>
                <w:sz w:val="11"/>
              </w:rPr>
              <w:t>7</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Executive Officers and Directors</w:t>
            </w:r>
          </w:p>
        </w:tc>
        <w:tc>
          <w:tcPr>
            <w:tcW w:w="2054"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Daphne Zohar</w:t>
            </w:r>
            <w:r>
              <w:rPr>
                <w:rFonts w:ascii="Avenir LT Pro 45 Book;sans-serif" w:hAnsi="Avenir LT Pro 45 Book;sans-serif"/>
                <w:b w:val="false"/>
                <w:color w:val="000000"/>
                <w:sz w:val="11"/>
              </w:rPr>
              <w:t>8</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Bharatt Chowrira, Ph.D., J.D.</w:t>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Sharon Barber-Lui</w:t>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Raju Kucherlapati, Ph.D.</w:t>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John LaMattina, Ph.D.</w:t>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Robert Langer, Sc.D.</w:t>
            </w:r>
            <w:r>
              <w:rPr>
                <w:rFonts w:ascii="Avenir LT Pro 45 Book;sans-serif" w:hAnsi="Avenir LT Pro 45 Book;sans-serif"/>
                <w:b w:val="false"/>
                <w:color w:val="000000"/>
                <w:sz w:val="11"/>
              </w:rPr>
              <w:t>9</w:t>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1.1 </w:t>
            </w:r>
          </w:p>
        </w:tc>
        <w:tc>
          <w:tcPr>
            <w:tcW w:w="1194"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Kiran Mazumdar-Shaw</w:t>
            </w:r>
          </w:p>
        </w:tc>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3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Christopher Viehbacher</w:t>
            </w:r>
          </w:p>
        </w:tc>
        <w:tc>
          <w:tcPr>
            <w:tcW w:w="2054"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Represents beneficial ownership of less than 1 percent of our outstanding ordinary shares.</w:t>
      </w:r>
    </w:p>
    <w:p>
      <w:pPr>
        <w:pStyle w:val="TextBody"/>
        <w:spacing w:before="0" w:after="0"/>
        <w:ind w:left="0" w:right="0" w:hanging="284"/>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not aware that the Company is directly owned or controlled by another corporation, any foreign government or any other natural or legal person(s) severally or jointly. We are not aware of any arrangement, the operation of which may result in a change of control of the Company.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number of record holders in the United States is not representative of the number of beneficial holders nor is it representative of where such beneficial holders are resident since many of these ordinary shares were held by brokers or other nominees. As of March 31, 2023, assuming that all of our ordinary shares represented by ADSs are held by residents of the United States, we estimate that approximately 30% of our outstanding ordinary shares were held in the United States by approximately 78 holders of record.</w:t>
      </w:r>
    </w:p>
    <w:p>
      <w:pPr>
        <w:pStyle w:val="TextBody"/>
        <w:spacing w:lineRule="auto" w:line="256" w:before="0" w:after="0"/>
        <w:rPr/>
      </w:pPr>
      <w:r>
        <w:rPr>
          <w:rFonts w:ascii="Avenir LT Pro 45 Book;sans-serif" w:hAnsi="Avenir LT Pro 45 Book;sans-serif"/>
          <w:b w:val="false"/>
          <w:color w:val="000000"/>
          <w:sz w:val="11"/>
        </w:rPr>
        <w:t>1</w:t>
      </w:r>
      <w:r>
        <w:rPr>
          <w:color w:val="000000"/>
        </w:rPr>
        <w:t xml:space="preserve"> </w:t>
      </w:r>
      <w:r>
        <w:rPr>
          <w:rFonts w:ascii="Avenir LT Pro 45 Book;sans-serif" w:hAnsi="Avenir LT Pro 45 Book;sans-serif"/>
          <w:b w:val="false"/>
          <w:color w:val="183964"/>
          <w:sz w:val="12"/>
        </w:rPr>
        <w:t>Consists of 64,945,474 shares beneficially held. The address for Invesco Asset Management Limited is c/o Invesco Ltd., 1555 Peachtree Street NE, Suite 1800, Atlanta, GA 30309</w:t>
      </w:r>
    </w:p>
    <w:p>
      <w:pPr>
        <w:pStyle w:val="TextBody"/>
        <w:spacing w:lineRule="auto" w:line="288" w:before="0" w:after="40"/>
        <w:rPr/>
      </w:pPr>
      <w:r>
        <w:rPr>
          <w:rFonts w:ascii="Avenir LT Pro 45 Book;sans-serif" w:hAnsi="Avenir LT Pro 45 Book;sans-serif"/>
          <w:b w:val="false"/>
          <w:color w:val="000000"/>
          <w:sz w:val="11"/>
        </w:rPr>
        <w:t>2</w:t>
      </w:r>
      <w:r>
        <w:rPr>
          <w:color w:val="000000"/>
        </w:rPr>
        <w:t xml:space="preserve"> </w:t>
      </w:r>
      <w:r>
        <w:rPr>
          <w:rFonts w:ascii="Avenir LT Pro 45 Book;sans-serif" w:hAnsi="Avenir LT Pro 45 Book;sans-serif"/>
          <w:b w:val="false"/>
          <w:color w:val="183964"/>
          <w:sz w:val="12"/>
        </w:rPr>
        <w:t>Consists of 24,528,171 shares beneficially held. The address for Lansdowne Partners Limited is c/o 15 Davies Street, London W1K 3AG, United Kingdom.</w:t>
      </w:r>
    </w:p>
    <w:p>
      <w:pPr>
        <w:pStyle w:val="TextBody"/>
        <w:spacing w:lineRule="auto" w:line="288" w:before="0" w:after="40"/>
        <w:rPr/>
      </w:pPr>
      <w:r>
        <w:rPr>
          <w:rFonts w:ascii="Avenir LT Pro 45 Book;sans-serif" w:hAnsi="Avenir LT Pro 45 Book;sans-serif"/>
          <w:b w:val="false"/>
          <w:color w:val="000000"/>
          <w:sz w:val="11"/>
        </w:rPr>
        <w:t>3</w:t>
      </w:r>
      <w:r>
        <w:rPr>
          <w:color w:val="000000"/>
        </w:rPr>
        <w:t xml:space="preserve"> </w:t>
      </w:r>
      <w:r>
        <w:rPr>
          <w:rFonts w:ascii="Avenir LT Pro 45 Book;sans-serif" w:hAnsi="Avenir LT Pro 45 Book;sans-serif"/>
          <w:b w:val="false"/>
          <w:color w:val="183964"/>
          <w:sz w:val="12"/>
        </w:rPr>
        <w:t>Consists of 22,521,433 shares beneficially held. The address for Baillie Gifford &amp; Co. is c/o Calton Square, 1 Greenside Row, Edinburgh EH1 3AN, United Kingdom.</w:t>
      </w:r>
    </w:p>
    <w:p>
      <w:pPr>
        <w:pStyle w:val="TextBody"/>
        <w:spacing w:lineRule="auto" w:line="288" w:before="0" w:after="40"/>
        <w:rPr/>
      </w:pPr>
      <w:r>
        <w:rPr>
          <w:rFonts w:ascii="Avenir LT Pro 45 Book;sans-serif" w:hAnsi="Avenir LT Pro 45 Book;sans-serif"/>
          <w:b w:val="false"/>
          <w:color w:val="000000"/>
          <w:sz w:val="11"/>
        </w:rPr>
        <w:t>4</w:t>
      </w:r>
      <w:r>
        <w:rPr>
          <w:color w:val="000000"/>
        </w:rPr>
        <w:t xml:space="preserve"> </w:t>
      </w:r>
      <w:r>
        <w:rPr>
          <w:rFonts w:ascii="Avenir LT Pro 45 Book;sans-serif" w:hAnsi="Avenir LT Pro 45 Book;sans-serif"/>
          <w:b w:val="false"/>
          <w:color w:val="183964"/>
          <w:sz w:val="12"/>
        </w:rPr>
        <w:t>Consists of 11,761,956 shares beneficially held. The address for M&amp;G Investment Management, LTD is c/o 10 Fenchurch Avenue London EC3M 5BM, United Kingdom..</w:t>
      </w:r>
    </w:p>
    <w:p>
      <w:pPr>
        <w:pStyle w:val="TextBody"/>
        <w:spacing w:lineRule="auto" w:line="288" w:before="0" w:after="40"/>
        <w:rPr/>
      </w:pPr>
      <w:r>
        <w:rPr>
          <w:rFonts w:ascii="Avenir LT Pro 45 Book;sans-serif" w:hAnsi="Avenir LT Pro 45 Book;sans-serif"/>
          <w:b w:val="false"/>
          <w:color w:val="000000"/>
          <w:sz w:val="11"/>
        </w:rPr>
        <w:t>5</w:t>
      </w:r>
      <w:r>
        <w:rPr>
          <w:color w:val="000000"/>
        </w:rPr>
        <w:t xml:space="preserve"> </w:t>
      </w:r>
      <w:r>
        <w:rPr>
          <w:rFonts w:ascii="Avenir LT Pro 45 Book;sans-serif" w:hAnsi="Avenir LT Pro 45 Book;sans-serif"/>
          <w:b w:val="false"/>
          <w:color w:val="183964"/>
          <w:sz w:val="12"/>
        </w:rPr>
        <w:t>Consists of 11,256,029 shares beneficially held. The address for Vanguard Group, Inc. is 455 Devon Park Dr Valley Forge, PA, 19482.</w:t>
      </w:r>
    </w:p>
    <w:p>
      <w:pPr>
        <w:pStyle w:val="TextBody"/>
        <w:spacing w:lineRule="auto" w:line="288" w:before="0" w:after="40"/>
        <w:rPr/>
      </w:pPr>
      <w:r>
        <w:rPr>
          <w:rFonts w:ascii="Avenir LT Pro 45 Book;sans-serif" w:hAnsi="Avenir LT Pro 45 Book;sans-serif"/>
          <w:b w:val="false"/>
          <w:color w:val="000000"/>
          <w:sz w:val="11"/>
        </w:rPr>
        <w:t>6</w:t>
      </w:r>
      <w:r>
        <w:rPr>
          <w:color w:val="000000"/>
        </w:rPr>
        <w:t xml:space="preserve"> </w:t>
      </w:r>
      <w:r>
        <w:rPr>
          <w:rFonts w:ascii="Avenir LT Pro 45 Book;sans-serif" w:hAnsi="Avenir LT Pro 45 Book;sans-serif"/>
          <w:b w:val="false"/>
          <w:color w:val="183964"/>
          <w:sz w:val="12"/>
        </w:rPr>
        <w:t>Consists of 9,806,500 shares beneficially held. The address for Patient Capital Management, Inc. is 100 Simcoe St., Suite 100, Toronto, ON M5H 3G2, Canada.</w:t>
      </w:r>
    </w:p>
    <w:p>
      <w:pPr>
        <w:pStyle w:val="TextBody"/>
        <w:spacing w:lineRule="auto" w:line="288" w:before="0" w:after="40"/>
        <w:rPr/>
      </w:pPr>
      <w:r>
        <w:rPr>
          <w:rFonts w:ascii="Avenir LT Pro 45 Book;sans-serif" w:hAnsi="Avenir LT Pro 45 Book;sans-serif"/>
          <w:b w:val="false"/>
          <w:color w:val="000000"/>
          <w:sz w:val="11"/>
        </w:rPr>
        <w:t>7</w:t>
      </w:r>
      <w:r>
        <w:rPr>
          <w:color w:val="000000"/>
        </w:rPr>
        <w:t xml:space="preserve"> </w:t>
      </w:r>
      <w:r>
        <w:rPr>
          <w:rFonts w:ascii="Avenir LT Pro 45 Book;sans-serif" w:hAnsi="Avenir LT Pro 45 Book;sans-serif"/>
          <w:b w:val="false"/>
          <w:color w:val="183964"/>
          <w:sz w:val="12"/>
        </w:rPr>
        <w:t>Consists of 9,554,140 shares beneficially held. The address for Recordati S.p.A. is c/o Via Civitali, 1, 20148 Milano, Italy.</w:t>
      </w:r>
    </w:p>
    <w:p>
      <w:pPr>
        <w:pStyle w:val="TextBody"/>
        <w:spacing w:lineRule="auto" w:line="288" w:before="0" w:after="40"/>
        <w:rPr/>
      </w:pPr>
      <w:r>
        <w:rPr>
          <w:rFonts w:ascii="Avenir LT Pro 45 Book;sans-serif" w:hAnsi="Avenir LT Pro 45 Book;sans-serif"/>
          <w:b w:val="false"/>
          <w:color w:val="000000"/>
          <w:sz w:val="11"/>
        </w:rPr>
        <w:t>8</w:t>
      </w:r>
      <w:r>
        <w:rPr>
          <w:color w:val="000000"/>
        </w:rPr>
        <w:t xml:space="preserve"> </w:t>
      </w:r>
      <w:r>
        <w:rPr>
          <w:rFonts w:ascii="Avenir LT Pro 45 Book;sans-serif" w:hAnsi="Avenir LT Pro 45 Book;sans-serif"/>
          <w:b w:val="false"/>
          <w:color w:val="183964"/>
          <w:sz w:val="12"/>
        </w:rPr>
        <w:t>Consists of an aggregate of 12,564,189 shares held by (i) the Zohar Family Trust I, a U.S. established trust of which Ms. Zohar is a beneficiary and trustee (ii) the Zohar Family Trust II, a U.S. established trust of which Ms. Zohar is a beneficiary (in the event of her spouse’s death) and trustee; (iii) Zohar LLC, a U.S. established limited liability company and (iv) Ms. Zohar owns or has a beneficial interest in 100 percent of the share capital of Zohar LLC.</w:t>
      </w:r>
    </w:p>
    <w:p>
      <w:pPr>
        <w:pStyle w:val="TextBody"/>
        <w:spacing w:lineRule="auto" w:line="288" w:before="0" w:after="40"/>
        <w:rPr/>
      </w:pPr>
      <w:r>
        <w:rPr>
          <w:rFonts w:ascii="Avenir LT Pro 45 Book;sans-serif" w:hAnsi="Avenir LT Pro 45 Book;sans-serif"/>
          <w:b w:val="false"/>
          <w:color w:val="000000"/>
          <w:sz w:val="11"/>
        </w:rPr>
        <w:t>9</w:t>
      </w:r>
      <w:r>
        <w:rPr>
          <w:color w:val="000000"/>
        </w:rPr>
        <w:t xml:space="preserve"> </w:t>
      </w:r>
      <w:r>
        <w:rPr>
          <w:rFonts w:ascii="Avenir LT Pro 45 Book;sans-serif" w:hAnsi="Avenir LT Pro 45 Book;sans-serif"/>
          <w:b w:val="false"/>
          <w:color w:val="183964"/>
          <w:sz w:val="12"/>
        </w:rPr>
        <w:t>Consists of an aggregate of 2,955,324 shares held by (i) Langer Family 2020 Trust and (ii) Dr. Langer directly.</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25730"/>
                <wp:effectExtent l="0" t="0" r="0" b="0"/>
                <wp:wrapNone/>
                <wp:docPr id="38" name="Frame3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xbxContent>
                </v:textbox>
              </v:rect>
            </w:pict>
          </mc:Fallback>
        </mc:AlternateContent>
      </w:r>
    </w:p>
    <w:p>
      <w:pPr>
        <w:pStyle w:val="TextBody"/>
        <w:spacing w:before="0" w:after="105"/>
        <w:rPr/>
      </w:pPr>
      <w:r>
        <w:rPr/>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headings “Directors’ Report for the year ended December 31, 2022—Substantial Shareholders” on page 78 and “Annual Report on Remuneration” on pages 95 to 102, in each case of PureTech’s “Annual Report and Accounts 2022” included as exhibit 15.1 to this annual report on Form 20-F is incorporated by reference.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Change in Ownership of Major Shareholders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our knowledge, other than as disclosed in the table above, our other filings with the SEC, public disclosure, including without limitation Schedule 13 filings, and this annual report, there has been no significant change in the percentage ownership held by any major shareholder since January 1, 2020.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RELATED PARTY TRANSACTIONS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reference herein: headings “Directors’ Report for the year ended December 31, 2022—Related party transactions” on page 79, “Highlights of the Year – 2022” on page 1, and "Components of Our Value" on pages 6 to 7—"Founded Entities" on pages 12 to 14, in each case of PureTech’s “Annual Report and Accounts 2022” included as exhibit 15.1 to this annual report on Form 20-F and “Notes to the Consolidated Financial Statements—Note 24—Related Parties Transactions” of our audited consolidated financial statements included elsewhere in this annual report. For information regarding transactions with our Founded Entities, see Item 10.C - "Material Contracts."</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INTERESTS OF EXPERTS AND COUNSEL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25730"/>
                <wp:effectExtent l="0" t="0" r="0" b="0"/>
                <wp:wrapNone/>
                <wp:docPr id="39" name="Frame3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32</w:t>
                      </w:r>
                    </w:p>
                  </w:txbxContent>
                </v:textbox>
              </v:rect>
            </w:pict>
          </mc:Fallback>
        </mc:AlternateContent>
      </w:r>
    </w:p>
    <w:p>
      <w:pPr>
        <w:pStyle w:val="TextBody"/>
        <w:spacing w:before="0" w:after="105"/>
        <w:rPr/>
      </w:pPr>
      <w:r>
        <w:rPr/>
      </w:r>
    </w:p>
    <w:p>
      <w:pPr>
        <w:pStyle w:val="TextBody"/>
        <w:spacing w:before="0" w:after="105"/>
        <w:rPr/>
      </w:pPr>
      <w:r>
        <w:rPr/>
      </w:r>
    </w:p>
    <w:tbl>
      <w:tblPr>
        <w:tblW w:w="3929" w:type="dxa"/>
        <w:jc w:val="left"/>
        <w:tblInd w:w="0" w:type="dxa"/>
        <w:tblCellMar>
          <w:top w:w="28" w:type="dxa"/>
          <w:left w:w="28" w:type="dxa"/>
          <w:bottom w:w="28" w:type="dxa"/>
          <w:right w:w="28" w:type="dxa"/>
        </w:tblCellMar>
      </w:tblPr>
      <w:tblGrid>
        <w:gridCol w:w="342"/>
        <w:gridCol w:w="300"/>
        <w:gridCol w:w="303"/>
        <w:gridCol w:w="873"/>
        <w:gridCol w:w="873"/>
        <w:gridCol w:w="1238"/>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8.</w:t>
            </w:r>
          </w:p>
        </w:tc>
        <w:tc>
          <w:tcPr>
            <w:tcW w:w="2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INFORMATION</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CONSOLIDATED STATEMENTS AND OTHER FINANCIAL INFORMATION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Consolidated Financial Statements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Please see the information below under the heading Item 18—“Financial Statements.”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Dividend Distribution Policy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never declared or paid any dividends on our ordinary shares, though we may consider doing so in the future depending on the progression of our business. Under English law, we may only pay dividends if our accumulated realized profits, which have not been previously distributed or capitalized, exceed our accumulated realized losses, so far as such losses have not been previously written off in a reduction or reorganization of capital. Therefore, we must have sufficient distributable profits before issuing a dividend. Distributable profits are determined at the holding company level and not on a consolidated basis. Subject to such restrictions and to any restrictions set out in the Articles of Association, declaration and payment of cash dividends in the future, if any, will be at the discretion of our Board of Directors (the "Board") (and in the case of final dividends, must be approved by our shareholders), and will depend upon such factors as results of operations, capital requirements, contractual restrictions, our overall financial condition or applicable laws and any other factors deemed relevant by the Board.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Legal Proceedings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the date of this annual report, we were not party to any material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SIGNIFICANT CHANGES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Except as otherwise disclosed in this annual report on Form 20-F, no significant change has occurred since the date of the most recent financial statements included elsewhere in this annual report on Form 20-F.</w:t>
      </w:r>
    </w:p>
    <w:p>
      <w:pPr>
        <w:pStyle w:val="TextBody"/>
        <w:spacing w:before="0" w:after="100"/>
        <w:rPr/>
      </w:pPr>
      <w:r>
        <w:rPr/>
      </w:r>
    </w:p>
    <w:p>
      <w:pPr>
        <w:pStyle w:val="TextBody"/>
        <w:spacing w:before="0" w:after="100"/>
        <w:rPr/>
      </w:pPr>
      <w:r>
        <w:rPr/>
      </w:r>
    </w:p>
    <w:p>
      <w:pPr>
        <w:pStyle w:val="TextBody"/>
        <w:spacing w:before="0" w:after="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25730"/>
                <wp:effectExtent l="0" t="0" r="0" b="0"/>
                <wp:wrapNone/>
                <wp:docPr id="40" name="Frame4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w:t>
                      </w:r>
                    </w:p>
                  </w:txbxContent>
                </v:textbox>
              </v:rect>
            </w:pict>
          </mc:Fallback>
        </mc:AlternateContent>
      </w:r>
    </w:p>
    <w:p>
      <w:pPr>
        <w:pStyle w:val="TextBody"/>
        <w:spacing w:before="0" w:after="105"/>
        <w:rPr/>
      </w:pPr>
      <w:r>
        <w:rPr/>
      </w:r>
    </w:p>
    <w:p>
      <w:pPr>
        <w:pStyle w:val="TextBody"/>
        <w:spacing w:before="0" w:after="105"/>
        <w:rPr/>
      </w:pPr>
      <w:r>
        <w:rPr/>
      </w:r>
    </w:p>
    <w:tbl>
      <w:tblPr>
        <w:tblW w:w="3824" w:type="dxa"/>
        <w:jc w:val="left"/>
        <w:tblInd w:w="0" w:type="dxa"/>
        <w:tblCellMar>
          <w:top w:w="28" w:type="dxa"/>
          <w:left w:w="28" w:type="dxa"/>
          <w:bottom w:w="28" w:type="dxa"/>
          <w:right w:w="28" w:type="dxa"/>
        </w:tblCellMar>
      </w:tblPr>
      <w:tblGrid>
        <w:gridCol w:w="342"/>
        <w:gridCol w:w="300"/>
        <w:gridCol w:w="303"/>
        <w:gridCol w:w="843"/>
        <w:gridCol w:w="843"/>
        <w:gridCol w:w="1193"/>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9.</w:t>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THE OFFER AND LISTING</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OFFER AND LISTING DETAILS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American Depositary Shares ("ADSs") have been listed on The Nasdaq Global Market under the symbol “PRTC” since November 16, 2020. Prior to that date, there was no public trading market for our ADSs. Our ordinary shares have been trading on the main market of the London Stock Exchange since June 2015 under the ticker code “PRTC.” Prior to that date, there was no public trading market for our ordinary shares.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PLAN OF DISTRIBUTION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MARKETS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ADSs have been listed on the Nasdaq Global Market under the symbol “PRTC” since November 16, 2020 and our ordinary shares have been listed on the main market of the London Stock Exchange since June 2015.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D. SELLING SHAREHOLDERS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E. DILUTION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F. EXPENSES OF THE ISSUE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25730"/>
                <wp:effectExtent l="0" t="0" r="0" b="0"/>
                <wp:wrapNone/>
                <wp:docPr id="41" name="Frame4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34</w:t>
                      </w:r>
                    </w:p>
                  </w:txbxContent>
                </v:textbox>
              </v:rect>
            </w:pict>
          </mc:Fallback>
        </mc:AlternateContent>
      </w:r>
    </w:p>
    <w:p>
      <w:pPr>
        <w:pStyle w:val="TextBody"/>
        <w:spacing w:before="0" w:after="0"/>
        <w:jc w:val="center"/>
        <w:rPr/>
      </w:pPr>
      <w:r>
        <w:rPr/>
      </w:r>
    </w:p>
    <w:tbl>
      <w:tblPr>
        <w:tblW w:w="4244" w:type="dxa"/>
        <w:jc w:val="left"/>
        <w:tblInd w:w="0" w:type="dxa"/>
        <w:tblCellMar>
          <w:top w:w="28" w:type="dxa"/>
          <w:left w:w="28" w:type="dxa"/>
          <w:bottom w:w="28" w:type="dxa"/>
          <w:right w:w="28" w:type="dxa"/>
        </w:tblCellMar>
      </w:tblPr>
      <w:tblGrid>
        <w:gridCol w:w="390"/>
        <w:gridCol w:w="343"/>
        <w:gridCol w:w="346"/>
        <w:gridCol w:w="926"/>
        <w:gridCol w:w="926"/>
        <w:gridCol w:w="1313"/>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10.</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ADDITIONAL INFORMATION</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SHARE CAPITAL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B. MEMORANDUM AND ARTICLES OF ASSOCIATION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Objects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Section 31 of the Companies Act 2006 provides that the objects of a company are unrestricted unless any restrictions are set out in the articles. There are no such restrictions in our Articles of Association ("Articles") and our objects are therefore unrestricted.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copy of our Articles is attached as Exhibit 1.1 to this annual report on Form 20-F. The information called for by this Item is set forth in Exhibit 2.3 to this annual report on Form 20-F for the year ended December 31, 2022. </w:t>
      </w:r>
    </w:p>
    <w:p>
      <w:pPr>
        <w:pStyle w:val="TextBody"/>
        <w:spacing w:lineRule="auto" w:line="333"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C. MATERIAL CONTRACTS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Except as otherwise set forth below or as otherwise disclosed in this report, we are not currently, and have not been in the last two years, party to any material contract, other than contracts entered into in the ordinary course of business.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PureTech Health plc Performance Share Plan, or PSP, and forms of award agreements thereunder were approved on June 18, 2015. Under the PSP and subsequent amendments, awards of ordinary shares may be made to the Directors, senior managers and employees of, and other individuals providing services to the Company and its subsidiaries up to a maximum authorized amount of 10.0 percent of the total ordinary shares outstanding. The shares have various vesting terms over a period of service between two and four years, provided the recipient remains continuously engaged as a service provider.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August 10, 2018, we entered into a Lease Agreement with RBK I Tenant, LLC for certain premises of approximately 50,858 rentable square feet of space at 6 Tide Street, Boston, MA 02210. The lease commenced on April 26, 2019 for an initial term consisting of ten years and three months and there is an option to extend for two consecutive periods of five years each.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executed agreements with the members of the Board substantially in the form of our Form of Deed of Indemnity.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an Asset Purchase Agreement by and between Auspex Pharmaceuticals, Inc. and PureTech Health LLC, dated July 15, 2019, pursuant to which Auspex assigned and transferred all patent claims, inventory, technology, contracts and related rights relating to LYT-100 to us. As consideration, we paid an upfront payment, which we do not deem material. In addition, Auspex is eligible to receive milestone payments of approximately $84 million in the aggregate depending upon specified developmental, regulatory and commercial achievements. In addition, for ten years following the first commercial sale of any commercialized product containing LYT-100, Auspex is eligible to receive low to middle single-digit royalties on the worldwide net sales of such product.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Royalty Agreement with Follica, Incorporated, dated July 23, 2013, pursuant to which Follica agreed to pay us a two percent royalty on net sales by Follica or its sublicensees of (i) products involving skin disruption using any mechanical, energy or chemical based approaches, applying compounds to the skin, or any other approaches to the treatment of hair follicles or other dermatological disorders commercialized by Follica, (ii) processes involving such products, or (iii) services which use or incorporate any such product or process. In the event that Follica sublicenses the rights to any of these products, processes or services, Follica will be obligated to pay us low teen royalties on any income received from the sublicensee. Either party may terminate this agreement upon an uncured material breach by the other party. To date, we have not received any royalty payments pursuant to this agreement. We do not direct or control the development and commercialization of the intellectual property licensed pursuant to this agreement.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Royalty and Sublicense Income Agreement with Gelesis, dated December 18, 2009, pursuant to which we are required to provide certain funding, management services and services relating to intellectual property. In exchange, Gelesis is required to pay us a royalty equal to 2 percent of all net product sales and 10 percent of gross sublicense income received on certain food products as a result of developing hydrogel-based products that are covered by a licensed patent that has issued and has not been revoked or abandoned. The royalty rate is subject to customary downward adjustments in the event Gelesis is required to pay third parties to obtain a license to intellectual property rights that are necessary for Gelesis to develop or commercialize our products. There are no milestone payment obligations under this agreement. Management services provided by us include advisory services on corporate strategy, general and administrative support including office space, supplies and administrative support, payroll services and website development and support. Gelesis’ obligation to pay royalties to us will terminate on a country-by-country basis upon termination or expiration of the underlying patents. To date, we have not received any royalty payments pursuant to this agreement. We do not direct or control the development and commercialization of the intellectual property sublicensed pursuant to this agreement.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an Exclusive Patent License Agreement with Karuna, dated March 4, 2011, pursuant to which we granted Karuna an exclusive license to patent rights relating to combinations of a muscarinic activator with a muscarinic inhibitor for the treatment of central nervous system disorders. Karuna agreed to make milestone payments to us of up to an aggregate of $10 million upon the achievement of specified development and regulatory milestones. In addition, for the term of this agreement Karuna is obligated to pay us low single-digit running royalties on the worldwide net sales of any commercialized product covered by the licenses granted under this agreement. In the event that Karuna sublicenses any of the patent rights granted under this agreement, Karuna will be obligated to pay us royalties within the range of 15 percent to 25 percent on any income received from the sublicensee, excluding royalties. Karuna may terminate this agreement for any reason with proper prior notice to us, provided that it would lose its rights to the underlying patents as a result. Either party may terminate this agreement upon an uncured material breach by the other party. To date, we have not received any royalty payments pursuant to this agreement. We do not direct or control the development and commercialization of the intellectual property licensed pursuant to this agreement.</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25730"/>
                <wp:effectExtent l="0" t="0" r="0" b="0"/>
                <wp:wrapNone/>
                <wp:docPr id="42" name="Frame4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35</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Research and License Agreement with New York University, or NYU, on March 6, 2017, pursuant to which NYU granted to us an exclusive worldwide license to patents relating to certain therapeutic candidates, including LYT-200. In connection with this agreement, we are required to pay an annual license fee in addition to milestone payments upon the achievement of certain clinical and commercial milestones, both of which we deem immaterial. Additionally, for the term of this agreement, we are obligated to make low single digit royalty payments on the net sales of any commercialized product covered by the license granted under the agreement. In the event that we sublicense any of the patent rights granted under the Research and License Agreement, we will be obligated to pay NYU a low teen percentage of any royalties received by such sublicensee, provided that such payments are capped at a low single digit of net sales of any commercialized product by such sublicensee.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 Business Combination and Other Transactions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Gelesis, Capstar Special Acquisition Corp., a Delaware corporation (“CPSR”), and CPSR Gelesis Merger Sub, Inc., a Delaware corporation, and wholly-owned subsidiary of CPSR (“Merger Sub”), consummated a business combination ("Gelesis Merger") pursuant to the business combination agreement, dated July 19, 2021, as amended on November 8, 2021 (the “Gelesis Business Combination Agreement”). Pursuant to the terms of the Gelesis Business Combination Agreement, Merger Sub merged with and into Gelesis, with Gelesis surviving the merger as a wholly-owned subsidiary of CPSR. In connection with the consummation of the Merger on the Closing Date, CPSR changed its name to Gelesis Holdings, Inc ("GLS"). As a result of the Gelesis Merger, among other things, each common share of Gelesis that was issued and outstanding immediately prior to the effective time of the Merger, after giving effect to the conversion of all preferred shares of Gelesis into common shares of Gelesis immediately prior to the effective time, was canceled and converted into the right to receive a number of shares of GLS Common Stock equal to an exchange ratio of approximately 2.59 multiplied by the number of common shares of Gelesis held by such holder immediately prior to the effective time. In addition, (a) all vested and unvested stock options of Gelesis were assumed by GLS and (b) each warrant of Old Gelesis was cancelled in exchange for a warrant to purchase shares of GLS, in each case based on an implied equity value of $675,000,000 as of the Closing.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Concurrently with the execution of the Gelesis Business Combination Agreement, on July 19, 2021, CPSR entered into subscription agreements (the “Subscription Agreements”) with certain investors, including us, pursuant to which we purchased 1.5 million shares of GLS common stock at a price of $10.00 per share, for an aggregate purchase price of $15.0 million (the “PIPE Financing”). The PIPE Financing was consummated concurrently with the closing of the Gelesis Merger.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30, 2021, CPSR entered into a Backstop Agreement (the “Backstop Agreement”) with us and SSD2, LLC (“SSD2” and together with us, the “Backstop Purchasers”), pursuant to which the Backstop Purchasers agreed to purchase an aggregate of up to 1,500,000 shares of GLS common stock immediately prior to the closing at a cash purchase price of $10.00 per share (the “Backstop Purchase Shares”), resulting in aggregate proceeds of up to $15.0 million, which amount, when added to the proceeds from the PIPE Financing, would ensure that the minimum cash condition would be satisfied. Based on the number of redemptions at closing, we purchased 496,145 shares for an aggregate price of $5.0 million. In addition, at the closing of the sale of the Backstop Purchase Shares, GLS issued an additional 1,322,500 shares of common stock to us.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the closing on January 13, 2022, Gelesis, CPSR, certain former directors of CPSR (the “Director Holders”) and certain former stockholders of Gelesis (collectively with Sponsor and the Director Holders, the “Holders”), including us, entered into an Amended and Restated Registration and Stockholder Rights Agreement, pursuant to which, among other things, the Holders agreed not to effect any sale or distribution of any equity securities of GLS held by any of them during a lock-up period (180 days after closing of the Gelesis Merger in the case of PureTech Health LLC), and GLS agreed to register for resale, pursuant to Rule 415 of the Securities Act of 1933, as amended, certain shares of common stock and other equity securities of GLS that are held by the parties thereto from time to time.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July 25, 2022, GLS issued a short term promissory note in the aggregate principal amount of $15.0 million (the “Promissory Note”) to us for a cash purchase price of $15.0 million as part of a series of promissory notes issued by GLS. On July 27, 2022, the Promissory Note was amended and restated to revise certain provisions contained therein.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Upon a Payment Default under the Promissory Note that has not been cured by GLS after five days, (x) GLS will be required to issue a warrant to us (a “Promissory Note Warrant”) to purchase, at an exercise price of $0.01 per share, subject to adjustment, an aggregate of number of shares of GLS common stock equal to: (i) (A) 0.2 multiplied by (B) the amount of outstanding principal and accrued interest under the Promissory Note as of the date of conversion, divided by (ii) the volume weighted average price of the GLS common stock, as reported by the New York Stock Exchange (the “NYSE”), for the five trading days (the “Common Stock VWAP”) occurring immediately prior to the date of exercise and (y) we may elect, at our option, to convert the outstanding principal and accrued interest under the Promissory Note into a number of shares of GLS common stock equal to (i) the amount of outstanding principal and accrued interest under the Promissory Note as of the date of conversion, divided by (ii) the lesser of the price per share of (A) the GLS common stock, as reported by the NYSE or (B) the Common Stock VWAP as of the day prior to the date of our conversion notice. The Promissory Note Warrant will be exercisable from the date of issuance and will expire on the date that is ten years from the date of issuance.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February 21, 2023, we entered into a Note and Warrant Purchase Agreement (the “NPA”) with GLS, Gelesis (together with GLS, the “Notes Issuers”), Gelesis 2012, Inc. and Gelesis, LLC, as guarantors of the Convertible Notes, pursuant to which, for a cash purchase price of $5.0 million, (i) the Notes Issuers issued a short term secured convertible note in the aggregate principal amount of $5.0 million (the “Convertible Notes” and such initial issuance, the “Initial Notes”) to us and (ii) GLS issued warrants to purchase 23,688,047 shares of common stock of GLS (the “Warrants”) to us. The Convertible Notes are guaranteed by the domestic subsidiaries of Gelesis and are secured by a first-priority lien on any and all assets of GLS, including without limitation, intellectual property, regulatory filings and product approvals, clearances and marks worldwide (other than the equity interests in Gelesis S.r.l. and assets held by Gelesis S.r.l.) and a pledge of the 100% of the equity interests of Gelesis and the domestic subsidiaries of the Notes Issuers. The Convertible Notes bear interest at a rate of 12% per annum, and mature on July 31, 2023, unless earlier converted or extended as described below. The Convertible Notes are not convertible, and the Warrants are not exercisable, until GLS receives stockholder approval of the issuance of the shares of common stock underlying the Convertible Note and the Warrants (the “Stockholder Approval”) in accordance with the terms thereof. Upon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25730"/>
                <wp:effectExtent l="0" t="0" r="0" b="0"/>
                <wp:wrapNone/>
                <wp:docPr id="43" name="Frame4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36</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receipt of Stockholder Approval, (i) the Convertible Notes shall be convertible at our option into a number of shares of common stock equal to (x) the outstanding principal amount of such Note plus accrued and unpaid interest divided by (y) the Conversion Price (as defined in the Convertible Note) and (ii) the Warrants will become exercisable for a purchase price of $0.2744 per share.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pursuant to the NPA, we have agreed, upon the request of the Notes Issuers, to purchase from the Notes Issuers an additional $5.0 million principal amount of the Convertible Notes (the “Additional Notes”), and to purchase from GLS additional Warrants, representing warrant coverage of 170% of the principal amount of the Additional Notes, if (i) GLS and we, in our sole discretion, shall have agreed upon a satisfactory over-the-counter operating plan for GLS; (ii) GLS shall have successfully completed and submitted the usability study with respect to the OTC reclassification of its Plenity product; (iii) GLS shall have received Stockholder Approval on or prior to July 31, 2023; and (iv) other commercially reasonable customary conditions are satisfied.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(i) GLS receives Stockholder Approval prior to July 31, 2023, and (ii) GLS receives proceeds from the sale of additional Convertible Notes to other investors of at least $10.0 million prior to July 31, 2023, the maturity date for all the Convertible Notes issued under the NPA shall be March 31, 2024.</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terms of the Initial Notes and the Additional Notes, any term of any indebtedness, debt or equity-linked debt security incurred or issued by the Notes Issuers after the issuance of the Initial Notes that is more favorable than the terms of the Initial Notes or the Additional Notes (including warrant coverage), shall, at our option, automatically be incorporated into the Initial Notes, the Additional Notes and/or the Warrants (including warrant coverage).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NPA provides that all shares of common stock issuable upon conversion of the Convertible Notes and upon exercise of the Warrants shall be entitled to registration rights which require GLS to file a shelf registration statement to register such shares for resale.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Akili Business Combination Transaction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26, 2022, Akili entered into an Agreement and Plan of Merger (the “Akili Merger Agreement”), by and among Akili, Social Capital Suvretta Holdings Corp. I (“SCS”), and Karibu Merger Sub, Inc., a Delaware corporation and a direct wholly owned subsidiary of SCS (“Merger Sub”). Pursuant to the Akili Merger Agreement, among other things: (i) prior to the closing of the transactions contemplated by the Akili Merger Agreement, SCS will domesticate as a Delaware corporation in accordance with the DGCL, and the Cayman Islands Companies Act (As Revised), (ii) at the closing, upon the terms and subject to the conditions of the Merger Agreement, in accordance with the DGCL, Merger Sub will merge with and into Akili, with Akili continuing as the surviving corporation and a wholly owned subsidiary of SCS (the “Merger”), (iii) at the closing, all of the outstanding capital stock of Akili and all options and warrants to acquire capital stock of Akili will be converted into the right to receive shares of common stock, par value $0.0001 per share, of SCS (after its domestication) (“SCS Common Stock”) or comparable equity awards that are settled or are exercisable for shares of SCS Common Stock, representing an aggregate of 60 million shares of SCS Common Stock, (iv) at the closing, SCS will be renamed “Akili, Inc.” and (v) at the closing, SCS will deposit into an escrow account for the benefit of the pre-Closing Akili stockholders, optionholders and warrantholders an aggregate number of shares of SCS Common Stock equal to 7.5% of the fully diluted shares of SCS Common Stock (including shares reserved under the equity incentive plan to be adopted by the combined company in connection with the Closing), determined as of immediately following the Closing (collectively, the “Earnout Shares”), which Earnout Shares will be subject to release from escrow to the pre-Closing Akili stockholders, optionholders and warrantholders in three equal tranches upon the daily volume weighted average price of a share of SCS Common Stock reaching $15.00/share, $20.00/share and $30.00/share, respectively, over any 20 trading days within any 30 consecutive trading day period following the closing and prior to the fifth anniversary of the closing, in each case, on the terms set forth in the Akili Merger Agreement. The Closing is subject to the satisfaction or waiver of certain closing conditions contained in the Merger Agreement, including the approval of SCS’s shareholders.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 Stock Purchase Agreement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2022, we entered into a Series B Preferred Stock Purchase Agreement (the “Sonde Series B Agreement”) with Sonde and other investors pursuant to which certain other investors purchased shares of Sonde’s Series B Preferred Stock, and the $2.8 million principal amount and accrued interest outstanding under the convertible promissory notes previously issued to us by Sonde shall be converted into 1.1 million shares of Series B Preferred Stock of Sonde.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Royalty Pharma Royalty Purchase Agreement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March 22, 2023, we entered into a Royalty Purchase Agreement (the “Royalty Pharma Agreement”) with Royalty Pharma Investments 2019 ICAV (“Royalty Pharma”), pursuant to which Royalty Pharma acquired an interest in our royalty in Karuna’s KarXT for aggregate payments to us of up to $500.0 million. Pursuant to the Royalty Pharma Agreement, Royalty Pharma will receive 100% of the royalty payments that we had a right to receive from Karuna until Royalty Pharma receives $60.0 million in such royalty payments during a calendar year, after which Royalty Pharma will receive 33% and we will receive 67% of such royalty payments for such calendar year. We received an upfront payment of $100.0 million from Royalty Pharma upon closing and are eligible to receive up to $400.0 million in additional payments upon the achievement of certain regulatory and commercial milestones related to KarXT.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Vedanta Note Purchase Agreement</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24, 2023, we entered into a Secured Convertible Promissory Note Purchase Agreement with Vedanta and other investors pursuant to which we purchased a secured convertible promissory note (the “Vedanta Note”) from Vedanta in the principal amount of $5.0 million. The Vedanta Note bears interest at an annual rate of 9.0% and matures on the later of (i) November 1, 2025 and (ii) the date which is 60 days after all amounts owed under or in connection with Vedanta’s loan and security agreement with K2 HealthVentures LLC (if then in effect and outstanding) have been paid in full. The Vedanta Note is mandatorily convertible in a qualified equity financing and a qualified public offering into shares of Vedanta’s preferred stock or common stock, respectively. In addition, the Vedanta Note allows for optional conversion immediately prior to a non-qualified equity financing and for a pay-out in the case of a change of control transaction.</w:t>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25730"/>
                <wp:effectExtent l="0" t="0" r="0" b="0"/>
                <wp:wrapNone/>
                <wp:docPr id="44" name="Frame4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37</w:t>
                      </w:r>
                    </w:p>
                  </w:txbxContent>
                </v:textbox>
              </v:rect>
            </w:pict>
          </mc:Fallback>
        </mc:AlternateContent>
      </w:r>
    </w:p>
    <w:p>
      <w:pPr>
        <w:pStyle w:val="TextBody"/>
        <w:spacing w:before="0" w:after="0"/>
        <w:jc w:val="center"/>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Voting and Investors’ Rights Agreements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party to voting and investors’ rights agreements with certain of our Founded Entities as described below:</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Pursuant to an Amended and Restated Investors’ Rights Agreement, as amended, between Vedanta and certain of its investors, dated March 1, 2023, we are entitled to designate a total of four directors to Vedanta’s board of directors, including (i) two directors for so long as PureTech Health LLC continues to hold a majority of Vedanta’s Series A-1 preferred stock, and (ii) two directors for so long as PureTech Health LLC continues to hold a majority of Vedanta’s Series B preferred stock. The execution of this agreement replaced and terminated the previous Amended and Restated Investors' Rights Agreement dated July 15, 2021, which had provided us with equivalent rights.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Pursuant to an Amended and Restated Voting Agreement between Sonde and certain of its investors, dated May 25, 2022, we are entitled to designate one director to Sonde’s board of directors for so long as PureTech Health LLC and its affiliates continue to hold at least 1,000,000 shares of Sonde’s Series A-2 preferred stock. The execution of this agreement replaced and terminated the previous Voting Agreement dated April 9, 2019, which had provided us with equivalent rights.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Pursuant to a Voting Agreement between Entrega and certain of its investors, dated December 18, 2017, we are entitled to designate four directors to Entrega’s board of directors.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Pursuant to the Fifth Amended and Restated Voting Agreement between Follica and certain of its investors, dated July 19, 2019, we are entitled to designate one director to Follica’s board of directors for so long as PureTech Health LLC and its affiliates continue to own at least 1,000,000 shares of Follica’s common stock.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Agreements with Founded Entities Restricting Sale of Shares in Connection with an Underwritten Offering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party to agreements containing market stand-off provisions with certain of our Founded Entities that restrict our ability to sell shares of such Founded Entities for 180 days (or for a period of time as specified below) after their initial public offerings or initial public listing through a business combination, or an underwritten offering, as follows: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Registration Rights Agreement, by and among Akili and the holders listed therein, dated as of August 19, 2022, which provides for a 90-day market stand-off period;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Lock-Up Agreement, by and among Akili and the holders listed therein, dated as of August 19, 2022;</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Third Amended and Restated Investors’ Rights Agreement between Akili and the investor parties named therein, dated May 25, 2021, the execution of which replaced and terminated the Second Amended and Restated Investors' Rights Agreement dated May 8, 2018, which had contained an equivalent restriction;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Fifth Amended and Restated Investors’ Rights Agreement between Follica and the investor parties named therein, dated July 19, 2019;</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Investors’ Rights Agreement between Vedanta, as amended, and the investor parties named therein, dated March 1, 2023, the execution of which replaced and terminated the previous Amended and Restated Investors' Rights Agreement dated July 15, 2021, which had contained an equivalent restriction;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Investors’ Rights Agreement between Entrega and the investor parties named therein, dated December 18, 2017;</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Investors’ Rights Agreement between Sonde and the investor parties named therein, dated May 25, 2022, the execution of which replaced and terminated the previous Investors' Rights Agreement dated April 9, 2019, which had contained an equivalent restriction;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Investors’ Rights Agreement between Vor and the investor parties named therein, dated June 30, 2020, which terminated as of Vor’s initial public offering, except for the registration rights granted thereunder;</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Registration and Stockholders Rights Agreement dated January 13, 2022 between CPSR and the stockholder parties named therein, the execution of which terminated the Ninth Amended and Restated Stockholders Agreement between Gelesis and the stockholder parties named therein, dated December 5, 2019, which had contained an equivalent restriction;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The Backstop Agreement between CPSR and us, among others, dated December 30, 2021, which provides that certain shares acquired thereunder are subject to a 180-day market stand off provision.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Other Shareholder Rights Agreements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certain registration rights provisions in agreements with our Founded Entities as follows: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Third Amended and Restated Investors’ Rights Agreement between Akili and the investor parties named therein, dated May 25, 2021, the execution of which replaced and terminated the Second Amended and Restated Investors' Rights Agreement dated May 8, 2018, which had provided us with similar rights;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Registration Rights Agreement, by and among Akili and the holders listed therein, dated as of August 19, 2022;</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Fifth Amended and Restated Investors’ Rights Agreement between Follica and the investor parties named therein, dated July 19, 2019;</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Investors’ Rights Agreement between Vedanta, as amended, and the investor parties named therein, dated March 1, 2023, the execution of which replaced and terminated the previous Amended and Restated Investors' Rights Agreement dated July 15, 2021, which had provided us with similar rights;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Investors’ Rights Agreement between Entrega and the investor parties named therein, dated December 18, 2017;</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Investors’ Rights Agreement between Sonde and the investor parties named therein, dated May 25, 2022, the execution of which replaced and terminated the previous Investors' Rights Agreement dated April 9, 2019, which had provided us with similar rights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Registration and Stockholders Rights Agreement dated January 13, 2022 between CPSR and the stockholder parties named therein, the execution of which terminated the Ninth Amended and Restated Stockholders Agreement between Gelesis and the stockholder parties named therein, dated December 5, 2019,which had provided us with similar rights;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Backstop Agreement between CPSR and us, among others, dated December 30, 2021;</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Subscription Agreement between CPSR and the investor parties thereto dated July 19, 2021; and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Amended and Restated Investors’ Rights Agreement between Vor and the investor parties named therein, dated June 30, 2020.</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25730"/>
                <wp:effectExtent l="0" t="0" r="0" b="0"/>
                <wp:wrapNone/>
                <wp:docPr id="45" name="Frame4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38</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certain preemptive rights of first refusal with respect to transfers of shares by other holders pursuant to the following agreements: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Fifth Amended and Restated Right of First Refusal and Co-Sale Agreement, dated July 19, 2019, by and among Follica, Incorporated and the investors and key holders party thereto;</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Amended and Restated Right of First Refusal and Co-Sale Agreement, dated May 25, 2022, by and between Sonde Health, Inc. and the investors and key holders party thereto, the execution of which replaced and terminated the previous Right of First Refusal and Co-Sale Agreement dated April 9, 2019, which had provided us with similar rights; and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Right of First Refusal and Co-Sale Agreement, dated December 18, 2017, by and between Entrega, Inc. and the investors and key holders party thereto.</w:t>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D. EXCHANGE CONTROLS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Other than certain economic sanctions which may be in place from time to time, there are currently no UK laws, decrees or other regulations restricting the import or export of capital or affecting the remittance of dividends or other payment to holders of ordinary shares who are non-residents of the United Kingdom. Similarly, other than certain economic sanctions which may be in force from time to time, there are no limitations relating only to nonresidents of the United Kingdom under English law or the Company's articles of association on the right to be a holder of, and to vote in respect of, the ordinary shares. </w:t>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E. TAXATION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Certain United Kingdom Tax Considerations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is a general summary of certain U.K. tax considerations relating to the ownership and disposal of an ordinary share or ADS and does not address all possible tax consequences relating to an investment in an ordinary share or ADS. It is based on U.K. tax law and generally published HM Revenue &amp; Customs, or HMRC, practice (which may not be binding on HMRC) as of the date of this annual report on Form 20-F, both of which are subject to change, possibly with retrospective effect.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Save as provided otherwise, this summary applies only to a person who is the absolute beneficial owner of an ordinary share or ADS and who is resident (and, in the case of an individual, domiciled) in the United Kingdom for tax purposes and who is not resident for tax purposes in any other jurisdiction and does not have a permanent establishment or fixed base in any other jurisdiction with which the holding of an ordinary share or ADS is connected (“U.K. Holders”). A person (a) who is not resident (or, if resident, is not domiciled) in the United Kingdom for tax purposes, including an individual and company who trades in the United Kingdom through a branch, agency or permanent establishment in the United Kingdom to which an ordinary share or ADS is attributable, or (b) who is resident or otherwise subject to tax in a jurisdiction outside the United Kingdom, is recommended to seek the advice of professional advisors in relation to their taxation obligations.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This summary is for general information only and is not intended to be, nor should it be considered to be, legal or tax advice to any particular investor. It does not address all of the tax considerations that may be relevant to specific investors in light of their particular circumstances or to investors subject to special treatment under U.K. tax law. In particular: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this summary only applies to an absolute beneficial owner of an ordinary share or ADS and any dividend paid in respect of the ordinary share where the dividend is regarded for U.K. tax purposes as that person’s own income (and not the income of some other person);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this summary: (a) only addresses the principal U.K. tax consequences for an investor who holds an ordinary share or ADS as a capital asset, (b) does not address the tax consequences that may be relevant to certain special classes of investor such as a dealer, broker or trader in shares or securities and any other person who holds an ordinary share or ADS otherwise than as an investment, (c) does not address the tax consequences for a holder that is a financial institution, insurance company, collective investment scheme, pension scheme, charity or tax-exempt organization, (d) assumes that a holder is not an officer or employee of the company (nor of any related company) and has not (and is not deemed to have) acquired the an ordinary share or ADS by virtue of an office or employment, and (e) assumes that a holder does not control or hold (and is not deemed to control or hold), either alone or together with one or more associated or connected persons, directly or indirectly (including through the holding of an ordinary share or ADS), an interest of 10 percent or more in the issued share capital (or in any class thereof), voting power, rights to profits or capital of the company, and is not otherwise connected with the company.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This summary further assumes that a holder of an ordinary share or ADS is the beneficial owner of the underlying ordinary share for U.K. direct tax purposes.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POTENTIAL INVESTORS IN THE ORDINARY SHARES OR ADSs SHOULD SATISFY THEMSELVES PRIOR TO INVESTING AS TO THE OVERALL TAX CONSEQUENCES, INCLUDING, SPECIFICALLY, THE CONSEQUENCES UNDER U.K. TAX LAW AND HMRC PRACTICE OF THE ACQUISITION, OWNERSHIP AND DISPOSAL OF THE ORDINARY SHARES OR ADSs, IN THEIR OWN PARTICULAR CIRCUMSTANCES BY CONSULTING THEIR TAX ADVISERS.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of Dividends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Withholding Tax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dividend payment in respect of an ordinary share may be made without withholding or deduction for or on account of U.K. tax.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Income Tax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dividend received by individual U.K. Holders may, depending on his or her particular circumstances, be subject to U.K. income tax on the gross amount of the dividend paid.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holder of an ordinary share or ADS who is not a U.K. Holder will not be chargeable to U.K. income tax on a dividend paid by the company, unless such holder carries on (whether solely or in partnership) a trade, profession or vocation in the United Kingdom through a permanent establishment in the United Kingdom to which the ordinary share or ADS is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25730"/>
                <wp:effectExtent l="0" t="0" r="0" b="0"/>
                <wp:wrapNone/>
                <wp:docPr id="46" name="Frame4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39</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attributable. In these circumstances, such holder may, depending on his or her individual circumstances, be chargeable to U.K. income tax on a dividend received from the company.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dividends received by a UK Holder from the Company or from other sources will form part of the UK Holder’s total income for UK income tax purposes and will constitute the top slice of that income. The rate of U.K. income tax that is chargeable on dividends received in the tax year 2022/2023 by (i) an additional rate taxpayer is 39.35 percent, (ii) a higher rate taxpayer is 33.75 percent, and (iii) a basic rate taxpayer is 8.75 percent. A nil rate of income tax will apply to the first £2,000 of taxable dividend income received by an individual U.K. Holder in a tax year. Note that from April 6, 2023 the dividend allowance will be reduced to £1,000, and that from April 6, 2024 the dividend allowance is expected to be reduced again to £500.</w:t>
      </w:r>
    </w:p>
    <w:p>
      <w:pPr>
        <w:pStyle w:val="TextBody"/>
        <w:spacing w:lineRule="auto" w:line="26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Corporation Tax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U.K. Holder within the charge to U.K. corporation tax may be entitled to exemption from U.K. corporation tax in respect of dividend payments, provided the dividends qualify for exemption (which is likely) and certain conditions are met (including anti-avoidance conditions). If the conditions for the exemption are not satisfied, or such U.K. Holder elects for an otherwise exempt dividend to be taxable, U.K. corporation tax will be chargeable on the gross amount of a dividend. If potential investors are in any doubt as to their position, they should consult their own professional advisers.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corporate holder of an ordinary share or ADS that is not a U.K. Holder will not be subject to U.K. corporation tax on a dividend received from the company, unless it carries on a trade in the United Kingdom through a permanent establishment to which the ordinary share or ADS is attributable. In these circumstances, such holder may, depending on its individual circumstances and if the exemption from U.K. corporation tax discussed above does not apply, be chargeable to U.K. corporation tax on dividends received from the company.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of Disposals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U.K. Holders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disposal or deemed disposal of an ordinary share or ADS by an individual U.K. Holder may, depending on his or her individual circumstances, give rise to a chargeable gain or to an allowable loss for the purpose of U.K. capital gains tax. The principal factors that will determine the capital gains tax position on a disposal of an ordinary share or ADS are the extent to which the holder realizes any other capital gains in the tax year in which the disposal is made, the extent to which the holder has incurred capital losses in that or any earlier tax year and the level of the annual exemption for tax-free gains in that tax year (the “annual exemption”). The annual exemption for the 2023/2024 tax year is £12,300. Note that from April 6, 2023 the annual exemption will be reduced to £6,000, and that from April 6, 2024 the annual exemption is expected to be reduced again to £3,000. If, after all allowable deductions, an individual U.K. Holder’s total taxable income for the year exceeds the basic rate income tax limit, a taxable capital gain accruing on a disposal of an ordinary share or an ADS is taxed at the rate of 20 percent. In other cases, a taxable capital gain accruing on a disposal of an ordinary share or ADS may be taxed at the rate of 10 percent save to the extent that any capital gains exceed the unused basic rate tax band. In that case, the rate currently applicable to the excess would be 20 percent.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U.K. Holder who ceases to be resident in the United Kingdom (or who fails to be regarded as resident in a territory outside the United Kingdom for the purposes of double taxation relief) for a period of five tax years or less than five years and who disposes of an ordinary share or ADS during that period of temporary non-residence may be liable to U.K. capital gains tax on a chargeable gain accruing on such disposal on his or her return to the United Kingdom (or upon ceasing to be regarded as resident outside the United Kingdom for the purposes of double taxation relief) (subject to available exemptions or reliefs).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disposal (or deemed disposal) of an ordinary share or ADS by a corporate U.K. Holder may give rise to a chargeable gain or an allowable loss for the purpose of U.K. corporation tax. Any gain or loss in respect of currency fluctuations over the period of holding an ordinary share or an ADS are also brought into account on a disposal.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Non-U.K. Holders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holder who is not a U.K. Holder should not normally be liable to U.K. capital gains tax on capital gains realized on the disposal of an ordinary share or ADS unless such holder carries on (whether solely or in partnership) a trade, profession or vocation in the United Kingdom through a permanent establishment in the United Kingdom to which the ordinary share or ADS is attributable. In these circumstances, such holder may, depending on his or her individual circumstances, be chargeable to U.K. capital gains tax on chargeable gains arising from a disposal of his or her ordinary share or ADS.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corporate holder of an ordinary share or ADS that is not a U.K. Holder will not be liable for U.K. corporation tax on chargeable gains realized on the disposal of an ordinary share or ADS unless: (i) it carries on a trade in the United Kingdom through a permanent establishment to which the ordinary share or ADS is attributable; or (ii) the corporate holder is disposing of an interest in a company and that disposal is of an asset that derives 75 percent or more of its gross asset value from UK land and that holder has a substantial indirect interest in UK land (broadly at least 25 percent at any time during the previous two years). In these circumstances, a disposal (or deemed disposal) of an ordinary share or ADS by such holder may give rise to a chargeable gain or an allowable loss for the purposes of U.K. corporation tax.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Inheritance Tax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for the purposes of the Double Taxation Relief (Taxes on Estates of Deceased Persons and on Gifts) Treaty United States of America Order 1979 (S1 1979/1454) between the United States and the United Kingdom, an individual holder is domiciled at the time of their death or at the time of a transfer made during their lifetime in the United States and is not a national of the United Kingdom, any ordinary share or ADS beneficially owned by that holder should not generally be subject to U.K. inheritance tax, provided that any applicable U.S. federal gift or estate tax liability is paid, except where (i) the ordinary share or ADS is part of the business property of a U.K. permanent establishment or pertain to a U.K. fixed base used for the performance of independent personal services; or (ii) the ordinary share or ADS is comprised in a settlement unless, at the time the settlement was made, the settlor was domiciled in the United States and not a national of the U.K. (in which case no charge to U.K. inheritance tax should apply).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25730"/>
                <wp:effectExtent l="0" t="0" r="0" b="0"/>
                <wp:wrapNone/>
                <wp:docPr id="47" name="Frame4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40</w:t>
                      </w:r>
                    </w:p>
                  </w:txbxContent>
                </v:textbox>
              </v:rect>
            </w:pict>
          </mc:Fallback>
        </mc:AlternateContent>
      </w:r>
    </w:p>
    <w:p>
      <w:pPr>
        <w:pStyle w:val="TextBody"/>
        <w:spacing w:before="0" w:after="0"/>
        <w:jc w:val="center"/>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Stamp Duty and Stamp Duty Reserve Tax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stamp duty and stamp duty reserve tax, or SDRT, treatment of the issue, transfer and agreement to transfer an ordinary share outside a depositary receipt system or a clearance service are discussed in the paragraphs under “General” below. The stamp duty and SDRT treatment of such transactions in relation to such systems are discussed in the paragraphs under “Depositary Receipt Systems and Clearance Services” below. The discussion below relates to the holders of our ordinary shares or ADSs wherever resident, however it should be noted that special rules may apply to certain persons such as market makers, brokers, dealers or intermediaries.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General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Issue of Ordinary Shares or ADSs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issue of an ordinary share or ADS does not give rise to a SDRT liability, according to the HM Revenue &amp; Customs practice and recent case law and is not subject to stamp duty.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Transfer of Ordinary Shares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transfer of an ordinary share will generally be subject to stamp duty at the rate of 0.5 percent of the consideration given for the transfer (rounded up to the next £5). An exemption from stamp duty is available on an instrument transferring an ordinary share where the amount or value of the consideration is £1,000 or less, and it is certified on the instrument that the transaction effected does not form part of a larger transaction or series of transactions in respect of which the aggregate amount or value of the consideration exceeds £1,000. The purchaser normally pays the stamp duty.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unconditional agreement to transfer an ordinary share will normally give rise to a charge to SDRT at the rate of 0.5 percent of the amount or value of the consideration payable for the transfer. SDRT is, in general, payable by the purchaser. If a duly stamped transfer completing an agreement to transfer is produced within six years of the date on which the agreement is made (or, if the agreement is conditional, the date on which the agreement becomes unconditional) any SDRT already paid is generally repayable, normally with interest, and any SDRT charge yet to be paid is cancelled.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Transfer of ADSs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 stamp duty will, in practice, be payable on a written instrument transferring an ADS or on an unconditional agreement to transfer an ADS provided the instrument of transfer or the unconditional agreement to transfer is executed and remains at all times outside the UK. Where these conditions are not met, the transfer of, or agreement to transfer, an ADS could, depending on the circumstances, attract a charge to U.K. stamp duty at the rate of 0.5 percent of the value of the consideration. No SDRT will be payable in respect of an agreement to transfer an ADS.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Depositary Receipt Systems and Clearance Services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Based on current HM Revenue &amp; Customs practice and recent case law in respect of the European Council Directives 69/335/EC and 2009/7/EC, or the Capital Duties Directives, no SDRT is generally payable when shares are issued or transferred to a clearance service or depositary receipt system as an integral part of a raising of capital. HM Revenue &amp; Customs has confirmed that it will continue not to apply the 1.5 percent stamp duty and SDRT charge on the issue of shares (and transfers integral to the raising of capital) into overseas clearance systems and depository receipt issuers once the U.K. leaves the European Union. In addition, a recent Court of Justice of the European Union judgment (Air Berlin plc v HM Revenue &amp; Customs (2017)) held on the relevant facts that the Capital Duties Directives preclude the taxation of a transfer of legal title to shares for the sole purpose of listing those shares on a stock exchange which does not impact the beneficial ownership of the shares, but, as yet, the U.K. domestic law and HM Revenue &amp; Customs’ published practice remain unchanged and, accordingly, we anticipate that amounts on account of SDRT will continue to be collected by the depositary receipt issuer or clearance service. Holders of ordinary shares should consult their own independent professional advisers before incurring or reimbursing the costs of such a 1.5 percent SDRT charge.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Where an ordinary share or ADS is otherwise transferred (i) to, or to a nominee or an agent for, a person whose business is or includes the provision of clearance services or (ii) to, or to a nominee or an agent for a person whose business is or includes issuing depositary receipts, stamp duty or SDRT will generally be payable at the higher rate of 1.5 percent of the amount or value of the consideration given or, in certain circumstances, the value of the shares.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There is an exception from the 1.5 percent charge on the transfer to, or to a nominee or agent for, a clearance service where the clearance service has made and maintained an election under section 97A(1) of the Finance Act 1986, which has been approved by HM Revenue &amp; Customs. It is understood that HM Revenue &amp; Customs regards the facilities of DTC as a clearance service for these purposes and we are not aware of any section 97A election having been made by the DTC.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liability for stamp duty or SDRT in respect of a transfer into a clearance service or depositary receipt system, or in respect of a transfer within such a service, which does arise will strictly be accountable by the clearance service or depositary receipt system operator or their nominee, as the case may be, but will, in practice, be borne by the participants in the clearance service or depositary receipt system.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Repurchase of Ordinary Shares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U.K. stamp duty will generally be due at a rate of 0.5% of the consideration paid (rounded up to the next £5.00) on a repurchase by the company of its ordinary shares.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25730"/>
                <wp:effectExtent l="0" t="0" r="0" b="0"/>
                <wp:wrapNone/>
                <wp:docPr id="48" name="Frame4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xbxContent>
                </v:textbox>
              </v:rect>
            </w:pict>
          </mc:Fallback>
        </mc:AlternateContent>
      </w:r>
    </w:p>
    <w:p>
      <w:pPr>
        <w:pStyle w:val="TextBody"/>
        <w:spacing w:before="0" w:after="0"/>
        <w:jc w:val="center"/>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in the United States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discussion is a summary of the material U.S. federal income tax consequences to U.S. Holders and Non-U.S. Holders, each as defined below, of the acquisition, ownership and disposition of our ordinary shares or ADSs, but does not purport to be a comprehensive discussion of all the tax considerations that may be relevant to a decision to purchase our ordinary shares or ADSs. The effects of other U.S. federal tax laws, such as estate and gift tax laws, and any applicable state, local or non-U.S. tax laws, are not discussed. This discussion is based on current provisions of the U.S. Internal Revenue Code of 1986, as amended, or the Code, U.S. Treasury Regulations promulgated thereunder, published rulings and administrative pronouncements of the U.S. Internal Revenue Service, or the IRS, and judicial decisions, in each case as available on the date of this annual report on Form 20-F. All of the foregoing are subject to change, which change could apply retroactively and could affect the tax consequences described below. We have not, and will not, seek a ruling from the IRS with regard to the U.S. federal income tax treatment of an investment in our ordinary shares or ADSs, and there can be no assurance the IRS or a court will agree with the discussion below. This discussion is limited to U.S. Holders and Non-U.S. Holders of our ordinary shares or ADSs. This discussion addresses only the U.S. federal income tax considerations for holders that our ordinary shares or ADSs as capital assets within the meaning of Section 1221 of the Code (generally, property held for investment). This discussion does not address all U.S. federal income tax matters that may be relevant to a particular holder, including the impact of the Medicare contribution tax on net investment income and the alternative minimum tax. Each prospective investor should consult a professional tax advisor with respect to the tax consequences of the acquisition, ownership or disposition of our ordinary shares or ADSs. In addition, this discussion does not address tax considerations applicable to a holder of our ordinary shares or ADSs that may be subject to special tax rules including, without limitation, the following: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U.S. expatriates and former citizens or long-term residents of the United States;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banks or other financial institutions;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insurance companies;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dealers or traders in securities, currencies, or notional principal contracts;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tax-exempt entities, including an “individual retirement account” or “Roth IRA” retirement plan;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regulated investment companies or real estate investment trusts;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qualified foreign pension funds,” or entities wholly owned by a “qualified foreign pension fund”;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persons who have elected to mark securities to market;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tax-exempt organizations or governmental organizations;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persons that hold our ordinary shares as part of a hedge, straddle, conversion, constructive sale or similar transaction involving more than one position;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partnerships or other entities or arrangements treated as partnerships for U.S. federal income tax purposes (and investors therein);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"controlled foreign corporations," "passive foreign investment companies," and corporations that accumulate earnings to avoid U.S. federal income tax;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persons who acquired our ordinary shares or ADSs as compensation for the performance of services;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qualified foreign pension funds” as defined in Section 897(l)(2) of the Code and entities all of the interests of which are held by qualified foreign pension funds;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holders that own (or are deemed to own) 10 percent or more of our ordinary shares or ADSs, by vote or value; and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U.S. Holders that have a “functional currency” other than the U.S. dollar.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an entity treated as a partnership or other pass-through entity for U.S. federal income tax purposes holds our ordinary shares or ADSs, the tax treatment of a partner in the partnership will generally depend upon the status of the partner, the activities of the partnership and certain determinations made at the partner level. A partner in a partnership or other pass-through entity that hold our ordinary shares or ADSs should consult his, her or its tax advisor regarding the tax consequences of acquiring, holding and disposing of our ordinary shares or ADSs through a partnership or other pass-through entity, as applicable.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the purposes of this discussion, a “U.S. Holder” is a beneficial owner of our ordinary shares or ADSs that is (or is treated as), for U.S. federal income tax purposes: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an individual who is either a citizen or resident of the United States;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 corporation created or organized in or under the laws of the United States, any state of the United States or the District of Columbia;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an estate, the income of which is subject to U.S. federal income taxation regardless of its source; or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a trust, if (1) a court within the United States is able to exercise primary supervision over its administration and one or more "United States persons" (within the meaning of Section 7701(a)(3) of the Code) have the authority to control all of the substantial decisions of such trust or (2) such trust has a valid election in effect under applicable U.S. Treasury Regulations to be treated as a United States person for U.S. federal income tax purposes.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purposes of this discussion, a "Non-U.S. Holder" is a beneficial owner of our ordinary shares or ADSs that is not a U.S. Holder.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DISCUSSION IS NOT TAX ADVICE. PERSONS CONSIDERING AN INVESTMENT IN ORDINARY SHARES OR ADSs SHOULD CONSULT THEIR TAX ADVISORS AS TO THE PARTICULAR TAX CONSEQUENCES APPLICABLE TO THEM RELATING TO THE ACQUISITION, OWNERSHIP AND DISPOSITION OF OUR ORDINARY SHARES OR ADSs, INCLUDING THE APPLICABILITY OF U.S. FEDERAL, STATE AND LOCAL TAX LAWS, ANY NON-U.S. TAX LAWS AND ANY INCOME TAX TREATY.</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25730"/>
                <wp:effectExtent l="0" t="0" r="0" b="0"/>
                <wp:wrapNone/>
                <wp:docPr id="49" name="Frame4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xbxContent>
                </v:textbox>
              </v:rect>
            </w:pict>
          </mc:Fallback>
        </mc:AlternateContent>
      </w:r>
    </w:p>
    <w:p>
      <w:pPr>
        <w:pStyle w:val="TextBody"/>
        <w:spacing w:before="0" w:after="0"/>
        <w:jc w:val="center"/>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Ownership of ADSs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U.S. federal income tax purposes, a holder of ADSs generally will be treated as the owner of the ordinary shares represented by such ADSs. Gain or loss will generally not be recognized on account of exchanges of ordinary shares for ADSs, or of ADSs for ordinary shares. References to ordinary shares in the discussion below are deemed to include ADSs, unless context otherwise requires.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Treatment of the Company as a Domestic Corporation for U.S. Federal Income Tax Purposes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Even though we are incorporated under the laws of England and Wales, due to the circumstances of its formation and the application of Section 7874 of the Code, the Company is treated as a U.S. domestic corporation for U.S. federal income tax purposes. This has implications for all shareholders; we are subject to U.S. federal income tax as if we were a U.S. corporation, and distributions made by us are generally treated as U.S.-source dividends as described below and generally subject to U.S. dividend withholding tax.</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U.S. Holders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Distributions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described in the section entitled “Dividend Distribution Policy,” we have never declared or paid any dividends on our ordinary shares, though we may consider doing so in the future depending on the progression of our business. If we do make distributions of cash or property on our ordinary shares or ADSs, such distributions will be treated as U.S.-source dividends includible in the gross income of a U.S. Holder as ordinary income to the extent of the our current and accumulated earnings and profits, as determined under U.S. federal income tax principles. To the extent the amount of a distribution exceeds tour current and accumulated earnings and profits, the distribution will be treated first as a non-taxable return of capital to the extent of a U.S. Holder’s adjusted tax basis in the ordinary shares or ADSs and thereafter as gain from the sale of such ordinary shares or ADSs. Subject to applicable limitations and requirements, dividends received on the ordinary shares or ADSs generally should be eligible for the “dividends received deduction” available to corporate shareholders. A dividend paid by us to a non-corporate U.S. Holder generally will be eligible for preferential rates if certain holding period requirements are met.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U.S. dollar value of any distribution made by us in foreign currency will be calculated by reference to the exchange rate in effect on the date of the U.S. Holder’s actual or constructive receipt of such distribution, regardless of whether the foreign currency is in fact converted into U.S. dollars. If the foreign currency is converted into U.S. dollars on such date of receipt, the U.S. Holder generally will not recognize foreign currency gain or loss on such conversion. If the foreign currency is not converted into U.S. dollars on the date of receipt, such U.S. Holder will have a basis in the foreign currency equal to its U.S. dollar value on the date of receipt. Any gain or loss on a subsequent conversion or other taxable disposition of the foreign currency generally will be U.S.-source ordinary income or loss to such U.S. Holder.</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Sale or Other Taxable Disposition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U.S. Holder will recognize gain or loss for U.S. federal income tax purposes upon a sale or other taxable disposition of its ordinary shares or ADSs in an amount equal to the difference between the amount realized from such sale or disposition and the U.S. Holder’s adjusted tax basis in the ordinary shares or ADSs. A U.S. Holder’s adjusted tax basis in the ordinary shares or ADSs generally will be the U.S. Holder’s cost for such ordinary shares or ADSs. Any such gain or loss generally will be U.S.-source capital gain or loss and will be long-term capital gain or loss if, on the date of sale or disposition, such U.S. Holder held the ordinary shares or ADSs for more than one year. Long-term capital gains derived by non-corporate U.S. Holders are eligible for taxation at reduced rates. The deductibility of capital losses is subject to significant limitations.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Information Reporting And Backup Withholding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Payments of distributions on or proceeds arising from the sale or other taxable disposition of ordinary shares or ADSs generally will be subject to information reporting, and they may be subject to backup withholding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or (iv) fails to certify under penalty of perjury that such U.S. Holder has furnished its correct U.S. taxpayer identification number and that the IRS has not notified such U.S. Holder that it is subject to backup withholding.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Non-U.S. Holders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Distributions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described in the section entitled “Dividend Distribution Policy,” we have never declared or paid any dividends on our ordinary shares, though we may consider doing so in the future depending on the progression of our business. If we do make distributions of cash or property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ordinary shares or ADSs, but not below zero. Any excess will be treated as capital gain and will be treated as described below under “—Sale or Other Taxable Disposition.”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dividends paid to a Non-U.S. Holder are effectively connected with the Non-U.S. Holder’s conduct of a trade or business within the United States (and, if required by an applicable income tax treaty, the Non-U.S. Holder maintains a permanent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5730"/>
                <wp:effectExtent l="0" t="0" r="0" b="0"/>
                <wp:wrapNone/>
                <wp:docPr id="50" name="Frame5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Sale or Other Taxable Disposition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Non-U.S. Holder will not be subject to U.S. federal income tax on any gain realized upon the sale or other taxable disposition of our ordinary shares or ADSs unless: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the Non-U.S. Holder is a nonresident alien individual present in the United States for 183 days or more during the taxable year of the disposition and certain other requirements are met; or</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our ordinary shares or ADSs constitutes a U.S. real property interest (“USRPI”) by reason of our status as a U.S. real property holding corporation (“USRPHC”) for U.S. federal income tax purposes.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Non-U.S. Holder described in the second bullet point above will be subject to U.S. federal income tax at a rate of 30% (or such lower rate specified by an applicable income tax treaty) on gain realized upon the sale or other taxable disposition of our ordinary shares or ADSs,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ordinary shares or ADSs by a Non-U.S. Holder will not be subject to U.S. federal income tax if our ordinary shares or ADSs is “regularly traded,” as defined by applicable Treasury Regulations, on an established securities market and such Non-U.S. Holder owned, actually and constructively, 5% or less of our ordinary shares or ADSs throughout the shorter of the five-year period ending on the date of the sale or other taxable disposition or the Non-U.S. Holder’s holding period.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Non-U.S. Holders should consult their tax advisors regarding potentially applicable income tax treaties that may provide for different rules.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Information Reporting and Backup Withholding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Payments of dividends on our ordinary shares or ADSs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ordinary shares or ADSs paid to the Non-U.S. Holder, regardless of whether such distributions constitute dividends or whether any tax was actually withheld. In addition, proceeds of the sale or other taxable disposition of our ordinary shares or ADSs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ordinary shares or ADSs conducted through a non-U.S. office of a non-U.S. broker generally will not be subject to backup withholding or information reporting.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Copies of information returns that are filed with the IRS may also be made available under the provisions of an applicable treaty or agreement to the tax authorities of the country in which the Non-U.S. Holder resides or is established.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Additional Withholding Tax on Payments Made to Foreign Accounts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ordinary shares or ADSs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5730"/>
                <wp:effectExtent l="0" t="0" r="0" b="0"/>
                <wp:wrapNone/>
                <wp:docPr id="51" name="Frame5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applicable Treasury Regulations and administrative guidance, withholding under FATCA generally applies to payments of dividends on our ordinary shares or ADSs.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F. DIVIDENDS AND PAYING AGENTS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G. STATEMENT BY EXPERTS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H. DOCUMENTS ON DISPLAY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required to make certain filings with the SEC. The SEC maintains a website at http://www.sec.gov from which filings may be accessed.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www.puretechhealth.com. The information contained on our website is not incorporated by reference into this annual report on Form 20-F. </w:t>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I. SUBSIDIARY INFORMATION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before="0" w:after="100"/>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J. ANNUAL REPORT TO SECURITY HOLDERS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25730"/>
                <wp:effectExtent l="0" t="0" r="0" b="0"/>
                <wp:wrapNone/>
                <wp:docPr id="52" name="Frame5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xbxContent>
                </v:textbox>
              </v:rect>
            </w:pict>
          </mc:Fallback>
        </mc:AlternateContent>
      </w:r>
    </w:p>
    <w:p>
      <w:pPr>
        <w:pStyle w:val="TextBody"/>
        <w:spacing w:before="0" w:after="0"/>
        <w:jc w:val="center"/>
        <w:rPr/>
      </w:pPr>
      <w:r>
        <w:rPr/>
      </w:r>
    </w:p>
    <w:tbl>
      <w:tblPr>
        <w:tblW w:w="8968" w:type="dxa"/>
        <w:jc w:val="left"/>
        <w:tblInd w:w="0" w:type="dxa"/>
        <w:tblCellMar>
          <w:top w:w="28" w:type="dxa"/>
          <w:left w:w="28" w:type="dxa"/>
          <w:bottom w:w="28" w:type="dxa"/>
          <w:right w:w="28" w:type="dxa"/>
        </w:tblCellMar>
      </w:tblPr>
      <w:tblGrid>
        <w:gridCol w:w="390"/>
        <w:gridCol w:w="343"/>
        <w:gridCol w:w="346"/>
        <w:gridCol w:w="2310"/>
        <w:gridCol w:w="2310"/>
        <w:gridCol w:w="3269"/>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11.</w:t>
            </w:r>
          </w:p>
        </w:tc>
        <w:tc>
          <w:tcPr>
            <w:tcW w:w="7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QUANTITATIVE AND QUALITATIVE DISCLOSURES ABOUT MARKET RISK</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graphs and tabular data) set forth under the following headings is incorporated by reference herein: “Quantitative and Qualitative Disclosures about Financial Risks” on pages 63 to 64 of PureTech’s “Annual Report and Accounts 2022” included as exhibit 15.1 to this annual report on Form 20-F and in “Financial Statements—Notes to the Consolidated Financial Statements—Note 22.—Capital and Financial Risk Management” in the audited consolidated financial statements included elsewhere in this annual report on Form 20-F.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25730"/>
                <wp:effectExtent l="0" t="0" r="0" b="0"/>
                <wp:wrapNone/>
                <wp:docPr id="53" name="Frame5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xbxContent>
                </v:textbox>
              </v:rect>
            </w:pict>
          </mc:Fallback>
        </mc:AlternateContent>
      </w:r>
    </w:p>
    <w:p>
      <w:pPr>
        <w:pStyle w:val="TextBody"/>
        <w:spacing w:before="0" w:after="0"/>
        <w:jc w:val="center"/>
        <w:rPr/>
      </w:pPr>
      <w:r>
        <w:rPr/>
      </w:r>
    </w:p>
    <w:tbl>
      <w:tblPr>
        <w:tblW w:w="8234" w:type="dxa"/>
        <w:jc w:val="left"/>
        <w:tblInd w:w="0" w:type="dxa"/>
        <w:tblCellMar>
          <w:top w:w="28" w:type="dxa"/>
          <w:left w:w="28" w:type="dxa"/>
          <w:bottom w:w="28" w:type="dxa"/>
          <w:right w:w="28" w:type="dxa"/>
        </w:tblCellMar>
      </w:tblPr>
      <w:tblGrid>
        <w:gridCol w:w="390"/>
        <w:gridCol w:w="343"/>
        <w:gridCol w:w="346"/>
        <w:gridCol w:w="2093"/>
        <w:gridCol w:w="2093"/>
        <w:gridCol w:w="2969"/>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093" w:type="dxa"/>
            <w:tcBorders/>
            <w:shd w:fill="auto" w:val="clear"/>
            <w:vAlign w:val="center"/>
          </w:tcPr>
          <w:p>
            <w:pPr>
              <w:pStyle w:val="TableContents"/>
              <w:spacing w:before="0" w:after="283"/>
              <w:rPr>
                <w:sz w:val="4"/>
                <w:szCs w:val="4"/>
              </w:rPr>
            </w:pPr>
            <w:r>
              <w:rPr>
                <w:sz w:val="4"/>
                <w:szCs w:val="4"/>
              </w:rPr>
            </w:r>
          </w:p>
        </w:tc>
        <w:tc>
          <w:tcPr>
            <w:tcW w:w="2093"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12.</w:t>
            </w:r>
          </w:p>
        </w:tc>
        <w:tc>
          <w:tcPr>
            <w:tcW w:w="7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DESCRIPTION OF SECURITIES OTHER THAN EQUITY SECURITIES</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DEBT SECURITIES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WARRANTS AND RIGHTS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OTHER SECURITIES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D. AMERICAN DEPOSITARY SHARES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ADSs are registered with Citibank, N.A., as depositary . Each ADS represents ten ordinary shares (or a right to receive ten ordinary shares) deposited with Citibank, N.A. (London), as custodian for the depositary in the United Kingdom. Citibank’s depositary offices are located at 388 Greenwich Street, New York, New York, 10013. ADSs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N.A.—London Branch, located at Citigroup Centre Canary Wharf, London E14 5LB 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deposit agreement among us, the depositary, ADS holders and beneficial owners of ADSs issued thereunder sets out ADS holder rights as well as the rights and obligations of the depositary. New York law governs the deposit agreement and the ADSs. A copy of the deposit agreement is incorporated by reference as an exhibit to this annual report on Form 20-F.</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Fees and Charges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an ADS holder, you will be required to pay the following fees under the terms of the deposit agreement: </w:t>
      </w:r>
    </w:p>
    <w:tbl>
      <w:tblPr>
        <w:tblW w:w="10205" w:type="dxa"/>
        <w:jc w:val="left"/>
        <w:tblInd w:w="0" w:type="dxa"/>
        <w:tblCellMar>
          <w:top w:w="28" w:type="dxa"/>
          <w:left w:w="28" w:type="dxa"/>
          <w:bottom w:w="28" w:type="dxa"/>
          <w:right w:w="28" w:type="dxa"/>
        </w:tblCellMar>
      </w:tblPr>
      <w:tblGrid>
        <w:gridCol w:w="2941"/>
        <w:gridCol w:w="2590"/>
        <w:gridCol w:w="2607"/>
        <w:gridCol w:w="109"/>
        <w:gridCol w:w="109"/>
        <w:gridCol w:w="109"/>
        <w:gridCol w:w="617"/>
        <w:gridCol w:w="462"/>
        <w:gridCol w:w="661"/>
      </w:tblGrid>
      <w:tr>
        <w:trPr/>
        <w:tc>
          <w:tcPr>
            <w:tcW w:w="2941" w:type="dxa"/>
            <w:tcBorders/>
            <w:shd w:fill="auto" w:val="clear"/>
            <w:vAlign w:val="center"/>
          </w:tcPr>
          <w:p>
            <w:pPr>
              <w:pStyle w:val="TableContents"/>
              <w:spacing w:before="0" w:after="283"/>
              <w:rPr>
                <w:sz w:val="4"/>
                <w:szCs w:val="4"/>
              </w:rPr>
            </w:pPr>
            <w:r>
              <w:rPr>
                <w:sz w:val="4"/>
                <w:szCs w:val="4"/>
              </w:rPr>
            </w:r>
          </w:p>
        </w:tc>
        <w:tc>
          <w:tcPr>
            <w:tcW w:w="2590" w:type="dxa"/>
            <w:tcBorders/>
            <w:shd w:fill="auto" w:val="clear"/>
            <w:vAlign w:val="center"/>
          </w:tcPr>
          <w:p>
            <w:pPr>
              <w:pStyle w:val="TableContents"/>
              <w:spacing w:before="0" w:after="283"/>
              <w:rPr>
                <w:sz w:val="4"/>
                <w:szCs w:val="4"/>
              </w:rPr>
            </w:pPr>
            <w:r>
              <w:rPr>
                <w:sz w:val="4"/>
                <w:szCs w:val="4"/>
              </w:rPr>
            </w:r>
          </w:p>
        </w:tc>
        <w:tc>
          <w:tcPr>
            <w:tcW w:w="2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r>
      <w:tr>
        <w:trPr/>
        <w:tc>
          <w:tcPr>
            <w:tcW w:w="81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SERVICE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FEES</w:t>
            </w:r>
          </w:p>
        </w:tc>
      </w:tr>
      <w:tr>
        <w:trPr/>
        <w:tc>
          <w:tcPr>
            <w:tcW w:w="813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227"/>
              <w:jc w:val="left"/>
              <w:rPr/>
            </w:pPr>
            <w:r>
              <w:rPr>
                <w:color w:val="000000"/>
              </w:rPr>
              <w:t>• </w:t>
            </w:r>
            <w:r>
              <w:rPr>
                <w:rFonts w:ascii="Avenir LT Pro 45 Book;sans-serif" w:hAnsi="Avenir LT Pro 45 Book;sans-serif"/>
                <w:b w:val="false"/>
                <w:color w:val="000000"/>
                <w:sz w:val="17"/>
              </w:rPr>
              <w:t>Issuance of ADSs (e.g., an issuance of ADS upon a deposit of ordinary shares, upon a change in the ADS(s)-to-ordinary share(s) ratio, or for any other reason), excluding ADS issuances as a result of distributions of ordinary shares)</w:t>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issued</w:t>
            </w:r>
          </w:p>
        </w:tc>
      </w:tr>
      <w:tr>
        <w:trPr/>
        <w:tc>
          <w:tcPr>
            <w:tcW w:w="8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3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Cancellation of ADSs (e.g., a cancellation of ADSs for delivery of deposited property, upon a change in the ADS(s)-to-ordinary share(s) ratio, or for any other reason)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cancelled</w:t>
            </w:r>
          </w:p>
        </w:tc>
      </w:tr>
      <w:tr>
        <w:trPr/>
        <w:tc>
          <w:tcPr>
            <w:tcW w:w="8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3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cash dividends or other cash distributions (e.g., upon a sale of rights and other entitlements)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bl>
    <w:tbl>
      <w:tblPr>
        <w:tblW w:w="10205" w:type="dxa"/>
        <w:jc w:val="left"/>
        <w:tblInd w:w="0" w:type="dxa"/>
        <w:tblCellMar>
          <w:top w:w="28" w:type="dxa"/>
          <w:left w:w="28" w:type="dxa"/>
          <w:bottom w:w="28" w:type="dxa"/>
          <w:right w:w="28" w:type="dxa"/>
        </w:tblCellMar>
      </w:tblPr>
      <w:tblGrid>
        <w:gridCol w:w="2482"/>
        <w:gridCol w:w="2179"/>
        <w:gridCol w:w="2187"/>
        <w:gridCol w:w="109"/>
        <w:gridCol w:w="109"/>
        <w:gridCol w:w="109"/>
        <w:gridCol w:w="1131"/>
        <w:gridCol w:w="783"/>
        <w:gridCol w:w="1116"/>
      </w:tblGrid>
      <w:tr>
        <w:trPr/>
        <w:tc>
          <w:tcPr>
            <w:tcW w:w="2482"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4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ADSs pursuant to (i) share dividends or other free share distributions, or (ii) exercise of rights to purchase additional ADSs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r>
        <w:trPr/>
        <w:tc>
          <w:tcPr>
            <w:tcW w:w="6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securities other than ADSs or rights to purchase additional ADSs (e.g., upon a spin-off)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r>
        <w:trPr/>
        <w:tc>
          <w:tcPr>
            <w:tcW w:w="6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ADS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 on the applicable record date(s) established by the depositary bank</w:t>
            </w:r>
          </w:p>
        </w:tc>
      </w:tr>
      <w:tr>
        <w:trPr/>
        <w:tc>
          <w:tcPr>
            <w:tcW w:w="6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Registration of ADS transfers (e.g., upon a registration of the transfer of registered ownership of ADSs, upon a transfer of ADSs into DTC and vice versa, or for any other reason)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(or fraction thereof) transferred</w:t>
            </w:r>
          </w:p>
        </w:tc>
      </w:tr>
      <w:tr>
        <w:trPr/>
        <w:tc>
          <w:tcPr>
            <w:tcW w:w="6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8"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327"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03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(or fraction thereof) converted</w:t>
            </w:r>
          </w:p>
        </w:tc>
      </w:tr>
    </w:tbl>
    <w:p>
      <w:pPr>
        <w:pStyle w:val="TextBody"/>
        <w:spacing w:before="0" w:after="100"/>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25730"/>
                <wp:effectExtent l="0" t="0" r="0" b="0"/>
                <wp:wrapNone/>
                <wp:docPr id="54" name="Frame5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an ADS holder you will also be responsible to pay certain charges such as: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taxes (including applicable interest and penalties) and other governmental charges;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certain cable, telex and facsimile transmission and delivery expenses;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the fees, expenses, spreads, taxes and other charges of the depositary bank and/or service providers (which may be a division, branch or affiliate of the depositary bank) in the conversion of foreign currency;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the reasonable and customary out-of-pocket expenses incurred by the depositary bank in connection with compliance with exchange control regulations and other regulatory requirements applicable to ordinary shares, ADSs and ADRs; and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the fees, charges, costs and expenses incurred by the depositary bank, the custodian, or any nominee in connection with the ADR program.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purchase of ADSs.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spacing w:before="0" w:after="40"/>
        <w:ind w:left="0" w:right="0" w:hanging="284"/>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25730"/>
                <wp:effectExtent l="0" t="0" r="0" b="0"/>
                <wp:wrapNone/>
                <wp:docPr id="55" name="Frame5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xbxContent>
                </v:textbox>
              </v:rect>
            </w:pict>
          </mc:Fallback>
        </mc:AlternateContent>
      </w:r>
    </w:p>
    <w:p>
      <w:pPr>
        <w:pStyle w:val="TextBody"/>
        <w:spacing w:before="0" w:after="0"/>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II </w:t>
      </w:r>
    </w:p>
    <w:tbl>
      <w:tblPr>
        <w:tblW w:w="7574" w:type="dxa"/>
        <w:jc w:val="left"/>
        <w:tblInd w:w="0" w:type="dxa"/>
        <w:tblCellMar>
          <w:top w:w="28" w:type="dxa"/>
          <w:left w:w="28" w:type="dxa"/>
          <w:bottom w:w="28" w:type="dxa"/>
          <w:right w:w="28" w:type="dxa"/>
        </w:tblCellMar>
      </w:tblPr>
      <w:tblGrid>
        <w:gridCol w:w="390"/>
        <w:gridCol w:w="343"/>
        <w:gridCol w:w="346"/>
        <w:gridCol w:w="1902"/>
        <w:gridCol w:w="1902"/>
        <w:gridCol w:w="2691"/>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13.</w:t>
            </w:r>
          </w:p>
        </w:tc>
        <w:tc>
          <w:tcPr>
            <w:tcW w:w="6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DEFAULTS, DIVIDEND ARREARAGES AND DELINQUENCIES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25730"/>
                <wp:effectExtent l="0" t="0" r="0" b="0"/>
                <wp:wrapNone/>
                <wp:docPr id="56" name="Frame5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70"/>
        <w:gridCol w:w="325"/>
        <w:gridCol w:w="328"/>
        <w:gridCol w:w="2688"/>
        <w:gridCol w:w="2688"/>
        <w:gridCol w:w="3806"/>
      </w:tblGrid>
      <w:tr>
        <w:trPr/>
        <w:tc>
          <w:tcPr>
            <w:tcW w:w="37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3806" w:type="dxa"/>
            <w:tcBorders/>
            <w:shd w:fill="auto" w:val="clear"/>
            <w:vAlign w:val="center"/>
          </w:tcPr>
          <w:p>
            <w:pPr>
              <w:pStyle w:val="TableContents"/>
              <w:spacing w:before="0" w:after="283"/>
              <w:rPr>
                <w:sz w:val="4"/>
                <w:szCs w:val="4"/>
              </w:rPr>
            </w:pPr>
            <w:r>
              <w:rPr>
                <w:sz w:val="4"/>
                <w:szCs w:val="4"/>
              </w:rPr>
            </w:r>
          </w:p>
        </w:tc>
      </w:tr>
      <w:tr>
        <w:trPr/>
        <w:tc>
          <w:tcPr>
            <w:tcW w:w="102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14.</w:t>
            </w:r>
          </w:p>
        </w:tc>
        <w:tc>
          <w:tcPr>
            <w:tcW w:w="91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MATERIAL MODIFICATIONS TO THE RIGHTS OF SECURITY HOLDERS AND USE OF PROCEEDS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25730"/>
                <wp:effectExtent l="0" t="0" r="0" b="0"/>
                <wp:wrapNone/>
                <wp:docPr id="57" name="Frame5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50</w:t>
                      </w:r>
                    </w:p>
                  </w:txbxContent>
                </v:textbox>
              </v:rect>
            </w:pict>
          </mc:Fallback>
        </mc:AlternateContent>
      </w:r>
    </w:p>
    <w:p>
      <w:pPr>
        <w:pStyle w:val="TextBody"/>
        <w:spacing w:before="0" w:after="0"/>
        <w:jc w:val="center"/>
        <w:rPr/>
      </w:pPr>
      <w:r>
        <w:rPr/>
      </w:r>
    </w:p>
    <w:tbl>
      <w:tblPr>
        <w:tblW w:w="4543" w:type="dxa"/>
        <w:jc w:val="left"/>
        <w:tblInd w:w="0" w:type="dxa"/>
        <w:tblCellMar>
          <w:top w:w="28" w:type="dxa"/>
          <w:left w:w="28" w:type="dxa"/>
          <w:bottom w:w="28" w:type="dxa"/>
          <w:right w:w="28" w:type="dxa"/>
        </w:tblCellMar>
      </w:tblPr>
      <w:tblGrid>
        <w:gridCol w:w="390"/>
        <w:gridCol w:w="343"/>
        <w:gridCol w:w="346"/>
        <w:gridCol w:w="1013"/>
        <w:gridCol w:w="1013"/>
        <w:gridCol w:w="1438"/>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15.</w:t>
            </w:r>
          </w:p>
        </w:tc>
        <w:tc>
          <w:tcPr>
            <w:tcW w:w="34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CONTROLS AND PROCEDURES</w:t>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 Disclosure Controls and Procedures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maintain "disclosure controls and procedures" as defined in Rule 13a-15(e) and 15d-15(e) under the Securities Exchange Act of 1934, as amended, or the Exchange Act, that are designed to ensure that information required to be disclosed by us in the reports that are filed or submitted under the Exchange Act is recorded, processed, summarized and reported, within the time periods specified in the SEC's rules and forms, and is accumulated and communicated to the management of our company, including our Chief Executive Officer and Chief Financial Officer, as appropriately to allow timely decisions regarding required disclosure. Because of its inherent limitations, internal control over financial reporting may not prevent or detect misstatements. Therefore, even those systems determined to be effective can provide only reasonable assurance of achieving their control objectives. Our management, with the participation of our Chief Executive Officer and Chief Financial Officer, has evaluated the effectiveness of the design and operation of our disclosure controls and procedures pursuant to Exchange Act Rule 13a-15(b) as of December 31, 2022. Based on such evaluation, our Chief Executive Officer and Chief Financial Officer have concluded that, as of December 31, 2022, our disclosure controls and procedures were effective at the reasonable assurance level.</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B. Management’s annual report on internal control over financial reporting.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accordance with the requirements of section 404 of Sarbanes-Oxley, the following report is provided by management in respect of the Company’s internal control over financial reporting (as defined in Exchange Act Rules 13a-15(f) and 15d-15(f)):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Management is responsible for establishing and maintaining adequate internal control over financial reporting for the Group. Internal control over financial reporting is designed to provide reasonable assurance regarding the reliability of financial reporting and the preparation of financial statements for external purposes in accordance with UK-adopted International Financial Reporting Standards, which audited consolidated financial statements also fully comply with International Financial Reporting Standards as issued by the International Accounting Standards Board;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Management, including our Chief Executive Officer and Chief Financial Officer, conducted an evaluation of the effectiveness of internal control over financial reporting based on the framework in Internal Control – Integrated Framework (2013) issued by the Committee of Sponsoring Organizations of the Treadway Commission;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Based on their assessment under these criteria, our management has concluded that as of December 31, 2022, our internal control over financial reporting was effective.</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C. Attestation Report of the Registered Public Accounting Firm</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KPMG, an independent registered public accounting firm, audited the financial statements included in this annual report on Form 20-F issued an attestation report on the Group's internal control over financial reporting as set forth below. </w:t>
      </w:r>
    </w:p>
    <w:p>
      <w:pPr>
        <w:pStyle w:val="TextBody"/>
        <w:spacing w:lineRule="auto" w:line="268" w:before="200" w:after="283"/>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REPORT OF INDEPENDENT REGISTERED PUBLIC ACCOUNTING FIRM </w:t>
      </w:r>
    </w:p>
    <w:p>
      <w:pPr>
        <w:pStyle w:val="TextBody"/>
        <w:spacing w:lineRule="auto" w:line="288" w:before="0" w:after="4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the Shareholders and Board of Directors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Health PLC:</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Opinion on Internal Control Over Financial Reporting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audited PureTech Health PLC’s and subsidiaries’ (the Group) internal control over financial reporting as of December 31, 2022, based on criteria established in Internal Control – Integrated Framework (2013) issued by the Committee of Sponsoring Organizations of the Treadway Commission. In our opinion, the Group maintained, in all material respects, effective internal control over financial reporting as of December 31, 2022, based on criteria established in Internal Control – Integrated Framework (2013) issued by the Committee of Sponsoring Organizations of the Treadway Commission.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also have audited, in accordance with the standards of the Public Company Accounting Oversight Board (United States) (PCAOB), the consolidated statements of financial position of PureTech Health PLC and subsidiaries (the Group) as of December 31, 2022 and 2021, the related consolidated statements of comprehensive income / (loss), changes in equity, and cash flows for each of the years in the three-year period ended December 31, 2022 and the related notes (collectively, the consolidated financial statements), and our report dated April 27, 2023 expressed an unqualified opinion on those consolidated financial statements.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Basis for Opinion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the U.S. federal securities laws and the applicable rules and regulations of the Securities and Exchange Commission and the PCAOB.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25730"/>
                <wp:effectExtent l="0" t="0" r="0" b="0"/>
                <wp:wrapNone/>
                <wp:docPr id="58" name="Frame5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Definition and Limitations of Internal Control Over Financial Reporting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100"/>
        <w:rPr/>
      </w:pPr>
      <w:r>
        <w:rPr/>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KPMG LLP</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KPMG LLP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London, United Kingdom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 April, 2023</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25730"/>
                <wp:effectExtent l="0" t="0" r="0" b="0"/>
                <wp:wrapNone/>
                <wp:docPr id="59" name="Frame5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52</w:t>
                      </w:r>
                    </w:p>
                  </w:txbxContent>
                </v:textbox>
              </v:rect>
            </w:pict>
          </mc:Fallback>
        </mc:AlternateContent>
      </w:r>
    </w:p>
    <w:p>
      <w:pPr>
        <w:pStyle w:val="TextBody"/>
        <w:spacing w:before="0" w:after="0"/>
        <w:jc w:val="center"/>
        <w:rPr/>
      </w:pPr>
      <w:r>
        <w:rPr/>
      </w:r>
    </w:p>
    <w:p>
      <w:pPr>
        <w:pStyle w:val="TextBody"/>
        <w:spacing w:lineRule="auto" w:line="26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D. Changes in Internal Control Over Financial Reporting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than the remediation of a previously disclosed material weaknesses as discussed below, there were no changes in our internal control over financial reporting (as defined in Exchange Act Rule 13a-15(f)) that occurred during the period covered by this annual report on Form 20-F that has materially affected, or is reasonably likely to materially affect, our internal control over financial reporting.</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Remediation of Prior Material Weakness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connection with the audit of our consolidated financial statements as of and for the years ended December 31, 2021 and 2020, we identified a material weakness related to the risk assessment process over the design and implementation of management review controls over the valuation of financial instruments, the completeness and accuracy of related sensitivity disclosures, the valuation of share based payment liabilities and completeness and accuracy of the tax provision. There was insufficient precision in and documentation of the performance of such review controls resulting in controls not being designed in a way to sufficiently address the level of aggregation and criteria for investigation. Additionally, management did not completely identify the information used in the control and did not design sufficient controls to address the relevance and reliability of such information.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response to this material weakness, the Company took certain steps in its remediation plan, including (i) improving the processes and internal controls related to the valuation of financial instruments and share based payment liabilities, the related sensitivity disclosures, and the tax provision, (ii) disaggregating the management review controls to address the specific risks associated with these items, and (iii) implementing more robust procedures over the documentation of the performance of these management review controls. As of December 31, 2022, we concluded that this material weakness has been remediated.</w:t>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25730"/>
                <wp:effectExtent l="0" t="0" r="0" b="0"/>
                <wp:wrapNone/>
                <wp:docPr id="60" name="Frame6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53</w:t>
                      </w:r>
                    </w:p>
                  </w:txbxContent>
                </v:textbox>
              </v:rect>
            </w:pict>
          </mc:Fallback>
        </mc:AlternateContent>
      </w:r>
    </w:p>
    <w:p>
      <w:pPr>
        <w:pStyle w:val="TextBody"/>
        <w:spacing w:before="0" w:after="0"/>
        <w:jc w:val="center"/>
        <w:rPr/>
      </w:pPr>
      <w:r>
        <w:rPr/>
      </w:r>
    </w:p>
    <w:tbl>
      <w:tblPr>
        <w:tblW w:w="2385" w:type="dxa"/>
        <w:jc w:val="left"/>
        <w:tblInd w:w="0" w:type="dxa"/>
        <w:tblCellMar>
          <w:top w:w="28" w:type="dxa"/>
          <w:left w:w="28" w:type="dxa"/>
          <w:bottom w:w="28" w:type="dxa"/>
          <w:right w:w="28" w:type="dxa"/>
        </w:tblCellMar>
      </w:tblPr>
      <w:tblGrid>
        <w:gridCol w:w="390"/>
        <w:gridCol w:w="343"/>
        <w:gridCol w:w="346"/>
        <w:gridCol w:w="382"/>
        <w:gridCol w:w="382"/>
        <w:gridCol w:w="542"/>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w:t>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RESERVED</w:t>
            </w:r>
          </w:p>
        </w:tc>
      </w:tr>
    </w:tbl>
    <w:tbl>
      <w:tblPr>
        <w:tblW w:w="5654" w:type="dxa"/>
        <w:jc w:val="left"/>
        <w:tblInd w:w="0" w:type="dxa"/>
        <w:tblCellMar>
          <w:top w:w="28" w:type="dxa"/>
          <w:left w:w="28" w:type="dxa"/>
          <w:bottom w:w="28" w:type="dxa"/>
          <w:right w:w="28" w:type="dxa"/>
        </w:tblCellMar>
      </w:tblPr>
      <w:tblGrid>
        <w:gridCol w:w="445"/>
        <w:gridCol w:w="391"/>
        <w:gridCol w:w="394"/>
        <w:gridCol w:w="1296"/>
        <w:gridCol w:w="1296"/>
        <w:gridCol w:w="1832"/>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16A.</w:t>
            </w:r>
          </w:p>
        </w:tc>
        <w:tc>
          <w:tcPr>
            <w:tcW w:w="44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AUDIT COMMITTEE FINANCIAL EXPERT</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board of directors has determined that each of Christopher Viehbacher and Sharon Barber-Lui, independent directors (under the standards set forth in Nasdaq Stock Market Rule 5605(a)(2) and Rule 10A-3 under the Exchange Act) and members of our audit committee, are each an audit committee financial expert.</w:t>
      </w:r>
    </w:p>
    <w:tbl>
      <w:tblPr>
        <w:tblW w:w="3239" w:type="dxa"/>
        <w:jc w:val="left"/>
        <w:tblInd w:w="0" w:type="dxa"/>
        <w:tblCellMar>
          <w:top w:w="28" w:type="dxa"/>
          <w:left w:w="28" w:type="dxa"/>
          <w:bottom w:w="28" w:type="dxa"/>
          <w:right w:w="28" w:type="dxa"/>
        </w:tblCellMar>
      </w:tblPr>
      <w:tblGrid>
        <w:gridCol w:w="445"/>
        <w:gridCol w:w="391"/>
        <w:gridCol w:w="394"/>
        <w:gridCol w:w="588"/>
        <w:gridCol w:w="588"/>
        <w:gridCol w:w="833"/>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16B.</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CODE OF ETHICS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Board of Directors has adopted a written Code of Business Conduct and Ethics. The Code of Business Conduct and Ethics applies to our directors, officers and employees, including our principal executive officer, principal financial officer, principal accounting officer or controller, or persons performing similar functions. A current copy of the code is posted on the investor relations section of our website, which is located at www.puretechhealth.com.The information contained on, or that can be accessed through, our website is not and shall not be deemed to be part of this annual report on Form 20-F. Our Code of Business Conduct and Ethics is intended to meet the definition of “code of ethics” under Item 16B of Form 20-F under the Exchange Act. We will disclose on our website any amendment to, or waiver from, a provision of our Code of Business Conduct and Ethics that applies to our directors or executive officers to the extent required under the rules of the SEC or Nasdaq.</w:t>
      </w:r>
    </w:p>
    <w:tbl>
      <w:tblPr>
        <w:tblW w:w="6479" w:type="dxa"/>
        <w:jc w:val="left"/>
        <w:tblInd w:w="0" w:type="dxa"/>
        <w:tblCellMar>
          <w:top w:w="28" w:type="dxa"/>
          <w:left w:w="28" w:type="dxa"/>
          <w:bottom w:w="28" w:type="dxa"/>
          <w:right w:w="28" w:type="dxa"/>
        </w:tblCellMar>
      </w:tblPr>
      <w:tblGrid>
        <w:gridCol w:w="445"/>
        <w:gridCol w:w="391"/>
        <w:gridCol w:w="394"/>
        <w:gridCol w:w="1536"/>
        <w:gridCol w:w="1536"/>
        <w:gridCol w:w="2177"/>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16C.</w:t>
            </w:r>
          </w:p>
        </w:tc>
        <w:tc>
          <w:tcPr>
            <w:tcW w:w="52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PRINCIPAL ACCOUNTANT FEES AND SERVICES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sets forth the aggregate fees for professional services rendered by KPMG LLP in 2022 and 2021.</w:t>
      </w:r>
    </w:p>
    <w:tbl>
      <w:tblPr>
        <w:tblW w:w="4582" w:type="dxa"/>
        <w:jc w:val="left"/>
        <w:tblInd w:w="0" w:type="dxa"/>
        <w:tblCellMar>
          <w:top w:w="28" w:type="dxa"/>
          <w:left w:w="28" w:type="dxa"/>
          <w:bottom w:w="28" w:type="dxa"/>
          <w:right w:w="28" w:type="dxa"/>
        </w:tblCellMar>
      </w:tblPr>
      <w:tblGrid>
        <w:gridCol w:w="961"/>
        <w:gridCol w:w="843"/>
        <w:gridCol w:w="850"/>
        <w:gridCol w:w="353"/>
        <w:gridCol w:w="353"/>
        <w:gridCol w:w="181"/>
        <w:gridCol w:w="353"/>
        <w:gridCol w:w="353"/>
        <w:gridCol w:w="181"/>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fees</w:t>
            </w:r>
          </w:p>
        </w:tc>
        <w:tc>
          <w:tcPr>
            <w:tcW w:w="70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3,099</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3,434</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Audit-related fees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fees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other fees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7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3,099</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3,434 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40"/>
        <w:rPr/>
      </w:pPr>
      <w:r>
        <w:rPr/>
      </w:r>
    </w:p>
    <w:p>
      <w:pPr>
        <w:pStyle w:val="TextBody"/>
        <w:spacing w:before="0" w:after="4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set forth or referenced under the heading “Report of the Audit Committee” on pages 83 to 85 of PureTech’s “Annual Report and Accounts 2022” included as exhibit 15.1 to this annual report on Form 20-F is incorporated by reference.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Audit Committee evaluates the qualifications, independence and performance of the independent auditor as well as pre-approves and reviews the audit and non-audit services to be performed by the independent auditor. In accordance with this policy, all services performed by and fees paid to KPMG LLP were approved by the Audit Committee. </w:t>
      </w:r>
    </w:p>
    <w:tbl>
      <w:tblPr>
        <w:tblW w:w="9254" w:type="dxa"/>
        <w:jc w:val="left"/>
        <w:tblInd w:w="0" w:type="dxa"/>
        <w:tblCellMar>
          <w:top w:w="28" w:type="dxa"/>
          <w:left w:w="28" w:type="dxa"/>
          <w:bottom w:w="28" w:type="dxa"/>
          <w:right w:w="28" w:type="dxa"/>
        </w:tblCellMar>
      </w:tblPr>
      <w:tblGrid>
        <w:gridCol w:w="450"/>
        <w:gridCol w:w="395"/>
        <w:gridCol w:w="399"/>
        <w:gridCol w:w="2344"/>
        <w:gridCol w:w="2344"/>
        <w:gridCol w:w="3322"/>
      </w:tblGrid>
      <w:tr>
        <w:trPr/>
        <w:tc>
          <w:tcPr>
            <w:tcW w:w="45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2344" w:type="dxa"/>
            <w:tcBorders/>
            <w:shd w:fill="auto" w:val="clear"/>
            <w:vAlign w:val="center"/>
          </w:tcPr>
          <w:p>
            <w:pPr>
              <w:pStyle w:val="TableContents"/>
              <w:spacing w:before="0" w:after="283"/>
              <w:rPr>
                <w:sz w:val="4"/>
                <w:szCs w:val="4"/>
              </w:rPr>
            </w:pPr>
            <w:r>
              <w:rPr>
                <w:sz w:val="4"/>
                <w:szCs w:val="4"/>
              </w:rPr>
            </w:r>
          </w:p>
        </w:tc>
        <w:tc>
          <w:tcPr>
            <w:tcW w:w="3322"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16D.</w:t>
            </w:r>
          </w:p>
        </w:tc>
        <w:tc>
          <w:tcPr>
            <w:tcW w:w="8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EXEMPTIONS FROM THE LISTING STANDARDS FOR AUDIT COMMITTEES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25730"/>
                <wp:effectExtent l="0" t="0" r="0" b="0"/>
                <wp:wrapNone/>
                <wp:docPr id="61" name="Frame6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54</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431"/>
        <w:gridCol w:w="379"/>
        <w:gridCol w:w="382"/>
        <w:gridCol w:w="2638"/>
        <w:gridCol w:w="2638"/>
        <w:gridCol w:w="3737"/>
      </w:tblGrid>
      <w:tr>
        <w:trPr/>
        <w:tc>
          <w:tcPr>
            <w:tcW w:w="43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37" w:type="dxa"/>
            <w:tcBorders/>
            <w:shd w:fill="auto" w:val="clear"/>
            <w:vAlign w:val="center"/>
          </w:tcPr>
          <w:p>
            <w:pPr>
              <w:pStyle w:val="TableContents"/>
              <w:spacing w:before="0" w:after="283"/>
              <w:rPr>
                <w:sz w:val="4"/>
                <w:szCs w:val="4"/>
              </w:rPr>
            </w:pPr>
            <w:r>
              <w:rPr>
                <w:sz w:val="4"/>
                <w:szCs w:val="4"/>
              </w:rPr>
            </w:r>
          </w:p>
        </w:tc>
      </w:tr>
      <w:tr>
        <w:trPr/>
        <w:tc>
          <w:tcPr>
            <w:tcW w:w="11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16E.</w:t>
            </w:r>
          </w:p>
        </w:tc>
        <w:tc>
          <w:tcPr>
            <w:tcW w:w="90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PURCHASES OF EQUITY SECURITIES BY THE ISSUER AND AFFILIATED PURCHASERS</w:t>
            </w:r>
          </w:p>
        </w:tc>
      </w:tr>
    </w:tbl>
    <w:tbl>
      <w:tblPr>
        <w:tblW w:w="10205" w:type="dxa"/>
        <w:jc w:val="left"/>
        <w:tblInd w:w="0" w:type="dxa"/>
        <w:tblCellMar>
          <w:top w:w="28" w:type="dxa"/>
          <w:left w:w="28" w:type="dxa"/>
          <w:bottom w:w="28" w:type="dxa"/>
          <w:right w:w="28" w:type="dxa"/>
        </w:tblCellMar>
      </w:tblPr>
      <w:tblGrid>
        <w:gridCol w:w="724"/>
        <w:gridCol w:w="439"/>
        <w:gridCol w:w="446"/>
        <w:gridCol w:w="704"/>
        <w:gridCol w:w="571"/>
        <w:gridCol w:w="312"/>
        <w:gridCol w:w="560"/>
        <w:gridCol w:w="358"/>
        <w:gridCol w:w="360"/>
        <w:gridCol w:w="1152"/>
        <w:gridCol w:w="720"/>
        <w:gridCol w:w="722"/>
        <w:gridCol w:w="1347"/>
        <w:gridCol w:w="738"/>
        <w:gridCol w:w="1052"/>
      </w:tblGrid>
      <w:tr>
        <w:trPr/>
        <w:tc>
          <w:tcPr>
            <w:tcW w:w="72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Period</w:t>
            </w:r>
          </w:p>
        </w:tc>
        <w:tc>
          <w:tcPr>
            <w:tcW w:w="158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Number of</w:t>
              <w:br/>
              <w:t>Shares (or Units) Purchased</w:t>
            </w:r>
          </w:p>
        </w:tc>
        <w:tc>
          <w:tcPr>
            <w:tcW w:w="127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Average Price Paid per Share (or Unit)</w:t>
            </w:r>
          </w:p>
        </w:tc>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45 Book;sans-serif" w:hAnsi="Avenir LT Pro 45 Book;sans-serif"/>
                <w:b w:val="false"/>
                <w:color w:val="183964"/>
                <w:sz w:val="14"/>
              </w:rPr>
              <w:t>Total Number of Shares (or Units) Purchased as Part of Publicly Announced Plans or Programs</w:t>
            </w:r>
            <w:r>
              <w:rPr>
                <w:rFonts w:ascii="Avenir LT Pro 45 Book;sans-serif" w:hAnsi="Avenir LT Pro 45 Book;sans-serif"/>
                <w:b w:val="false"/>
                <w:color w:val="183964"/>
                <w:sz w:val="9"/>
              </w:rPr>
              <w:t>1</w:t>
            </w:r>
            <w:r>
              <w:rPr>
                <w:color w:val="183964"/>
              </w:rPr>
              <w:t>    </w:t>
            </w:r>
          </w:p>
        </w:tc>
        <w:tc>
          <w:tcPr>
            <w:tcW w:w="313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Maximum Number (or Approximate Dollar Value) of Shares (or Units) that May Yet Be Purchased Under the Plans or Programs</w:t>
            </w:r>
          </w:p>
        </w:tc>
      </w:tr>
      <w:tr>
        <w:trPr/>
        <w:tc>
          <w:tcPr>
            <w:tcW w:w="1609"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January 1, 2022 through January 31, 2022</w:t>
            </w:r>
          </w:p>
        </w:tc>
        <w:tc>
          <w:tcPr>
            <w:tcW w:w="1275"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12"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0"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22"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52"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February 1, 2022 through February 28,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March 1, 2022 through March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April 1, 2022 through April 30,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May 1, 2022 through May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743,116 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$2.22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743,116 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$48,348,408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June 1, 2022 through June 30,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1,267,153 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$2.06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1,267,153 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$45,733,171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July 1, 2022 through July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2,006,588 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$2.26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2,006,588 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$41,198,197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August 1, 2022 through August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955,982 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$2.79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955,982 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$38,527,254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September 1, 2022 through September 30,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1,683,506 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$2.70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1,683,506 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$33,973,542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October 1, 2022 through October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3,614,342 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$2.60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3,614,342 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$24,561,054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November 1, 2022 through November 30,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324,660 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$2.84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324,660 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$23,640,149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December 1, 2022 through December 31, 2022</w:t>
            </w:r>
          </w:p>
        </w:tc>
        <w:tc>
          <w:tcPr>
            <w:tcW w:w="12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w:t>
            </w:r>
          </w:p>
        </w:tc>
        <w:tc>
          <w:tcPr>
            <w:tcW w:w="3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$23,640,149 </w:t>
            </w:r>
          </w:p>
        </w:tc>
        <w:tc>
          <w:tcPr>
            <w:tcW w:w="10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9" w:type="dxa"/>
            <w:gridSpan w:val="3"/>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1275" w:type="dxa"/>
            <w:gridSpan w:val="2"/>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10,595,347</w:t>
            </w:r>
            <w:r>
              <w:rPr>
                <w:color w:val="000000"/>
              </w:rPr>
              <w:t> </w:t>
            </w:r>
          </w:p>
        </w:tc>
        <w:tc>
          <w:tcPr>
            <w:tcW w:w="312" w:type="dxa"/>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$2.49</w:t>
            </w:r>
            <w:r>
              <w:rPr>
                <w:color w:val="000000"/>
              </w:rPr>
              <w:t> </w:t>
            </w:r>
          </w:p>
        </w:tc>
        <w:tc>
          <w:tcPr>
            <w:tcW w:w="360" w:type="dxa"/>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872" w:type="dxa"/>
            <w:gridSpan w:val="2"/>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10,595,347</w:t>
            </w:r>
            <w:r>
              <w:rPr>
                <w:color w:val="000000"/>
              </w:rPr>
              <w:t> </w:t>
            </w:r>
          </w:p>
        </w:tc>
        <w:tc>
          <w:tcPr>
            <w:tcW w:w="722" w:type="dxa"/>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85" w:type="dxa"/>
            <w:gridSpan w:val="2"/>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$23,640,149</w:t>
            </w:r>
            <w:r>
              <w:rPr>
                <w:color w:val="000000"/>
              </w:rPr>
              <w:t> </w:t>
            </w:r>
          </w:p>
        </w:tc>
        <w:tc>
          <w:tcPr>
            <w:tcW w:w="1052" w:type="dxa"/>
            <w:tcBorders>
              <w:top w:val="single" w:sz="2" w:space="0" w:color="001544"/>
              <w:bottom w:val="single" w:sz="4" w:space="0" w:color="00154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27"/>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1.On May 9, 2022, the Company announced the commencement of a $50 million share repurchase program (the “Program”) of its ordinary shares. The Company plans to execute the Program in two equal tranches, the first of which was completed on October 26, 2022. In respect of each of the two tranches, the Company entered into an irrevocable non-discretionary instruction with Jefferies International Limited (“Jefferies”) in relation to the purchase by Jefferies of the Company’s ordinary shares for an aggregate consideration (excluding expenses) of no greater than $25 million and the simultaneous on-sale of such ordinary shares by Jefferies to the Company.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pStyle w:val="TextBody"/>
        <w:spacing w:before="0" w:after="40"/>
        <w:rPr/>
      </w:pPr>
      <w:r>
        <w:rPr/>
      </w:r>
    </w:p>
    <w:tbl>
      <w:tblPr>
        <w:tblW w:w="7289" w:type="dxa"/>
        <w:jc w:val="left"/>
        <w:tblInd w:w="0" w:type="dxa"/>
        <w:tblCellMar>
          <w:top w:w="28" w:type="dxa"/>
          <w:left w:w="28" w:type="dxa"/>
          <w:bottom w:w="28" w:type="dxa"/>
          <w:right w:w="28" w:type="dxa"/>
        </w:tblCellMar>
      </w:tblPr>
      <w:tblGrid>
        <w:gridCol w:w="439"/>
        <w:gridCol w:w="386"/>
        <w:gridCol w:w="390"/>
        <w:gridCol w:w="1778"/>
        <w:gridCol w:w="1778"/>
        <w:gridCol w:w="2518"/>
      </w:tblGrid>
      <w:tr>
        <w:trPr/>
        <w:tc>
          <w:tcPr>
            <w:tcW w:w="43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2518"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16F.</w:t>
            </w:r>
          </w:p>
        </w:tc>
        <w:tc>
          <w:tcPr>
            <w:tcW w:w="6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CHANGE IN REGISTRANT’S CERTIFYING ACCOUNTANT</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KPMG LLP, or KPMG, has been our independent registered public accounting firm since 2015. In 2022, we commenced an audit tender process to select our independent registered public accounting firm for the fiscal year ending December 31, 2023. The tender process evaluated proposals from KPMG and two other firms. As a result of the audit tender process, our audit committee recommended the appointment of PricewaterhouseCoopers LLP, or PwC, as our independent registered public accounting firm in connection with the audit of our consolidated financial statements for the fiscal year ending December 31, 2023, which was subsequently approved by our board of directors. The appointment is subject to shareholder approval at the Company’s 2023 Annual General Meeting. PwC will replace KPMG effective as of shareholder approval of PwC’s appointment at the 2023 Annual General Meeting.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KPMG’s audit reports on our consolidated financial statements as of and for each of the fiscal years ended December 31, 2021 and 2022 did not contain any adverse opinion or disclaimer of opinion, nor were they qualified or modified as to uncertainty, audit scope or accounting principles. The audit reports of KPMG LLP on the effectiveness of internal control over financial reporting as of December 31, 2022 and 2021 did not contain any adverse opinion or disclaimer of opinion, nor were they qualified or modified as to uncertainty, audit scope, or accounting principles, except that KPMG LLP’s report dated April 25, 2022 indicates that PureTech Health PLC did not maintain effective internal control over financial reporting as of December 31, 2021 because of the effect of a material weakness on the achievement of the objectives of the control criteria and contains an explanatory paragraph that states, a material weakness related to the risk assessment process over the design and implementation of management review controls over the valuation of financial instruments, completeness and accuracy of related sensitivity disclosures, the valuation of share based payment liabilities and the completeness and accuracy of the tax provision, as well as the complete identification of information used in the control and the design of sufficient controls to address the relevance and reliability of such information. During the fiscal years ended December 31, 2021 and 2022 and the subsequent interim period through April 28, 2023, there were no (i) disagreements, as defined in Item 16F(a)(1)(iv) of Form 20-F and the related instructions, between us and KPMG on any matter of accounting principles or practices, financial statement disclosure, or auditing scope or procedure, which disagreements, if not resolved to the satisfaction of KPMG, would have caused KPMG to make reference to the subject matter of the disagreements in connection with its reports on our consolidated financial statements, or (ii) reportable events as defined in Item 16F(a)(1)(v) of Form 20-F other than:</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the material weakness reported in our 2021 annual report on Form 20-F filed with the SEC on April 26, 2022 as described in the paragraph above.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audit committee discussed the reportable events mentioned above with KPMG. KPMG was authorized to fully respond to the inquiries of PwC on the reportable events.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our two most recent fiscal years ended December 31, 2021 and 2022 and any subsequent interim period prior to April 28, 2023, neither we nor anyone on our behalf has consulted with PwC on either (i) the application of accounting principles to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25730"/>
                <wp:effectExtent l="0" t="0" r="0" b="0"/>
                <wp:wrapNone/>
                <wp:docPr id="62" name="Frame6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55</w:t>
                      </w:r>
                    </w:p>
                  </w:txbxContent>
                </v:textbox>
              </v:rect>
            </w:pict>
          </mc:Fallback>
        </mc:AlternateContent>
      </w:r>
    </w:p>
    <w:p>
      <w:pPr>
        <w:pStyle w:val="TextBody"/>
        <w:spacing w:before="0" w:after="0"/>
        <w:jc w:val="center"/>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specified transaction, either completed or proposed, or the type of audit opinion that might be rendered on our consolidated financial statements or effectiveness of internal control over financial reporting, and neither a written report nor oral advice was provided to us by PwC that PwC concluded was an important factor considered by us in reaching a decision as to any accounting, auditing or financial reporting issue, or (ii) any matter that was the subject of a disagreement, as that term is defined in Item 16F(a)(1)(iv) of Form 20-F (and the related instructions thereto) or a reportable event as set forth in Item 16F(a)(1)(v) of Form 20-F.</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provided a copy of this disclosure in Item 16F to KPMG and requested that KPMG furnish us with a letter addressed to the SEC stating whether it agrees with the above statements, and if not, stating the respects in which it does not agree. A copy of the letter from KPMG addressed to the SEC, dated April 28, 2023, is filed herein as Exhibit 15.2.</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25730"/>
                <wp:effectExtent l="0" t="0" r="0" b="0"/>
                <wp:wrapNone/>
                <wp:docPr id="63" name="Frame6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56</w:t>
                      </w:r>
                    </w:p>
                  </w:txbxContent>
                </v:textbox>
              </v:rect>
            </w:pict>
          </mc:Fallback>
        </mc:AlternateContent>
      </w:r>
    </w:p>
    <w:p>
      <w:pPr>
        <w:pStyle w:val="TextBody"/>
        <w:spacing w:before="0" w:after="0"/>
        <w:jc w:val="center"/>
        <w:rPr/>
      </w:pPr>
      <w:r>
        <w:rPr/>
      </w:r>
    </w:p>
    <w:tbl>
      <w:tblPr>
        <w:tblW w:w="4349" w:type="dxa"/>
        <w:jc w:val="left"/>
        <w:tblInd w:w="0" w:type="dxa"/>
        <w:tblCellMar>
          <w:top w:w="28" w:type="dxa"/>
          <w:left w:w="28" w:type="dxa"/>
          <w:bottom w:w="28" w:type="dxa"/>
          <w:right w:w="28" w:type="dxa"/>
        </w:tblCellMar>
      </w:tblPr>
      <w:tblGrid>
        <w:gridCol w:w="450"/>
        <w:gridCol w:w="395"/>
        <w:gridCol w:w="399"/>
        <w:gridCol w:w="909"/>
        <w:gridCol w:w="909"/>
        <w:gridCol w:w="1287"/>
      </w:tblGrid>
      <w:tr>
        <w:trPr/>
        <w:tc>
          <w:tcPr>
            <w:tcW w:w="45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16G.</w:t>
            </w:r>
          </w:p>
        </w:tc>
        <w:tc>
          <w:tcPr>
            <w:tcW w:w="3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CORPORATE GOVERNANCE</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qualify as a foreign private issuer. The Listing Rules of the Nasdaq Stock Market include certain accommodations in the corporate governance requirements that allow foreign private issuers to follow “home country” corporate governance practices in lieu of the otherwise applicable corporate governance standards of the Nasdaq Stock Market. We rely on the certain exemptions for foreign private issuers and follow United Kingdom corporate governance practices in lieu of the Nasdaq corporate governance rules.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summary of the significant ways in which the Company’s corporate governance practices differ from those followed by U.S. domestic companies under the Nasdaq corporate governance rules is set forth below.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headings “Directors’ Report for the year ended 31 December 2022—Compliance with the UK Corporate Governance Code” (first paragraph only) on page 79 of PureTech’s “Annual Report and Accounts 2022” included as exhibit 15.1 to this annual report on Form 20-F is incorporated by reference.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The home country practices followed by our company in lieu of Nasdaq rules are described below:</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We do not follow Nasdaq’s quorum requirements applicable to meetings of shareholders. Such quorum requirements are not required under U.K. law. In accordance with generally accepted business practice, our articles of association provide alternative quorum requirements that are generally applicable to meetings of shareholders.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We do not follow Nasdaq’s requirements that independent directors have regularly scheduled meetings at which only independent directors are present. Under U.K. law the independent directors may choose to meet in executive session at their discretion.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We do not follow Nasdaq’s requirements to seek shareholder approval for the implementation of certain equity compensation plans, the issuances of ordinary shares under such plans, or in connection with certain private placements of equity securities. In accordance with U.K. law, we are not required to seek shareholder approval to allot ordinary shares in connection with applicable employee equity compensation plans. We will follow U.K. law with respect to any requirement to obtain shareholder approval prior to any private placements of equity securities.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We do not follow Nasdaq’s requirements with respect to review and approval of related party transactions. We will follow U.K. law with respect to any requirements regarding review and approval of related party transactions.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intend to take all actions necessary for us to maintain compliance as a foreign private issuer under the applicable corporate governance requirements of the Sarbanes-Oxley Act of 2002, the rules adopted by the SEC and Nasdaq’s listing standards.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we are a foreign private issuer, our directors and senior management are not subject to short-swing profit and insider trading reporting obligations under Section 16 of the U.S. Securities Exchange Act of 1934, as amended, or Exchange Act. They are, however, subject to the obligations to report changes in share ownership under Section 13 of the Exchange Act and related SEC rules.</w:t>
      </w:r>
    </w:p>
    <w:tbl>
      <w:tblPr>
        <w:tblW w:w="4333" w:type="dxa"/>
        <w:jc w:val="left"/>
        <w:tblInd w:w="0" w:type="dxa"/>
        <w:tblCellMar>
          <w:top w:w="28" w:type="dxa"/>
          <w:left w:w="28" w:type="dxa"/>
          <w:bottom w:w="28" w:type="dxa"/>
          <w:right w:w="28" w:type="dxa"/>
        </w:tblCellMar>
      </w:tblPr>
      <w:tblGrid>
        <w:gridCol w:w="450"/>
        <w:gridCol w:w="395"/>
        <w:gridCol w:w="399"/>
        <w:gridCol w:w="903"/>
        <w:gridCol w:w="903"/>
        <w:gridCol w:w="1283"/>
      </w:tblGrid>
      <w:tr>
        <w:trPr/>
        <w:tc>
          <w:tcPr>
            <w:tcW w:w="45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16H.</w:t>
            </w:r>
          </w:p>
        </w:tc>
        <w:tc>
          <w:tcPr>
            <w:tcW w:w="3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MINE SAFETY DISCLOSURE</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spacing w:lineRule="auto" w:line="288" w:before="100" w:after="100"/>
        <w:rPr>
          <w:rFonts w:ascii="Avenir LT Pro 85 Heavy;sans-serif" w:hAnsi="Avenir LT Pro 85 Heavy;sans-serif"/>
          <w:b/>
          <w:color w:val="183964"/>
          <w:sz w:val="20"/>
        </w:rPr>
      </w:pPr>
      <w:r>
        <w:rPr>
          <w:rFonts w:ascii="Avenir LT Pro 85 Heavy;sans-serif" w:hAnsi="Avenir LT Pro 85 Heavy;sans-serif"/>
          <w:b/>
          <w:color w:val="183964"/>
          <w:sz w:val="20"/>
        </w:rPr>
        <w:t xml:space="preserve">ITEM 16I. DISCLOSURE REGARDING FOREIGN JURISDICTIONS THAT PREVENT INSPECTIONS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25730"/>
                <wp:effectExtent l="0" t="0" r="0" b="0"/>
                <wp:wrapNone/>
                <wp:docPr id="64" name="Frame6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57</w:t>
                      </w:r>
                    </w:p>
                  </w:txbxContent>
                </v:textbox>
              </v:rect>
            </w:pict>
          </mc:Fallback>
        </mc:AlternateContent>
      </w:r>
    </w:p>
    <w:p>
      <w:pPr>
        <w:pStyle w:val="TextBody"/>
        <w:spacing w:before="0" w:after="0"/>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III </w:t>
      </w:r>
    </w:p>
    <w:tbl>
      <w:tblPr>
        <w:tblW w:w="3943" w:type="dxa"/>
        <w:jc w:val="left"/>
        <w:tblInd w:w="0" w:type="dxa"/>
        <w:tblCellMar>
          <w:top w:w="28" w:type="dxa"/>
          <w:left w:w="28" w:type="dxa"/>
          <w:bottom w:w="28" w:type="dxa"/>
          <w:right w:w="28" w:type="dxa"/>
        </w:tblCellMar>
      </w:tblPr>
      <w:tblGrid>
        <w:gridCol w:w="390"/>
        <w:gridCol w:w="343"/>
        <w:gridCol w:w="346"/>
        <w:gridCol w:w="838"/>
        <w:gridCol w:w="838"/>
        <w:gridCol w:w="1188"/>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17.</w:t>
            </w:r>
          </w:p>
        </w:tc>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STATEMENTS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elected to furnish financial statements and related information specified in Item 18.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25730"/>
                <wp:effectExtent l="0" t="0" r="0" b="0"/>
                <wp:wrapNone/>
                <wp:docPr id="65" name="Frame6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58</w:t>
                      </w:r>
                    </w:p>
                  </w:txbxContent>
                </v:textbox>
              </v:rect>
            </w:pict>
          </mc:Fallback>
        </mc:AlternateContent>
      </w:r>
    </w:p>
    <w:p>
      <w:pPr>
        <w:pStyle w:val="TextBody"/>
        <w:spacing w:before="0" w:after="0"/>
        <w:jc w:val="center"/>
        <w:rPr/>
      </w:pPr>
      <w:r>
        <w:rPr/>
      </w:r>
    </w:p>
    <w:tbl>
      <w:tblPr>
        <w:tblW w:w="3943" w:type="dxa"/>
        <w:jc w:val="left"/>
        <w:tblInd w:w="0" w:type="dxa"/>
        <w:tblCellMar>
          <w:top w:w="28" w:type="dxa"/>
          <w:left w:w="28" w:type="dxa"/>
          <w:bottom w:w="28" w:type="dxa"/>
          <w:right w:w="28" w:type="dxa"/>
        </w:tblCellMar>
      </w:tblPr>
      <w:tblGrid>
        <w:gridCol w:w="390"/>
        <w:gridCol w:w="343"/>
        <w:gridCol w:w="346"/>
        <w:gridCol w:w="838"/>
        <w:gridCol w:w="838"/>
        <w:gridCol w:w="1188"/>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18.</w:t>
            </w:r>
          </w:p>
        </w:tc>
        <w:tc>
          <w:tcPr>
            <w:tcW w:w="28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STATEMENTS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See pages F-1 through F-56 of this annual report.</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Inc. was deemed a significant equity investee under Rule 3-09 of Regulation S-X for the fiscal year ended December 31, 2022. As such, the financial statements and related notes of Gelesis, Inc. required by Rule 3-09 of Regulation S-X are provided as Exhibit 99.1 to this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25730"/>
                <wp:effectExtent l="0" t="0" r="0" b="0"/>
                <wp:wrapNone/>
                <wp:docPr id="66" name="Frame6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59</w:t>
                      </w:r>
                    </w:p>
                  </w:txbxContent>
                </v:textbox>
              </v:rect>
            </w:pict>
          </mc:Fallback>
        </mc:AlternateContent>
      </w:r>
    </w:p>
    <w:p>
      <w:pPr>
        <w:pStyle w:val="TextBody"/>
        <w:spacing w:before="0" w:after="0"/>
        <w:jc w:val="center"/>
        <w:rPr/>
      </w:pPr>
      <w:r>
        <w:rPr/>
      </w:r>
    </w:p>
    <w:tbl>
      <w:tblPr>
        <w:tblW w:w="2250" w:type="dxa"/>
        <w:jc w:val="left"/>
        <w:tblInd w:w="0" w:type="dxa"/>
        <w:tblCellMar>
          <w:top w:w="28" w:type="dxa"/>
          <w:left w:w="28" w:type="dxa"/>
          <w:bottom w:w="28" w:type="dxa"/>
          <w:right w:w="28" w:type="dxa"/>
        </w:tblCellMar>
      </w:tblPr>
      <w:tblGrid>
        <w:gridCol w:w="390"/>
        <w:gridCol w:w="343"/>
        <w:gridCol w:w="346"/>
        <w:gridCol w:w="343"/>
        <w:gridCol w:w="343"/>
        <w:gridCol w:w="485"/>
      </w:tblGrid>
      <w:tr>
        <w:trPr/>
        <w:tc>
          <w:tcPr>
            <w:tcW w:w="3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19.</w:t>
            </w:r>
          </w:p>
        </w:tc>
        <w:tc>
          <w:tcPr>
            <w:tcW w:w="11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EXHIBITS</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Exhibits listed in the Exhibit Index at the end of this annual report are filed as Exhibits to this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25730"/>
                <wp:effectExtent l="0" t="0" r="0" b="0"/>
                <wp:wrapNone/>
                <wp:docPr id="67" name="Frame6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60</w:t>
                      </w:r>
                    </w:p>
                  </w:txbxContent>
                </v:textbox>
              </v:rect>
            </w:pict>
          </mc:Fallback>
        </mc:AlternateContent>
      </w:r>
    </w:p>
    <w:p>
      <w:pPr>
        <w:pStyle w:val="TextBody"/>
        <w:spacing w:before="0" w:after="0"/>
        <w:jc w:val="center"/>
        <w:rPr/>
      </w:pPr>
      <w:r>
        <w:rPr/>
      </w:r>
    </w:p>
    <w:p>
      <w:pPr>
        <w:pStyle w:val="TextBody"/>
        <w:spacing w:before="0" w:after="100"/>
        <w:rPr/>
      </w:pPr>
      <w:r>
        <w:rPr/>
      </w:r>
    </w:p>
    <w:tbl>
      <w:tblPr>
        <w:tblW w:w="10205" w:type="dxa"/>
        <w:jc w:val="left"/>
        <w:tblInd w:w="0" w:type="dxa"/>
        <w:tblCellMar>
          <w:top w:w="28" w:type="dxa"/>
          <w:left w:w="28" w:type="dxa"/>
          <w:bottom w:w="28" w:type="dxa"/>
          <w:right w:w="28" w:type="dxa"/>
        </w:tblCellMar>
      </w:tblPr>
      <w:tblGrid>
        <w:gridCol w:w="354"/>
        <w:gridCol w:w="310"/>
        <w:gridCol w:w="313"/>
        <w:gridCol w:w="2232"/>
        <w:gridCol w:w="1942"/>
        <w:gridCol w:w="1947"/>
        <w:gridCol w:w="339"/>
        <w:gridCol w:w="308"/>
        <w:gridCol w:w="309"/>
        <w:gridCol w:w="262"/>
        <w:gridCol w:w="262"/>
        <w:gridCol w:w="263"/>
        <w:gridCol w:w="212"/>
        <w:gridCol w:w="212"/>
        <w:gridCol w:w="198"/>
        <w:gridCol w:w="261"/>
        <w:gridCol w:w="214"/>
        <w:gridCol w:w="267"/>
      </w:tblGrid>
      <w:tr>
        <w:trPr/>
        <w:tc>
          <w:tcPr>
            <w:tcW w:w="35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94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107"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77"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21"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78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4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7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c>
        <w:tc>
          <w:tcPr>
            <w:tcW w:w="6121"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Avenir LT Pro 45 Book;sans-serif" w:hAnsi="Avenir LT Pro 45 Book;sans-serif"/>
                  <w:b w:val="false"/>
                  <w:color w:val="0000FF"/>
                  <w:sz w:val="17"/>
                  <w:u w:val="single"/>
                </w:rPr>
                <w:t>Articles of Association of the Registrant</w:t>
              </w:r>
            </w:hyperlink>
          </w:p>
        </w:tc>
        <w:tc>
          <w:tcPr>
            <w:tcW w:w="95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c>
        <w:tc>
          <w:tcPr>
            <w:tcW w:w="74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Avenir LT Pro 45 Book;sans-serif" w:hAnsi="Avenir LT Pro 45 Book;sans-serif"/>
                  <w:b w:val="false"/>
                  <w:color w:val="0000FF"/>
                  <w:sz w:val="17"/>
                  <w:u w:val="single"/>
                </w:rPr>
                <w:t>Deposit Agreement dated as of November 11, 2020, by and among the Registrant, Citibank N.A. and the holders of beneficial holders of American Depository Shares thereunder</w:t>
              </w:r>
            </w:hyperlink>
            <w:r>
              <w:rPr>
                <w:color w:val="000000"/>
              </w:rPr>
              <w:t xml:space="preserve"> </w:t>
            </w:r>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4/15/2021</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Form of American Depository Receipt (included in Exhibit 2.1)</w:t>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23descriptionofsecuritie.htm">
              <w:r>
                <w:rPr>
                  <w:rStyle w:val="InternetLink"/>
                  <w:rFonts w:ascii="Avenir LT Pro 45 Book;sans-serif" w:hAnsi="Avenir LT Pro 45 Book;sans-serif"/>
                  <w:b w:val="false"/>
                  <w:color w:val="0000FF"/>
                  <w:sz w:val="17"/>
                  <w:u w:val="single"/>
                </w:rPr>
                <w:t>Description of Registrant’s Securities</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4/26/2022</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Avenir LT Pro 45 Book;sans-serif" w:hAnsi="Avenir LT Pro 45 Book;sans-serif"/>
                  <w:b w:val="false"/>
                  <w:color w:val="0000FF"/>
                  <w:sz w:val="17"/>
                  <w:u w:val="single"/>
                </w:rPr>
                <w:t>Performance Share Plan</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Avenir LT Pro 45 Book;sans-serif" w:hAnsi="Avenir LT Pro 45 Book;sans-serif"/>
                  <w:b w:val="false"/>
                  <w:color w:val="0000FF"/>
                  <w:sz w:val="17"/>
                  <w:u w:val="single"/>
                </w:rPr>
                <w:t>Form of Incentive Stock Option Deed of Agreement under the Performance Share Plan</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Avenir LT Pro 45 Book;sans-serif" w:hAnsi="Avenir LT Pro 45 Book;sans-serif"/>
                  <w:b w:val="false"/>
                  <w:color w:val="0000FF"/>
                  <w:sz w:val="17"/>
                  <w:u w:val="single"/>
                </w:rPr>
                <w:t>Form of Nonstatutory Stock Option Deed of Agreement under the Performance Share Plan</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10.3</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Avenir LT Pro 45 Book;sans-serif" w:hAnsi="Avenir LT Pro 45 Book;sans-serif"/>
                  <w:b w:val="false"/>
                  <w:color w:val="0000FF"/>
                  <w:sz w:val="17"/>
                  <w:u w:val="single"/>
                </w:rPr>
                <w:t>Form of Restricted Share Units Agreement under the Performance Share Plan</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10.4</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Avenir LT Pro 45 Book;sans-serif" w:hAnsi="Avenir LT Pro 45 Book;sans-serif"/>
                  <w:b w:val="false"/>
                  <w:color w:val="0000FF"/>
                  <w:sz w:val="17"/>
                  <w:u w:val="single"/>
                </w:rPr>
                <w:t>Lease Agreement, dated as of August 10, 2018, by and between the Registrant and RBK I TENANT, LLC</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10.5</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9">
              <w:r>
                <w:rPr>
                  <w:rStyle w:val="InternetLink"/>
                  <w:rFonts w:ascii="Avenir LT Pro 45 Book;sans-serif" w:hAnsi="Avenir LT Pro 45 Book;sans-serif"/>
                  <w:b w:val="false"/>
                  <w:color w:val="0000FF"/>
                  <w:sz w:val="17"/>
                  <w:u w:val="single"/>
                </w:rPr>
                <w:t>Form of Deed of Indemnity between the Registrant and each of its directors and executive officers</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10.6</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0">
              <w:r>
                <w:rPr>
                  <w:rStyle w:val="InternetLink"/>
                  <w:rFonts w:ascii="Avenir LT Pro 45 Book;sans-serif" w:hAnsi="Avenir LT Pro 45 Book;sans-serif"/>
                  <w:b w:val="false"/>
                  <w:color w:val="0000FF"/>
                  <w:sz w:val="17"/>
                  <w:u w:val="single"/>
                </w:rPr>
                <w:t>Asset Purchase Agreement, dated July 15, 2019, by and between Auspex Pharmaceuticals, Inc. and PureTech Health LLC</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10.7</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1">
              <w:r>
                <w:rPr>
                  <w:rStyle w:val="InternetLink"/>
                  <w:rFonts w:ascii="Avenir LT Pro 45 Book;sans-serif" w:hAnsi="Avenir LT Pro 45 Book;sans-serif"/>
                  <w:b w:val="false"/>
                  <w:color w:val="0000FF"/>
                  <w:sz w:val="17"/>
                  <w:u w:val="single"/>
                </w:rPr>
                <w:t>Royalty Agreement, dated as of July 23, 2013, by and between PureTech Ventures LLC and Follica, Incorporated</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10.8</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2">
              <w:r>
                <w:rPr>
                  <w:rStyle w:val="InternetLink"/>
                  <w:rFonts w:ascii="Avenir LT Pro 45 Book;sans-serif" w:hAnsi="Avenir LT Pro 45 Book;sans-serif"/>
                  <w:b w:val="false"/>
                  <w:color w:val="0000FF"/>
                  <w:sz w:val="17"/>
                  <w:u w:val="single"/>
                </w:rPr>
                <w:t>Royalty and Sublicense Income Agreement, dated as of December 18, 2009, as amended on June 28, 2012, by and between PureTech Ventures LLC, Gelesis, Inc. and Gelesis LP</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10.9</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4.10†</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3">
              <w:r>
                <w:rPr>
                  <w:rStyle w:val="InternetLink"/>
                  <w:rFonts w:ascii="Avenir LT Pro 45 Book;sans-serif" w:hAnsi="Avenir LT Pro 45 Book;sans-serif"/>
                  <w:b w:val="false"/>
                  <w:color w:val="0000FF"/>
                  <w:sz w:val="17"/>
                  <w:u w:val="single"/>
                </w:rPr>
                <w:t>Exclusive Patent License Agreement, dated as of March 4, 2011, as amended on February 1, 2013 and February 25, 2015, by and between PureTech Ventures LLC and Karuna Pharmaceuticals, Inc.</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10.10</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4.11†</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Avenir LT Pro 45 Book;sans-serif" w:hAnsi="Avenir LT Pro 45 Book;sans-serif"/>
                  <w:b w:val="false"/>
                  <w:color w:val="0000FF"/>
                  <w:sz w:val="17"/>
                  <w:u w:val="single"/>
                </w:rPr>
                <w:t>Ninth Amended and Restated Registration Rights Agreement, dated December 5, 2019, between Gelesis, Inc. and the stockholders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10.12</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4.12†</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Avenir LT Pro 45 Book;sans-serif" w:hAnsi="Avenir LT Pro 45 Book;sans-serif"/>
                  <w:b w:val="false"/>
                  <w:color w:val="0000FF"/>
                  <w:sz w:val="17"/>
                  <w:u w:val="single"/>
                </w:rPr>
                <w:t>Fifth Amended and Restated Investors’ Rights Agreement, dated July 19, 2019, by and among Follica, Incorporated and the investors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10.17</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4.13†</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Avenir LT Pro 45 Book;sans-serif" w:hAnsi="Avenir LT Pro 45 Book;sans-serif"/>
                  <w:b w:val="false"/>
                  <w:color w:val="0000FF"/>
                  <w:sz w:val="17"/>
                  <w:u w:val="single"/>
                </w:rPr>
                <w:t>Fifth Amended and Restated Right of First Refusal and Co-Sale Agreement, dated July 19, 2019, by and among Follica, Incorporated and the investors and key holders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10.18</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4.14†</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Avenir LT Pro 45 Book;sans-serif" w:hAnsi="Avenir LT Pro 45 Book;sans-serif"/>
                  <w:b w:val="false"/>
                  <w:color w:val="0000FF"/>
                  <w:sz w:val="17"/>
                  <w:u w:val="single"/>
                </w:rPr>
                <w:t>Fifth Amended and Restated Voting Agreement, dated July 19, 2019, between Follica, Incorporated and the stockholders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10.19</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4.15†</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Avenir LT Pro 45 Book;sans-serif" w:hAnsi="Avenir LT Pro 45 Book;sans-serif"/>
                  <w:b w:val="false"/>
                  <w:color w:val="0000FF"/>
                  <w:sz w:val="17"/>
                  <w:u w:val="single"/>
                </w:rPr>
                <w:t>Amended and Restated Investors’ Rights Agreement, dated June 30, 2020, by and between Vor Biopharma Inc. and the investors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10.21</w:t>
            </w:r>
          </w:p>
        </w:tc>
        <w:tc>
          <w:tcPr>
            <w:tcW w:w="7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4.16*†</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16sonde-seriesbxamended.htm">
              <w:r>
                <w:rPr>
                  <w:rStyle w:val="InternetLink"/>
                  <w:rFonts w:ascii="Avenir LT Pro 45 Book;sans-serif" w:hAnsi="Avenir LT Pro 45 Book;sans-serif"/>
                  <w:b w:val="false"/>
                  <w:color w:val="0000FF"/>
                  <w:sz w:val="17"/>
                  <w:u w:val="single"/>
                </w:rPr>
                <w:t>Amended and Restated Voting Agreement, dated May 25, 2022, by and among Sonde Health, Inc. and the stockholders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4.17*†</w:t>
            </w:r>
          </w:p>
        </w:tc>
        <w:tc>
          <w:tcPr>
            <w:tcW w:w="61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17sonde-seriesbxamended.htm">
              <w:r>
                <w:rPr>
                  <w:rStyle w:val="InternetLink"/>
                  <w:rFonts w:ascii="Avenir LT Pro 45 Book;sans-serif" w:hAnsi="Avenir LT Pro 45 Book;sans-serif"/>
                  <w:b w:val="false"/>
                  <w:color w:val="0000FF"/>
                  <w:sz w:val="17"/>
                  <w:u w:val="single"/>
                </w:rPr>
                <w:t>Amended and Restated Investors' Rights Agreement, dated May 25, 2022, by and among Sonde Health, Inc. and the investors party thereto</w:t>
              </w:r>
            </w:hyperlink>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25730"/>
                <wp:effectExtent l="0" t="0" r="0" b="0"/>
                <wp:wrapNone/>
                <wp:docPr id="68" name="Frame6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61</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56"/>
        <w:gridCol w:w="312"/>
        <w:gridCol w:w="314"/>
        <w:gridCol w:w="2020"/>
        <w:gridCol w:w="1989"/>
        <w:gridCol w:w="1994"/>
        <w:gridCol w:w="339"/>
        <w:gridCol w:w="309"/>
        <w:gridCol w:w="310"/>
        <w:gridCol w:w="304"/>
        <w:gridCol w:w="273"/>
        <w:gridCol w:w="275"/>
        <w:gridCol w:w="212"/>
        <w:gridCol w:w="212"/>
        <w:gridCol w:w="198"/>
        <w:gridCol w:w="303"/>
        <w:gridCol w:w="215"/>
        <w:gridCol w:w="270"/>
      </w:tblGrid>
      <w:tr>
        <w:trPr/>
        <w:tc>
          <w:tcPr>
            <w:tcW w:w="35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020"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220"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82"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003"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85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88"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4.18*†</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18sonde-seriesbxamended.htm">
              <w:r>
                <w:rPr>
                  <w:rStyle w:val="InternetLink"/>
                  <w:rFonts w:ascii="Avenir LT Pro 45 Book;sans-serif" w:hAnsi="Avenir LT Pro 45 Book;sans-serif"/>
                  <w:b w:val="false"/>
                  <w:color w:val="0000FF"/>
                  <w:sz w:val="17"/>
                  <w:u w:val="single"/>
                </w:rPr>
                <w:t>Amended and Restated Right of First Refusal and Co-Sale Agreement, dated May 25, 2022, by and among Sonde Health, Inc. and the investors and key holders party thereto</w:t>
              </w:r>
            </w:hyperlink>
            <w:r>
              <w:rPr>
                <w:color w:val="000000"/>
              </w:rPr>
              <w:t xml:space="preserve"> </w:t>
            </w:r>
          </w:p>
        </w:tc>
        <w:tc>
          <w:tcPr>
            <w:tcW w:w="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4.19†</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Avenir LT Pro 45 Book;sans-serif" w:hAnsi="Avenir LT Pro 45 Book;sans-serif"/>
                  <w:b w:val="false"/>
                  <w:color w:val="0000FF"/>
                  <w:sz w:val="17"/>
                  <w:u w:val="single"/>
                </w:rPr>
                <w:t>Voting Agreement, dated December 18, 2017, between Entrega, Inc. and the stockholders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10.26</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4.20†</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Avenir LT Pro 45 Book;sans-serif" w:hAnsi="Avenir LT Pro 45 Book;sans-serif"/>
                  <w:b w:val="false"/>
                  <w:color w:val="0000FF"/>
                  <w:sz w:val="17"/>
                  <w:u w:val="single"/>
                </w:rPr>
                <w:t>Investors’ Rights Agreement, dated December 18, 2017, by and between Entrega, Inc. and the investors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4.21†</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Avenir LT Pro 45 Book;sans-serif" w:hAnsi="Avenir LT Pro 45 Book;sans-serif"/>
                  <w:b w:val="false"/>
                  <w:color w:val="0000FF"/>
                  <w:sz w:val="17"/>
                  <w:u w:val="single"/>
                </w:rPr>
                <w:t>Right of First Refusal and Co-Sale Agreement, dated December 18, 2017, by and between Entrega, Inc. and the investors and key holders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10.28</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4.22†</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Avenir LT Pro 45 Book;sans-serif" w:hAnsi="Avenir LT Pro 45 Book;sans-serif"/>
                  <w:b w:val="false"/>
                  <w:color w:val="0000FF"/>
                  <w:sz w:val="17"/>
                  <w:u w:val="single"/>
                </w:rPr>
                <w:t>Research and License Agreement, dated March 6, 2017, as amended on April 23, 2018, August 6, 2018, May 31, 2019, and July 22, 2020 between PureTech LYT, Inc. and New York University</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10.29</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4.23+</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Avenir LT Pro 45 Book;sans-serif" w:hAnsi="Avenir LT Pro 45 Book;sans-serif"/>
                  <w:b w:val="false"/>
                  <w:color w:val="0000FF"/>
                  <w:sz w:val="17"/>
                  <w:u w:val="single"/>
                </w:rPr>
                <w:t xml:space="preserve">Amended and Restated Registration and Stockholder Rights Agreement, dated January 13, 2022, by and among Gelesis Holdings, Inc. and the stockholders party thereto </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1/20//2022</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4.24*†</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24akili-seriesdoperativ.htm">
              <w:r>
                <w:rPr>
                  <w:rStyle w:val="InternetLink"/>
                  <w:rFonts w:ascii="Avenir LT Pro 45 Book;sans-serif" w:hAnsi="Avenir LT Pro 45 Book;sans-serif"/>
                  <w:b w:val="false"/>
                  <w:color w:val="0000FF"/>
                  <w:sz w:val="17"/>
                  <w:u w:val="single"/>
                </w:rPr>
                <w:t>Third Amended and Restated Investors' Rights Agreement, dated May 25, 2021, by and among Akili Interactive Labs, Inc. and the investors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4.25*†</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25akilirofrandco-saleri.htm">
              <w:r>
                <w:rPr>
                  <w:rStyle w:val="InternetLink"/>
                  <w:rFonts w:ascii="Avenir LT Pro 45 Book;sans-serif" w:hAnsi="Avenir LT Pro 45 Book;sans-serif"/>
                  <w:b w:val="false"/>
                  <w:color w:val="0000FF"/>
                  <w:sz w:val="17"/>
                  <w:u w:val="single"/>
                </w:rPr>
                <w:t>Amended and Restated First Refusal and Co-Sale Agreement, dated May 25, 2021, by and among Akili Interactive Labs, Inc. and the investors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4.26*†</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26vedanta-securednotexi.htm">
              <w:r>
                <w:rPr>
                  <w:rStyle w:val="InternetLink"/>
                </w:rPr>
                <w:t xml:space="preserve">Amended and Restated Investors' Rights Agreement, dated </w:t>
              </w:r>
            </w:hyperlink>
            <w:hyperlink w:anchor="ex426vedanta-securednotexi.htm">
              <w:r>
                <w:rPr>
                  <w:rStyle w:val="InternetLink"/>
                </w:rPr>
                <w:t>March 1,</w:t>
              </w:r>
            </w:hyperlink>
            <w:hyperlink w:anchor="ex426vedanta-securednotexi.htm">
              <w:r>
                <w:rPr>
                  <w:rStyle w:val="InternetLink"/>
                </w:rPr>
                <w:t xml:space="preserve"> 2023 by and among Vedanta Biosciences, Inc. and the investors and noteholders party thereto</w:t>
              </w:r>
            </w:hyperlink>
          </w:p>
        </w:tc>
        <w:tc>
          <w:tcPr>
            <w:tcW w:w="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4.27+</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7"/>
                <w:u w:val="single"/>
                <w:b w:val="false"/>
                <w:rFonts w:ascii="Avenir LT Pro 45 Book;sans-serif" w:hAnsi="Avenir LT Pro 45 Book;sans-serif"/>
              </w:rPr>
              <w:instrText> HYPERLINK "https://www.sec.gov/Archives/edgar/data/1805087/000110465921152818/tm2122708-31_s4a.htm" \l "tANNEXA"</w:instrText>
            </w:r>
            <w:r>
              <w:rPr>
                <w:rStyle w:val="InternetLink"/>
                <w:sz w:val="17"/>
                <w:u w:val="single"/>
                <w:b w:val="false"/>
                <w:rFonts w:ascii="Avenir LT Pro 45 Book;sans-serif" w:hAnsi="Avenir LT Pro 45 Book;sans-serif"/>
              </w:rPr>
              <w:fldChar w:fldCharType="separate"/>
            </w:r>
            <w:r>
              <w:rPr>
                <w:rStyle w:val="InternetLink"/>
                <w:rFonts w:ascii="Avenir LT Pro 45 Book;sans-serif" w:hAnsi="Avenir LT Pro 45 Book;sans-serif"/>
                <w:b w:val="false"/>
                <w:color w:val="0000FF"/>
                <w:sz w:val="17"/>
                <w:u w:val="single"/>
              </w:rPr>
              <w:t xml:space="preserve">Business Combination Agreement, dated as of July 19, 2021, by and among Gelesis, Inc., Capstar Special Purpose Acquisition Corp., and CPSR Gelesis Merger Sub, Inc. </w:t>
            </w:r>
            <w:r>
              <w:rPr>
                <w:rStyle w:val="InternetLink"/>
                <w:sz w:val="17"/>
                <w:u w:val="single"/>
                <w:b w:val="false"/>
                <w:rFonts w:ascii="Avenir LT Pro 45 Book;sans-serif" w:hAnsi="Avenir LT Pro 45 Book;sans-serif"/>
              </w:rPr>
              <w:fldChar w:fldCharType="end"/>
            </w:r>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S-4/A</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12/23/2021</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4.28</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7"/>
                <w:u w:val="single"/>
                <w:b w:val="false"/>
                <w:rFonts w:ascii="Avenir LT Pro 45 Book;sans-serif" w:hAnsi="Avenir LT Pro 45 Book;sans-serif"/>
              </w:rPr>
              <w:instrText> HYPERLINK "https://www.sec.gov/Archives/edgar/data/1805087/000110465921152818/tm2122708-31_s4a.htm" \l "tANX1"</w:instrText>
            </w:r>
            <w:r>
              <w:rPr>
                <w:rStyle w:val="InternetLink"/>
                <w:sz w:val="17"/>
                <w:u w:val="single"/>
                <w:b w:val="false"/>
                <w:rFonts w:ascii="Avenir LT Pro 45 Book;sans-serif" w:hAnsi="Avenir LT Pro 45 Book;sans-serif"/>
              </w:rPr>
              <w:fldChar w:fldCharType="separate"/>
            </w:r>
            <w:r>
              <w:rPr>
                <w:rStyle w:val="InternetLink"/>
                <w:rFonts w:ascii="Avenir LT Pro 45 Book;sans-serif" w:hAnsi="Avenir LT Pro 45 Book;sans-serif"/>
                <w:b w:val="false"/>
                <w:color w:val="0000FF"/>
                <w:sz w:val="17"/>
                <w:u w:val="single"/>
              </w:rPr>
              <w:t xml:space="preserve">Amendment to Business Combination Agreement, dated as of November 18, 2021, by and among Gelesis, Inc., Capstar Special Purpose Acquisition Corp., and CPSR Gelesis Merger Sub, Inc. </w:t>
            </w:r>
            <w:r>
              <w:rPr>
                <w:rStyle w:val="InternetLink"/>
                <w:sz w:val="17"/>
                <w:u w:val="single"/>
                <w:b w:val="false"/>
                <w:rFonts w:ascii="Avenir LT Pro 45 Book;sans-serif" w:hAnsi="Avenir LT Pro 45 Book;sans-serif"/>
              </w:rPr>
              <w:fldChar w:fldCharType="end"/>
            </w:r>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S-4/A</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12/23/2021</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4.29</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Avenir LT Pro 45 Book;sans-serif" w:hAnsi="Avenir LT Pro 45 Book;sans-serif"/>
                  <w:b w:val="false"/>
                  <w:color w:val="0000FF"/>
                  <w:sz w:val="17"/>
                  <w:u w:val="single"/>
                </w:rPr>
                <w:t xml:space="preserve">Second Amendment to Business Combination Agreement, dated as of December 30, 2021, by and among Gelesis, Inc., Capstar Special Purpose Acquisition Corp., and CPSR Gelesis Merger Sub, Inc. </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1/3/2022</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4.30</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17"/>
                <w:u w:val="single"/>
                <w:b w:val="false"/>
                <w:rFonts w:ascii="Avenir LT Pro 45 Book;sans-serif" w:hAnsi="Avenir LT Pro 45 Book;sans-serif"/>
              </w:rPr>
              <w:instrText> HYPERLINK "https://www.sec.gov/Archives/edgar/data/1805087/000110465921102963/tm2122708-1_s4.htm" \l "tEXHB2"</w:instrText>
            </w:r>
            <w:r>
              <w:rPr>
                <w:rStyle w:val="InternetLink"/>
                <w:sz w:val="17"/>
                <w:u w:val="single"/>
                <w:b w:val="false"/>
                <w:rFonts w:ascii="Avenir LT Pro 45 Book;sans-serif" w:hAnsi="Avenir LT Pro 45 Book;sans-serif"/>
              </w:rPr>
              <w:fldChar w:fldCharType="separate"/>
            </w:r>
            <w:r>
              <w:rPr>
                <w:rStyle w:val="InternetLink"/>
                <w:rFonts w:ascii="Avenir LT Pro 45 Book;sans-serif" w:hAnsi="Avenir LT Pro 45 Book;sans-serif"/>
                <w:b w:val="false"/>
                <w:color w:val="0000FF"/>
                <w:sz w:val="17"/>
                <w:u w:val="single"/>
              </w:rPr>
              <w:t>Form of Subscription Agreement</w:t>
            </w:r>
            <w:r>
              <w:rPr>
                <w:rStyle w:val="InternetLink"/>
                <w:sz w:val="17"/>
                <w:u w:val="single"/>
                <w:b w:val="false"/>
                <w:rFonts w:ascii="Avenir LT Pro 45 Book;sans-serif" w:hAnsi="Avenir LT Pro 45 Book;sans-serif"/>
              </w:rPr>
              <w:fldChar w:fldCharType="end"/>
            </w:r>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8/10/2021</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4.31</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Avenir LT Pro 45 Book;sans-serif" w:hAnsi="Avenir LT Pro 45 Book;sans-serif"/>
                  <w:b w:val="false"/>
                  <w:color w:val="0000FF"/>
                  <w:sz w:val="17"/>
                  <w:u w:val="single"/>
                </w:rPr>
                <w:t xml:space="preserve">Backstop Agreement, dated as of December 30, 2021, by and among Capstar Special Purpose Acquisition Corp. and the other parties listed as Purchasers party thereto </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1/3/2022</w:t>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4.32+</w:t>
            </w:r>
          </w:p>
        </w:tc>
        <w:tc>
          <w:tcPr>
            <w:tcW w:w="60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Avenir LT Pro 45 Book;sans-serif" w:hAnsi="Avenir LT Pro 45 Book;sans-serif"/>
                  <w:b w:val="false"/>
                  <w:color w:val="0000FF"/>
                  <w:sz w:val="17"/>
                  <w:u w:val="single"/>
                </w:rPr>
                <w:t xml:space="preserve">Agreement and Plan of Merger, dated January 26, 2022, between Akili Interative Labs, Inc., Social Capital Suvretta Holdings Corp. I, and Karibu Merger Sub, Inc. </w:t>
              </w:r>
            </w:hyperlink>
          </w:p>
        </w:tc>
        <w:tc>
          <w:tcPr>
            <w:tcW w:w="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8-K/A</w:t>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1/27/2022</w:t>
            </w:r>
          </w:p>
        </w:tc>
      </w:tr>
    </w:tbl>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25730"/>
                <wp:effectExtent l="0" t="0" r="0" b="0"/>
                <wp:wrapNone/>
                <wp:docPr id="69" name="Frame6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62</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59"/>
        <w:gridCol w:w="314"/>
        <w:gridCol w:w="317"/>
        <w:gridCol w:w="2173"/>
        <w:gridCol w:w="1952"/>
        <w:gridCol w:w="1958"/>
        <w:gridCol w:w="340"/>
        <w:gridCol w:w="310"/>
        <w:gridCol w:w="312"/>
        <w:gridCol w:w="264"/>
        <w:gridCol w:w="264"/>
        <w:gridCol w:w="265"/>
        <w:gridCol w:w="212"/>
        <w:gridCol w:w="212"/>
        <w:gridCol w:w="198"/>
        <w:gridCol w:w="263"/>
        <w:gridCol w:w="217"/>
        <w:gridCol w:w="275"/>
      </w:tblGrid>
      <w:tr>
        <w:trPr/>
        <w:tc>
          <w:tcPr>
            <w:tcW w:w="35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73"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132"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90"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083"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793"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55"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4.33</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Avenir LT Pro 45 Book;sans-serif" w:hAnsi="Avenir LT Pro 45 Book;sans-serif"/>
                  <w:b w:val="false"/>
                  <w:color w:val="0000FF"/>
                  <w:sz w:val="17"/>
                  <w:u w:val="single"/>
                </w:rPr>
                <w:t>Form of Promissory Note of Gelesis Holdings, Inc.</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07/29/2022</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4.34+</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Fonts w:ascii="Avenir LT Pro 45 Book;sans-serif" w:hAnsi="Avenir LT Pro 45 Book;sans-serif"/>
                  <w:b w:val="false"/>
                  <w:color w:val="0000FF"/>
                  <w:sz w:val="17"/>
                  <w:u w:val="single"/>
                </w:rPr>
                <w:t>Note and Warrant Purchase Agreement, dated as of February 21, 2023, by and among Gelesis Holdings, Inc., Gelesis, Inc., Gelesis 2012, Inc., Gelesis LLC and PureTech Health LLC</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2/23/2023</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4.35+</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9">
              <w:r>
                <w:rPr>
                  <w:rStyle w:val="InternetLink"/>
                  <w:rFonts w:ascii="Avenir LT Pro 45 Book;sans-serif" w:hAnsi="Avenir LT Pro 45 Book;sans-serif"/>
                  <w:b w:val="false"/>
                  <w:color w:val="0000FF"/>
                  <w:sz w:val="17"/>
                  <w:u w:val="single"/>
                </w:rPr>
                <w:t>Amended and Restated Registration Rights Agreement, dated as of August 19, 2022, by and among Akili, Inc. and the other parties thereto</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10.6</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8/23/2022</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4.36+</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0">
              <w:r>
                <w:rPr>
                  <w:rStyle w:val="InternetLink"/>
                  <w:rFonts w:ascii="Avenir LT Pro 45 Book;sans-serif" w:hAnsi="Avenir LT Pro 45 Book;sans-serif"/>
                  <w:b w:val="false"/>
                  <w:color w:val="0000FF"/>
                  <w:sz w:val="17"/>
                  <w:u w:val="single"/>
                </w:rPr>
                <w:t>Lock-Up Agreement, dated as of August 19, 2022, by and among Akili, Inc. and the other parties thereto.</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10.7</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8/23/2022</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4.37*†+</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37rp-puretechroyaltypur.htm">
              <w:r>
                <w:rPr>
                  <w:rStyle w:val="InternetLink"/>
                  <w:rFonts w:ascii="Avenir LT Pro 45 Book;sans-serif" w:hAnsi="Avenir LT Pro 45 Book;sans-serif"/>
                  <w:b w:val="false"/>
                  <w:color w:val="0000FF"/>
                  <w:sz w:val="17"/>
                  <w:u w:val="single"/>
                </w:rPr>
                <w:t>Royalty Purchase Agreement, dated as of March 22, 2023, by and between PureTech Health LLC and Royalty Pharma Investments 2019 ICAV</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4.38*</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438-vedantabiosciencesxn.htm">
              <w:r>
                <w:rPr>
                  <w:rStyle w:val="InternetLink"/>
                  <w:rFonts w:ascii="Avenir LT Pro 45 Book;sans-serif" w:hAnsi="Avenir LT Pro 45 Book;sans-serif"/>
                  <w:b w:val="false"/>
                  <w:color w:val="0000FF"/>
                  <w:sz w:val="17"/>
                  <w:u w:val="single"/>
                </w:rPr>
                <w:t>Form of Secured Subordinated Convertible Promissory Note of Vedanta Biosciences, Inc.</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Fonts w:ascii="Avenir LT Pro 45 Book;sans-serif" w:hAnsi="Avenir LT Pro 45 Book;sans-serif"/>
                  <w:b w:val="false"/>
                  <w:color w:val="0000FF"/>
                  <w:sz w:val="17"/>
                  <w:u w:val="single"/>
                </w:rPr>
                <w:t>Subsidiaries of PureTech Health plc</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21.1</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2">
              <w:r>
                <w:rPr>
                  <w:rStyle w:val="InternetLink"/>
                  <w:rFonts w:ascii="Avenir LT Pro 45 Book;sans-serif" w:hAnsi="Avenir LT Pro 45 Book;sans-serif"/>
                  <w:b w:val="false"/>
                  <w:color w:val="0000FF"/>
                  <w:sz w:val="17"/>
                  <w:u w:val="single"/>
                </w:rPr>
                <w:t>Code of Business Conduct and Ethics</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w:t>
            </w:r>
          </w:p>
        </w:tc>
        <w:tc>
          <w:tcPr>
            <w:tcW w:w="7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11.1</w:t>
            </w:r>
          </w:p>
        </w:tc>
        <w:tc>
          <w:tcPr>
            <w:tcW w:w="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4/15/2021</w:t>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21-2022.htm">
              <w:r>
                <w:rPr>
                  <w:rStyle w:val="InternetLink"/>
                  <w:rFonts w:ascii="Avenir LT Pro 45 Book;sans-serif" w:hAnsi="Avenir LT Pro 45 Book;sans-serif"/>
                  <w:b w:val="false"/>
                  <w:color w:val="0000FF"/>
                  <w:sz w:val="17"/>
                  <w:u w:val="single"/>
                </w:rPr>
                <w:t>Certification by the Principal Executive Officer Pursuant to Securities Exchange Act Rules 13a-14(a) and 15d-14(a) as Adopted Pursuant to Section 302 of the Sarbanes-Oxley Act of 2002.</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22-2022.htm">
              <w:r>
                <w:rPr>
                  <w:rStyle w:val="InternetLink"/>
                  <w:rFonts w:ascii="Avenir LT Pro 45 Book;sans-serif" w:hAnsi="Avenir LT Pro 45 Book;sans-serif"/>
                  <w:b w:val="false"/>
                  <w:color w:val="0000FF"/>
                  <w:sz w:val="17"/>
                  <w:u w:val="single"/>
                </w:rPr>
                <w:t>Certification of Principal Financial Officer Pursuant to Securities Exchange Act Rules 13a-14(a) and 15d-14(a) as Adopted Pursuant to Section 302 of the Sarbanes-Oxley Act of 2002.</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31-2022.htm">
              <w:r>
                <w:rPr>
                  <w:rStyle w:val="InternetLink"/>
                  <w:rFonts w:ascii="Avenir LT Pro 45 Book;sans-serif" w:hAnsi="Avenir LT Pro 45 Book;sans-serif"/>
                  <w:b w:val="false"/>
                  <w:color w:val="0000FF"/>
                  <w:sz w:val="17"/>
                  <w:u w:val="single"/>
                </w:rPr>
                <w:t>Certification of Chief Executive Officer Pursuant to 18 U.S.C. Section 1350, as Adopted Pursuant to Section 906 of the Sarbanes-Oxley Act of 2002.</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32-2022.htm">
              <w:r>
                <w:rPr>
                  <w:rStyle w:val="InternetLink"/>
                  <w:rFonts w:ascii="Avenir LT Pro 45 Book;sans-serif" w:hAnsi="Avenir LT Pro 45 Book;sans-serif"/>
                  <w:b w:val="false"/>
                  <w:color w:val="0000FF"/>
                  <w:sz w:val="17"/>
                  <w:u w:val="single"/>
                </w:rPr>
                <w:t>Certification of Chief Financial Officer Pursuant to 18 U.S.C. Section 1350, as Adopted Pursuant to Section 906 of the Sarbanes-Oxley Act of 2002.</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151puretecharadecember.htm">
              <w:r>
                <w:rPr>
                  <w:rStyle w:val="InternetLink"/>
                  <w:rFonts w:ascii="Avenir LT Pro 45 Book;sans-serif" w:hAnsi="Avenir LT Pro 45 Book;sans-serif"/>
                  <w:b w:val="false"/>
                  <w:color w:val="0000FF"/>
                  <w:sz w:val="17"/>
                  <w:u w:val="single"/>
                </w:rPr>
                <w:t>Annual Report and Accounts 2022</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15.2*</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152kpmg_secchangeinaudit.htm">
              <w:r>
                <w:rPr>
                  <w:rStyle w:val="InternetLink"/>
                  <w:rFonts w:ascii="Avenir LT Pro 45 Book;sans-serif" w:hAnsi="Avenir LT Pro 45 Book;sans-serif"/>
                  <w:b w:val="false"/>
                  <w:color w:val="0000FF"/>
                  <w:sz w:val="17"/>
                  <w:u w:val="single"/>
                </w:rPr>
                <w:t>Letter from KPMG LLP to the Securities and Exchange Commission</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99.1*</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991gelesis_financials1.htm">
              <w:r>
                <w:rPr>
                  <w:rStyle w:val="InternetLink"/>
                  <w:rFonts w:ascii="Avenir LT Pro 45 Book;sans-serif" w:hAnsi="Avenir LT Pro 45 Book;sans-serif"/>
                  <w:b w:val="false"/>
                  <w:color w:val="0000FF"/>
                  <w:sz w:val="17"/>
                  <w:u w:val="single"/>
                </w:rPr>
                <w:t>Gelesis, Inc. and subsidiaries Consolidated Financial Statements as of and for the years ended December 31, 2022 and 2021</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101.INS*</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XBRL Instance Document – the instance document does not appear in the Interactive Data File because its XBRL tags are embedded within the Inline XBRL document.</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101.SCH*</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Schema Document</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101.CAL*</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Calculation Linkbase Document</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101.DEF*</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Definition Linkbase Document</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101.LAB*</w:t>
            </w:r>
          </w:p>
        </w:tc>
        <w:tc>
          <w:tcPr>
            <w:tcW w:w="60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Label Linkbase Document</w:t>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25730"/>
                <wp:effectExtent l="0" t="0" r="0" b="0"/>
                <wp:wrapNone/>
                <wp:docPr id="70" name="Frame7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63</w:t>
                      </w:r>
                    </w:p>
                  </w:txbxContent>
                </v:textbox>
              </v:rect>
            </w:pict>
          </mc:Fallback>
        </mc:AlternateConten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65"/>
        <w:gridCol w:w="320"/>
        <w:gridCol w:w="322"/>
        <w:gridCol w:w="2090"/>
        <w:gridCol w:w="2061"/>
        <w:gridCol w:w="2068"/>
        <w:gridCol w:w="313"/>
        <w:gridCol w:w="313"/>
        <w:gridCol w:w="315"/>
        <w:gridCol w:w="266"/>
        <w:gridCol w:w="266"/>
        <w:gridCol w:w="268"/>
        <w:gridCol w:w="212"/>
        <w:gridCol w:w="212"/>
        <w:gridCol w:w="199"/>
        <w:gridCol w:w="218"/>
        <w:gridCol w:w="158"/>
        <w:gridCol w:w="239"/>
      </w:tblGrid>
      <w:tr>
        <w:trPr/>
        <w:tc>
          <w:tcPr>
            <w:tcW w:w="3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2979"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1007"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219"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800"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3"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615"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101.PRE*</w:t>
            </w:r>
          </w:p>
        </w:tc>
        <w:tc>
          <w:tcPr>
            <w:tcW w:w="6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Presentation Linkbase Document</w:t>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104*</w:t>
            </w:r>
          </w:p>
        </w:tc>
        <w:tc>
          <w:tcPr>
            <w:tcW w:w="6219"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Cover Page Interactive Data File - the cover page interactive data file does not appear in the Interactive Data File because its XBRL tags are embedded within the Inline XBRL document.</w:t>
            </w:r>
          </w:p>
        </w:tc>
        <w:tc>
          <w:tcPr>
            <w:tcW w:w="941"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0"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23"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5"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Filed herewith. </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Certain of the information included within Exhibit 15.1, which is provided pursuant to Rule 12b-23(a) of the Securities Exchange Act of 1934, as amended, is incorporated by reference in this annual report on Form 20-F, as specified elsewhere in this annual report on Form 20-F. With the exception of the items and pages so specified, the "Annual Report and Accounts 2022" is not deemed to be filed as part of this annual report on Form 20-F. </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Furnished herewith. </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Indicates a management contract or any compensatory plan, contract or arrangement. </w:t>
      </w:r>
    </w:p>
    <w:p>
      <w:pPr>
        <w:pStyle w:val="TextBody"/>
        <w:spacing w:lineRule="auto" w:line="268" w:before="0" w:after="0"/>
        <w:rPr>
          <w:color w:val="183964"/>
        </w:rPr>
      </w:pPr>
      <w:r>
        <w:rPr>
          <w:color w:val="183964"/>
        </w:rPr>
        <w:t xml:space="preserve">† </w:t>
      </w:r>
      <w:r>
        <w:rPr>
          <w:rFonts w:ascii="Avenir LT Pro 45 Book;sans-serif" w:hAnsi="Avenir LT Pro 45 Book;sans-serif"/>
          <w:b w:val="false"/>
          <w:color w:val="183964"/>
          <w:sz w:val="12"/>
        </w:rPr>
        <w:t>Portions of this exhibit (indicated by asterisks) have been omitted because either (A) they are both (i) not material and (ii) would likely cause competitive harm if publicly disclosed., or (B) they are both (i) not material and (ii) the type of information that the Registrant customarily and actually treats as private or confidential, as applicable. The Registrant agrees to furnish an unredacted copy of this exhibit to the Securities and Exchange Commission upon request.</w:t>
      </w:r>
    </w:p>
    <w:p>
      <w:pPr>
        <w:pStyle w:val="TextBody"/>
        <w:spacing w:lineRule="auto" w:line="288" w:before="0" w:after="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Schedules and exhibits to this exhibit omitted. The Registrant agrees to furnish supplementally a copy of any omitted schedule or exhibit to the SEC upon request.</w:t>
      </w: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25730"/>
                <wp:effectExtent l="0" t="0" r="0" b="0"/>
                <wp:wrapNone/>
                <wp:docPr id="71" name="Frame7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64</w:t>
                      </w:r>
                    </w:p>
                  </w:txbxContent>
                </v:textbox>
              </v:rect>
            </w:pict>
          </mc:Fallback>
        </mc:AlternateContent>
      </w:r>
    </w:p>
    <w:p>
      <w:pPr>
        <w:pStyle w:val="TextBody"/>
        <w:spacing w:before="0" w:after="0"/>
        <w:jc w:val="center"/>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SIGNATURES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registrant hereby certifies that it meets all of the requirements for filing on Form 20-F and that it has duly caused and authorized the undersigned to sign this annual report on its behalf.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Date: April 27, 2023</w:t>
      </w:r>
    </w:p>
    <w:tbl>
      <w:tblPr>
        <w:tblW w:w="2892" w:type="dxa"/>
        <w:jc w:val="left"/>
        <w:tblInd w:w="0" w:type="dxa"/>
        <w:tblCellMar>
          <w:top w:w="28" w:type="dxa"/>
          <w:left w:w="28" w:type="dxa"/>
          <w:bottom w:w="28" w:type="dxa"/>
          <w:right w:w="28" w:type="dxa"/>
        </w:tblCellMar>
      </w:tblPr>
      <w:tblGrid>
        <w:gridCol w:w="146"/>
        <w:gridCol w:w="129"/>
        <w:gridCol w:w="130"/>
        <w:gridCol w:w="109"/>
        <w:gridCol w:w="109"/>
        <w:gridCol w:w="109"/>
        <w:gridCol w:w="631"/>
        <w:gridCol w:w="631"/>
        <w:gridCol w:w="898"/>
      </w:tblGrid>
      <w:tr>
        <w:trPr/>
        <w:tc>
          <w:tcPr>
            <w:tcW w:w="1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HEALTH PLC</w:t>
            </w:r>
          </w:p>
        </w:tc>
      </w:tr>
      <w:tr>
        <w:trPr/>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Daphne Zohar</w:t>
            </w:r>
          </w:p>
        </w:tc>
      </w:tr>
      <w:tr>
        <w:trPr/>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14"/>
              </w:rPr>
            </w:pPr>
            <w:r>
              <w:rPr>
                <w:rFonts w:ascii="Avenir LT Pro 85 Heavy;sans-serif" w:hAnsi="Avenir LT Pro 85 Heavy;sans-serif"/>
                <w:b/>
                <w:color w:val="183964"/>
                <w:sz w:val="14"/>
              </w:rPr>
              <w:t>Name: Daphne Zohar</w:t>
            </w:r>
          </w:p>
        </w:tc>
      </w:tr>
      <w:tr>
        <w:trPr/>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Title: Chief Executive Officer</w:t>
            </w:r>
          </w:p>
        </w:tc>
      </w:tr>
    </w:tbl>
    <w:p>
      <w:pPr>
        <w:pStyle w:val="TextBody"/>
        <w:spacing w:before="0" w:after="0"/>
        <w:rPr/>
      </w:pPr>
      <w:r>
        <w:rPr/>
      </w:r>
    </w:p>
    <w:p>
      <w:pPr>
        <w:pStyle w:val="TextBody"/>
        <w:spacing w:before="0" w:after="0"/>
        <w:rPr/>
      </w:pPr>
      <w:r>
        <w:rPr/>
      </w:r>
    </w:p>
    <w:p>
      <w:pPr>
        <w:pStyle w:val="TextBody"/>
        <w:spacing w:before="0" w:after="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25730"/>
                <wp:effectExtent l="0" t="0" r="0" b="0"/>
                <wp:wrapNone/>
                <wp:docPr id="72" name="Frame7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65</w:t>
                      </w:r>
                    </w:p>
                  </w:txbxContent>
                </v:textbox>
              </v:rect>
            </w:pict>
          </mc:Fallback>
        </mc:AlternateContent>
      </w:r>
    </w:p>
    <w:p>
      <w:pPr>
        <w:pStyle w:val="TextBody"/>
        <w:spacing w:before="0" w:after="0"/>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INDEX TO CONSOLIDATED FINANCIAL STATEMENTS </w:t>
      </w:r>
    </w:p>
    <w:tbl>
      <w:tblPr>
        <w:tblW w:w="10205" w:type="dxa"/>
        <w:jc w:val="left"/>
        <w:tblInd w:w="0" w:type="dxa"/>
        <w:tblCellMar>
          <w:top w:w="28" w:type="dxa"/>
          <w:left w:w="28" w:type="dxa"/>
          <w:bottom w:w="28" w:type="dxa"/>
          <w:right w:w="28" w:type="dxa"/>
        </w:tblCellMar>
      </w:tblPr>
      <w:tblGrid>
        <w:gridCol w:w="3503"/>
        <w:gridCol w:w="3080"/>
        <w:gridCol w:w="3094"/>
        <w:gridCol w:w="154"/>
        <w:gridCol w:w="154"/>
        <w:gridCol w:w="220"/>
      </w:tblGrid>
      <w:tr>
        <w:trPr/>
        <w:tc>
          <w:tcPr>
            <w:tcW w:w="3503"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309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Page</w:t>
            </w:r>
          </w:p>
        </w:tc>
      </w:tr>
      <w:tr>
        <w:trPr/>
        <w:tc>
          <w:tcPr>
            <w:tcW w:w="967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183964"/>
                <w:sz w:val="17"/>
              </w:rPr>
            </w:pPr>
            <w:r>
              <w:rPr>
                <w:rFonts w:ascii="Avenir LT Pro 85 Heavy;sans-serif" w:hAnsi="Avenir LT Pro 85 Heavy;sans-serif"/>
                <w:b/>
                <w:color w:val="183964"/>
                <w:sz w:val="17"/>
              </w:rPr>
              <w:t>Consolidated Financial Statements as of and for the Years Ended December 31, 2022, 2021 and 2020</w:t>
            </w:r>
          </w:p>
        </w:tc>
        <w:tc>
          <w:tcPr>
            <w:tcW w:w="528"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39">
              <w:r>
                <w:rPr>
                  <w:rStyle w:val="InternetLink"/>
                  <w:rFonts w:ascii="Avenir LT Pro 45 Book;sans-serif" w:hAnsi="Avenir LT Pro 45 Book;sans-serif"/>
                  <w:b w:val="false"/>
                  <w:color w:val="0000FF"/>
                  <w:sz w:val="17"/>
                  <w:u w:val="single"/>
                </w:rPr>
                <w:t>Report of KPMG LLP, Independent Registered Public Accounting Firm</w:t>
              </w:r>
            </w:hyperlink>
            <w:r>
              <w:rPr>
                <w:color w:val="000000"/>
              </w:rPr>
              <w:t xml:space="preserve"> </w:t>
            </w:r>
            <w:r>
              <w:rPr>
                <w:rFonts w:ascii="Avenir LT Pro 45 Book;sans-serif" w:hAnsi="Avenir LT Pro 45 Book;sans-serif"/>
                <w:b w:val="false"/>
                <w:color w:val="000000"/>
                <w:sz w:val="17"/>
              </w:rPr>
              <w:t>(PCAOB ID 1118)</w:t>
            </w:r>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39">
              <w:r>
                <w:rPr>
                  <w:rStyle w:val="InternetLink"/>
                  <w:rFonts w:ascii="Avenir LT Pro 45 Book;sans-serif" w:hAnsi="Avenir LT Pro 45 Book;sans-serif"/>
                  <w:b w:val="false"/>
                  <w:color w:val="0000FF"/>
                  <w:sz w:val="17"/>
                  <w:u w:val="single"/>
                </w:rPr>
                <w:t>2</w:t>
              </w:r>
            </w:hyperlink>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45">
              <w:r>
                <w:rPr>
                  <w:rStyle w:val="InternetLink"/>
                </w:rPr>
                <w:t>Consolidated Statements of Comprehensive Income/(Loss) for the Years Ended December 31, 202</w:t>
              </w:r>
            </w:hyperlink>
            <w:hyperlink w:anchor="i1afee01c248347e3bee5e1e589f0cd5c_145">
              <w:r>
                <w:rPr>
                  <w:rStyle w:val="InternetLink"/>
                </w:rPr>
                <w:t>2</w:t>
              </w:r>
            </w:hyperlink>
            <w:hyperlink w:anchor="i1afee01c248347e3bee5e1e589f0cd5c_145">
              <w:r>
                <w:rPr>
                  <w:rStyle w:val="InternetLink"/>
                </w:rPr>
                <w:t>, 202</w:t>
              </w:r>
            </w:hyperlink>
            <w:hyperlink w:anchor="i1afee01c248347e3bee5e1e589f0cd5c_145">
              <w:r>
                <w:rPr>
                  <w:rStyle w:val="InternetLink"/>
                </w:rPr>
                <w:t>1</w:t>
              </w:r>
            </w:hyperlink>
            <w:hyperlink w:anchor="i1afee01c248347e3bee5e1e589f0cd5c_145">
              <w:r>
                <w:rPr>
                  <w:rStyle w:val="InternetLink"/>
                </w:rPr>
                <w:t xml:space="preserve"> and </w:t>
              </w:r>
            </w:hyperlink>
            <w:hyperlink w:anchor="i1afee01c248347e3bee5e1e589f0cd5c_145">
              <w:r>
                <w:rPr>
                  <w:rStyle w:val="InternetLink"/>
                </w:rPr>
                <w:t>20</w:t>
              </w:r>
            </w:hyperlink>
            <w:hyperlink w:anchor="i1afee01c248347e3bee5e1e589f0cd5c_145">
              <w:r>
                <w:rPr>
                  <w:rStyle w:val="InternetLink"/>
                </w:rPr>
                <w:t>20</w:t>
              </w:r>
            </w:hyperlink>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45">
              <w:r>
                <w:rPr>
                  <w:rStyle w:val="InternetLink"/>
                  <w:rFonts w:ascii="Avenir LT Pro 45 Book;sans-serif" w:hAnsi="Avenir LT Pro 45 Book;sans-serif"/>
                  <w:b w:val="false"/>
                  <w:color w:val="0000FF"/>
                  <w:sz w:val="17"/>
                  <w:u w:val="single"/>
                </w:rPr>
                <w:t>4</w:t>
              </w:r>
            </w:hyperlink>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48">
              <w:r>
                <w:rPr>
                  <w:rStyle w:val="InternetLink"/>
                </w:rPr>
                <w:t>Consolidated Statements of Financial Position as of December 31, 202</w:t>
              </w:r>
            </w:hyperlink>
            <w:hyperlink w:anchor="i1afee01c248347e3bee5e1e589f0cd5c_148">
              <w:r>
                <w:rPr>
                  <w:rStyle w:val="InternetLink"/>
                </w:rPr>
                <w:t xml:space="preserve">2 </w:t>
              </w:r>
            </w:hyperlink>
            <w:hyperlink w:anchor="i1afee01c248347e3bee5e1e589f0cd5c_148">
              <w:r>
                <w:rPr>
                  <w:rStyle w:val="InternetLink"/>
                </w:rPr>
                <w:t xml:space="preserve">and </w:t>
              </w:r>
            </w:hyperlink>
            <w:hyperlink w:anchor="i1afee01c248347e3bee5e1e589f0cd5c_148">
              <w:r>
                <w:rPr>
                  <w:rStyle w:val="InternetLink"/>
                </w:rPr>
                <w:t>2021</w:t>
              </w:r>
            </w:hyperlink>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48">
              <w:r>
                <w:rPr>
                  <w:rStyle w:val="InternetLink"/>
                  <w:rFonts w:ascii="Avenir LT Pro 45 Book;sans-serif" w:hAnsi="Avenir LT Pro 45 Book;sans-serif"/>
                  <w:b w:val="false"/>
                  <w:color w:val="0000FF"/>
                  <w:sz w:val="17"/>
                  <w:u w:val="single"/>
                </w:rPr>
                <w:t>5</w:t>
              </w:r>
            </w:hyperlink>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51">
              <w:r>
                <w:rPr>
                  <w:rStyle w:val="InternetLink"/>
                </w:rPr>
                <w:t>Consolidated Statements of Changes in Equity for the Years Ended December 31, 202</w:t>
              </w:r>
            </w:hyperlink>
            <w:hyperlink w:anchor="i1afee01c248347e3bee5e1e589f0cd5c_151">
              <w:r>
                <w:rPr>
                  <w:rStyle w:val="InternetLink"/>
                </w:rPr>
                <w:t>2</w:t>
              </w:r>
            </w:hyperlink>
            <w:hyperlink w:anchor="i1afee01c248347e3bee5e1e589f0cd5c_151">
              <w:r>
                <w:rPr>
                  <w:rStyle w:val="InternetLink"/>
                </w:rPr>
                <w:t>, 202</w:t>
              </w:r>
            </w:hyperlink>
            <w:hyperlink w:anchor="i1afee01c248347e3bee5e1e589f0cd5c_151">
              <w:r>
                <w:rPr>
                  <w:rStyle w:val="InternetLink"/>
                </w:rPr>
                <w:t>1</w:t>
              </w:r>
            </w:hyperlink>
            <w:hyperlink w:anchor="i1afee01c248347e3bee5e1e589f0cd5c_151">
              <w:r>
                <w:rPr>
                  <w:rStyle w:val="InternetLink"/>
                </w:rPr>
                <w:t xml:space="preserve"> and </w:t>
              </w:r>
            </w:hyperlink>
            <w:hyperlink w:anchor="i1afee01c248347e3bee5e1e589f0cd5c_151">
              <w:r>
                <w:rPr>
                  <w:rStyle w:val="InternetLink"/>
                </w:rPr>
                <w:t>2020</w:t>
              </w:r>
            </w:hyperlink>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51">
              <w:r>
                <w:rPr>
                  <w:rStyle w:val="InternetLink"/>
                  <w:rFonts w:ascii="Avenir LT Pro 45 Book;sans-serif" w:hAnsi="Avenir LT Pro 45 Book;sans-serif"/>
                  <w:b w:val="false"/>
                  <w:color w:val="0000FF"/>
                  <w:sz w:val="17"/>
                  <w:u w:val="single"/>
                </w:rPr>
                <w:t>6</w:t>
              </w:r>
            </w:hyperlink>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54">
              <w:r>
                <w:rPr>
                  <w:rStyle w:val="InternetLink"/>
                </w:rPr>
                <w:t>Consolidated Statements of Cash Flows for the Years Ended December 31, 202</w:t>
              </w:r>
            </w:hyperlink>
            <w:hyperlink w:anchor="i1afee01c248347e3bee5e1e589f0cd5c_154">
              <w:r>
                <w:rPr>
                  <w:rStyle w:val="InternetLink"/>
                </w:rPr>
                <w:t>2</w:t>
              </w:r>
            </w:hyperlink>
            <w:hyperlink w:anchor="i1afee01c248347e3bee5e1e589f0cd5c_154">
              <w:r>
                <w:rPr>
                  <w:rStyle w:val="InternetLink"/>
                </w:rPr>
                <w:t>, 202</w:t>
              </w:r>
            </w:hyperlink>
            <w:hyperlink w:anchor="i1afee01c248347e3bee5e1e589f0cd5c_154">
              <w:r>
                <w:rPr>
                  <w:rStyle w:val="InternetLink"/>
                </w:rPr>
                <w:t>1</w:t>
              </w:r>
            </w:hyperlink>
            <w:hyperlink w:anchor="i1afee01c248347e3bee5e1e589f0cd5c_154">
              <w:r>
                <w:rPr>
                  <w:rStyle w:val="InternetLink"/>
                </w:rPr>
                <w:t xml:space="preserve"> and 20</w:t>
              </w:r>
            </w:hyperlink>
            <w:hyperlink w:anchor="i1afee01c248347e3bee5e1e589f0cd5c_154">
              <w:r>
                <w:rPr>
                  <w:rStyle w:val="InternetLink"/>
                </w:rPr>
                <w:t>20</w:t>
              </w:r>
            </w:hyperlink>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54">
              <w:r>
                <w:rPr>
                  <w:rStyle w:val="InternetLink"/>
                  <w:rFonts w:ascii="Avenir LT Pro 45 Book;sans-serif" w:hAnsi="Avenir LT Pro 45 Book;sans-serif"/>
                  <w:b w:val="false"/>
                  <w:color w:val="0000FF"/>
                  <w:sz w:val="17"/>
                  <w:u w:val="single"/>
                </w:rPr>
                <w:t>8</w:t>
              </w:r>
            </w:hyperlink>
          </w:p>
        </w:tc>
      </w:tr>
      <w:tr>
        <w:trPr/>
        <w:tc>
          <w:tcPr>
            <w:tcW w:w="9677"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1afee01c248347e3bee5e1e589f0cd5c_157">
              <w:r>
                <w:rPr>
                  <w:rStyle w:val="InternetLink"/>
                  <w:rFonts w:ascii="Avenir LT Pro 45 Book;sans-serif" w:hAnsi="Avenir LT Pro 45 Book;sans-serif"/>
                  <w:b w:val="false"/>
                  <w:color w:val="0000FF"/>
                  <w:sz w:val="17"/>
                  <w:u w:val="single"/>
                </w:rPr>
                <w:t>Notes to the Consolidated Financial Statements</w:t>
              </w:r>
            </w:hyperlink>
            <w:r>
              <w:rPr>
                <w:color w:val="000000"/>
              </w:rPr>
              <w:t xml:space="preserve"> </w:t>
            </w:r>
          </w:p>
        </w:tc>
        <w:tc>
          <w:tcPr>
            <w:tcW w:w="528" w:type="dxa"/>
            <w:gridSpan w:val="3"/>
            <w:tcBorders/>
            <w:shd w:fill="auto" w:val="clear"/>
            <w:tcMar>
              <w:top w:w="0" w:type="dxa"/>
              <w:left w:w="0" w:type="dxa"/>
              <w:bottom w:w="0" w:type="dxa"/>
              <w:right w:w="0" w:type="dxa"/>
            </w:tcMar>
            <w:vAlign w:val="center"/>
          </w:tcPr>
          <w:p>
            <w:pPr>
              <w:pStyle w:val="TableContents"/>
              <w:spacing w:lineRule="auto" w:line="288" w:before="0" w:after="100"/>
              <w:jc w:val="right"/>
              <w:rPr/>
            </w:pPr>
            <w:r>
              <w:rPr>
                <w:rFonts w:ascii="Avenir LT Pro 45 Book;sans-serif" w:hAnsi="Avenir LT Pro 45 Book;sans-serif"/>
                <w:b w:val="false"/>
                <w:color w:val="000000"/>
                <w:sz w:val="17"/>
              </w:rPr>
              <w:t>F-</w:t>
            </w:r>
            <w:hyperlink w:anchor="i1afee01c248347e3bee5e1e589f0cd5c_157">
              <w:r>
                <w:rPr>
                  <w:rStyle w:val="InternetLink"/>
                  <w:rFonts w:ascii="Avenir LT Pro 45 Book;sans-serif" w:hAnsi="Avenir LT Pro 45 Book;sans-serif"/>
                  <w:b w:val="false"/>
                  <w:color w:val="0000FF"/>
                  <w:sz w:val="17"/>
                  <w:u w:val="single"/>
                </w:rPr>
                <w:t>9</w:t>
              </w:r>
            </w:hyperlink>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r>
        <w:trPr/>
        <w:tc>
          <w:tcPr>
            <w:tcW w:w="9677"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25730"/>
                <wp:effectExtent l="0" t="0" r="0" b="0"/>
                <wp:wrapNone/>
                <wp:docPr id="73" name="Frame7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w:t>
                      </w:r>
                    </w:p>
                  </w:txbxContent>
                </v:textbox>
              </v:rect>
            </w:pict>
          </mc:Fallback>
        </mc:AlternateContent>
      </w:r>
    </w:p>
    <w:p>
      <w:pPr>
        <w:pStyle w:val="TextBody"/>
        <w:spacing w:before="0" w:after="0"/>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Report of Independent Registered Public Accounting Firm</w:t>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To the Shareholders and Board of Directors </w:t>
      </w:r>
    </w:p>
    <w:p>
      <w:pPr>
        <w:pStyle w:val="TextBody"/>
        <w:spacing w:lineRule="auto" w:line="288" w:before="200" w:after="100"/>
        <w:rPr>
          <w:rFonts w:ascii="Avenir LT Pro 85 Heavy;sans-serif" w:hAnsi="Avenir LT Pro 85 Heavy;sans-serif"/>
          <w:b/>
          <w:color w:val="183964"/>
          <w:sz w:val="17"/>
        </w:rPr>
      </w:pPr>
      <w:r>
        <w:rPr>
          <w:rFonts w:ascii="Avenir LT Pro 85 Heavy;sans-serif" w:hAnsi="Avenir LT Pro 85 Heavy;sans-serif"/>
          <w:b/>
          <w:color w:val="183964"/>
          <w:sz w:val="17"/>
        </w:rPr>
        <w:t>PureTech Health PLC</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Opinion on the Consolidated Financial Statements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audited the accompanying consolidated statements of financial position of PureTech Health PLC and subsidiaries (the Group) as of December 31, 2022 and 2021, the related consolidated statements of</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comprehensive income / (loss), changes in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Group as of December 31, 2022 and 2021, and the results of its operations and its cash flows for each of the years in the three-year period ended December 31, 2022, in conformity with International Financial Reporting Standards (IFRSs) as issued by the International Accounting Standards Board and international accounting standards in conformity with the requirements of the UK-adopted IFRSs.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also have audited, in accordance with the standards of the Public Company Accounting Oversight Board (United States) (PCAOB), the Group’s internal control over financial reporting as of December 31, 2021 based on criteria established in Internal Control – Integrated Framework (2013) issued by the Committee of Sponsoring Organizations of the Treadway Commission , and our report dated April 27, 2023 expressed an unqualified opinion on the effectiveness of the Group’s internal control over financial reporting.</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for Opinion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These consolidated financial statements are the responsibility of the Group’s management. Our responsibility is to express an opinion on these consolidated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Critical Audit Matter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Valuation of certain Level 3 financial assets and liabilities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discussed in Notes 1 and 16 to the consolidated financial statements, the Group’s preferred share financial liability was recorded at a fair value of $27.3 million at December 31, 2022. The Group estimates the fair value of the preferred share financial liability by utilising an option pricing model with one or more significant unobservable inputs.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identified the valuation of the Vedanta preferred share financial liability as a critical audit matter. Subjective and complex auditor judgement was required to assess the enterprise value which includes significant assumptions, including the probability of future financing events and exit scenarios. In addition, evaluating the option pricing model required specialised skills and knowledge.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are the primary procedures we performed to address this critical audit matter.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evaluated the design and implementation of certain internal controls related to the valuation of Vedanta preferred share financial liability.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evaluated the reasonableness of the probability of exit scenarios by inspecting strategic plans and comparing against previous year assumptions and assessing if any changes were reasonable in the context of recent developments at the company.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evaluated the reasonableness of the probability of future financing events by inspecting strategic plans and inspecting the terms of recent financing agreements secured and comparing to assumptions used in the option pricing model.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also involved valuation professionals with specialized skills and knowledge who assisted us in evaluating the option pricing model by re-performing the simulations used to determine the enterprise value for each of the probable financing events and exit scenarios assumed by the management.</w:t>
      </w:r>
    </w:p>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KPMG LLP</w:t>
      </w:r>
    </w:p>
    <w:p>
      <w:pPr>
        <w:pStyle w:val="TextBody"/>
        <w:spacing w:lineRule="auto" w:line="288" w:before="0" w:after="0"/>
        <w:rPr>
          <w:rFonts w:ascii="Avenir LT Pro 85 Heavy;sans-serif" w:hAnsi="Avenir LT Pro 85 Heavy;sans-serif"/>
          <w:b/>
          <w:color w:val="000000"/>
          <w:sz w:val="17"/>
        </w:rPr>
      </w:pPr>
      <w:r>
        <w:rPr>
          <w:rFonts w:ascii="Avenir LT Pro 85 Heavy;sans-serif" w:hAnsi="Avenir LT Pro 85 Heavy;sans-serif"/>
          <w:b/>
          <w:color w:val="000000"/>
          <w:sz w:val="17"/>
        </w:rPr>
        <w:t>KPMG LLP</w:t>
      </w:r>
    </w:p>
    <w:p>
      <w:pPr>
        <w:pStyle w:val="TextBody"/>
        <w:spacing w:before="0" w:after="10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served as the Group’s auditor since 2015.</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London, United Kingdom</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 April, 2023</w:t>
      </w:r>
    </w:p>
    <w:p>
      <w:pPr>
        <w:pStyle w:val="HorizontalLine"/>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25730"/>
                <wp:effectExtent l="0" t="0" r="0" b="0"/>
                <wp:wrapNone/>
                <wp:docPr id="74" name="Frame7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w:t>
                      </w:r>
                    </w:p>
                  </w:txbxContent>
                </v:textbox>
              </v:rect>
            </w:pict>
          </mc:Fallback>
        </mc:AlternateContent>
      </w:r>
    </w:p>
    <w:p>
      <w:pPr>
        <w:pStyle w:val="TextBody"/>
        <w:spacing w:before="0" w:after="0"/>
        <w:jc w:val="center"/>
        <w:rPr/>
      </w:pPr>
      <w:r>
        <w:rPr/>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25730"/>
                <wp:effectExtent l="0" t="0" r="0" b="0"/>
                <wp:wrapNone/>
                <wp:docPr id="75" name="Frame7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w:t>
                      </w:r>
                    </w:p>
                  </w:txbxContent>
                </v:textbox>
              </v:rect>
            </w:pict>
          </mc:Fallback>
        </mc:AlternateContent>
      </w:r>
    </w:p>
    <w:p>
      <w:pPr>
        <w:pStyle w:val="TextBody"/>
        <w:spacing w:before="0" w:after="0"/>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Consolidated Statements of Comprehensive Income/(Loss)</w:t>
      </w:r>
    </w:p>
    <w:p>
      <w:pPr>
        <w:pStyle w:val="TextBody"/>
        <w:spacing w:lineRule="auto" w:line="288" w:before="0" w:after="400"/>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0205" w:type="dxa"/>
        <w:jc w:val="left"/>
        <w:tblInd w:w="0" w:type="dxa"/>
        <w:tblCellMar>
          <w:top w:w="28" w:type="dxa"/>
          <w:left w:w="28" w:type="dxa"/>
          <w:bottom w:w="28" w:type="dxa"/>
          <w:right w:w="28" w:type="dxa"/>
        </w:tblCellMar>
      </w:tblPr>
      <w:tblGrid>
        <w:gridCol w:w="2268"/>
        <w:gridCol w:w="1994"/>
        <w:gridCol w:w="1995"/>
        <w:gridCol w:w="168"/>
        <w:gridCol w:w="168"/>
        <w:gridCol w:w="170"/>
        <w:gridCol w:w="515"/>
        <w:gridCol w:w="518"/>
        <w:gridCol w:w="181"/>
        <w:gridCol w:w="447"/>
        <w:gridCol w:w="451"/>
        <w:gridCol w:w="181"/>
        <w:gridCol w:w="447"/>
        <w:gridCol w:w="451"/>
        <w:gridCol w:w="251"/>
      </w:tblGrid>
      <w:tr>
        <w:trPr/>
        <w:tc>
          <w:tcPr>
            <w:tcW w:w="2268"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6257" w:type="dxa"/>
            <w:gridSpan w:val="3"/>
            <w:tcBorders>
              <w:bottom w:val="single" w:sz="2" w:space="0" w:color="00154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06"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Note</w:t>
            </w:r>
          </w:p>
        </w:tc>
        <w:tc>
          <w:tcPr>
            <w:tcW w:w="1214"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79"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149"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6257"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506"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1033"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2,090</w:t>
            </w:r>
            <w:r>
              <w:rPr>
                <w:color w:val="000000"/>
              </w:rPr>
              <w:t> </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8,341 </w:t>
            </w:r>
          </w:p>
        </w:tc>
        <w:tc>
          <w:tcPr>
            <w:tcW w:w="25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13,528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506"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15,618</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11,768 </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expenses:</w:t>
            </w:r>
          </w:p>
        </w:tc>
        <w:tc>
          <w:tcPr>
            <w:tcW w:w="5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(60,991)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(49,440)</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(152,433)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(81,859)</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Operating income/(loss)</w:t>
            </w:r>
          </w:p>
        </w:tc>
        <w:tc>
          <w:tcPr>
            <w:tcW w:w="506"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(197,807)</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(150,282)</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(119,531)</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deconsolidation of subsidiary</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27,251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(32,060)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179,316 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232,674 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(29,303)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(54,976)</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vAlign w:val="center"/>
          </w:tcPr>
          <w:p>
            <w:pPr>
              <w:pStyle w:val="TableContents"/>
              <w:spacing w:before="0" w:after="283"/>
              <w:rPr>
                <w:sz w:val="4"/>
                <w:szCs w:val="4"/>
              </w:rPr>
            </w:pPr>
            <w:r>
              <w:rPr>
                <w:sz w:val="4"/>
                <w:szCs w:val="4"/>
              </w:rPr>
            </w:r>
          </w:p>
        </w:tc>
        <w:tc>
          <w:tcPr>
            <w:tcW w:w="506"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6257" w:type="dxa"/>
            <w:gridSpan w:val="3"/>
            <w:tcBorders/>
            <w:shd w:fill="auto" w:val="clear"/>
            <w:vAlign w:val="center"/>
          </w:tcPr>
          <w:p>
            <w:pPr>
              <w:pStyle w:val="TableContents"/>
              <w:spacing w:before="0" w:after="283"/>
              <w:rPr>
                <w:sz w:val="4"/>
                <w:szCs w:val="4"/>
              </w:rPr>
            </w:pPr>
            <w:r>
              <w:rPr>
                <w:sz w:val="4"/>
                <w:szCs w:val="4"/>
              </w:rPr>
            </w:r>
          </w:p>
        </w:tc>
        <w:tc>
          <w:tcPr>
            <w:tcW w:w="506"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6257" w:type="dxa"/>
            <w:gridSpan w:val="3"/>
            <w:tcBorders/>
            <w:shd w:fill="auto" w:val="clear"/>
            <w:vAlign w:val="center"/>
          </w:tcPr>
          <w:p>
            <w:pPr>
              <w:pStyle w:val="TableContents"/>
              <w:spacing w:before="0" w:after="283"/>
              <w:rPr>
                <w:sz w:val="4"/>
                <w:szCs w:val="4"/>
              </w:rPr>
            </w:pPr>
            <w:r>
              <w:rPr>
                <w:sz w:val="4"/>
                <w:szCs w:val="4"/>
              </w:rPr>
            </w:r>
          </w:p>
        </w:tc>
        <w:tc>
          <w:tcPr>
            <w:tcW w:w="506"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6, 16</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8,131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1,035 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Other income/(expense)</w:t>
            </w:r>
          </w:p>
        </w:tc>
        <w:tc>
          <w:tcPr>
            <w:tcW w:w="50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(25,981)</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159,983 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178,732 </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w:t>
            </w:r>
          </w:p>
        </w:tc>
        <w:tc>
          <w:tcPr>
            <w:tcW w:w="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5,799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costs – contractual</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(3,939)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(4,771)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(2,946)</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fair value accounting</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137,063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9,606 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(4,351)</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vAlign w:val="center"/>
          </w:tcPr>
          <w:p>
            <w:pPr>
              <w:pStyle w:val="TableContents"/>
              <w:spacing w:before="0" w:after="283"/>
              <w:rPr>
                <w:sz w:val="4"/>
                <w:szCs w:val="4"/>
              </w:rPr>
            </w:pPr>
            <w:r>
              <w:rPr>
                <w:sz w:val="4"/>
                <w:szCs w:val="4"/>
              </w:rPr>
            </w:r>
          </w:p>
        </w:tc>
        <w:tc>
          <w:tcPr>
            <w:tcW w:w="506" w:type="dxa"/>
            <w:gridSpan w:val="3"/>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Net finance income/(costs)</w:t>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138,924</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(6,115)</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loss of associates accounted for using the equity method</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(27,749)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(34,117)</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dilution of ownership interest in associate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28,220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 of investment in associate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(8,390)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(92,783)</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18,969 </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Taxation</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55,719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for the year</w:t>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(37,065)</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4,568 </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Other comprehensive income/(loss):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Items that are or may be reclassified as profit or loss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Equity-accounted associate – share of other comprehensive income (loss) </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(166)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foreign currency differences on dilution of interest</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comprehensive income/(loss)</w:t>
            </w:r>
          </w:p>
        </w:tc>
        <w:tc>
          <w:tcPr>
            <w:tcW w:w="50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(379)</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comprehensive income/(loss) for the year</w:t>
            </w:r>
          </w:p>
        </w:tc>
        <w:tc>
          <w:tcPr>
            <w:tcW w:w="50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(37,444)</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5,037 </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attributable to:</w:t>
            </w:r>
          </w:p>
        </w:tc>
        <w:tc>
          <w:tcPr>
            <w:tcW w:w="506"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214"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Company</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(50,354)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5,985 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13,290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(1,417)</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(37,065)</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4,568 </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Comprehensive income/(loss) attributable to:</w:t>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2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Company</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(50,733)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6,454 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13,290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(1,417)</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(37,444)</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5,037 </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0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14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62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Earnings/(loss) per share:</w:t>
            </w:r>
          </w:p>
        </w:tc>
        <w:tc>
          <w:tcPr>
            <w:tcW w:w="5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2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Basic earnings/(loss) per share</w:t>
            </w:r>
          </w:p>
        </w:tc>
        <w:tc>
          <w:tcPr>
            <w:tcW w:w="5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0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(0.18)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0.02 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7"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Diluted earnings/(loss) per share</w:t>
            </w:r>
          </w:p>
        </w:tc>
        <w:tc>
          <w:tcPr>
            <w:tcW w:w="506"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033"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(0.18)</w:t>
            </w:r>
          </w:p>
        </w:tc>
        <w:tc>
          <w:tcPr>
            <w:tcW w:w="18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98"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18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98"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0.02 </w:t>
            </w:r>
          </w:p>
        </w:tc>
        <w:tc>
          <w:tcPr>
            <w:tcW w:w="25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25730"/>
                <wp:effectExtent l="0" t="0" r="0" b="0"/>
                <wp:wrapNone/>
                <wp:docPr id="76" name="Frame7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w:t>
                      </w:r>
                    </w:p>
                  </w:txbxContent>
                </v:textbox>
              </v:rect>
            </w:pict>
          </mc:Fallback>
        </mc:AlternateContent>
      </w:r>
    </w:p>
    <w:p>
      <w:pPr>
        <w:pStyle w:val="TextBody"/>
        <w:spacing w:before="0" w:after="0"/>
        <w:jc w:val="center"/>
        <w:rPr/>
      </w:pPr>
      <w:r>
        <w:rPr/>
      </w:r>
    </w:p>
    <w:p>
      <w:pPr>
        <w:pStyle w:val="TextBody"/>
        <w:spacing w:lineRule="auto" w:line="288" w:before="0" w:after="80"/>
        <w:rPr>
          <w:rFonts w:ascii="Avenir LT Pro 85 Heavy;sans-serif" w:hAnsi="Avenir LT Pro 85 Heavy;sans-serif"/>
          <w:b/>
          <w:color w:val="183964"/>
          <w:sz w:val="34"/>
        </w:rPr>
      </w:pPr>
      <w:r>
        <w:rPr>
          <w:rFonts w:ascii="Avenir LT Pro 85 Heavy;sans-serif" w:hAnsi="Avenir LT Pro 85 Heavy;sans-serif"/>
          <w:b/>
          <w:color w:val="183964"/>
          <w:sz w:val="34"/>
        </w:rPr>
        <w:t>Consolidated Statements of Financial Position</w:t>
      </w:r>
    </w:p>
    <w:p>
      <w:pPr>
        <w:pStyle w:val="TextBody"/>
        <w:spacing w:lineRule="auto" w:line="288" w:before="0" w:after="0"/>
        <w:rPr>
          <w:rFonts w:ascii="Avenir LT Pro 85 Heavy;sans-serif" w:hAnsi="Avenir LT Pro 85 Heavy;sans-serif"/>
          <w:b/>
          <w:color w:val="183964"/>
          <w:sz w:val="14"/>
        </w:rPr>
      </w:pPr>
      <w:r>
        <w:rPr>
          <w:rFonts w:ascii="Avenir LT Pro 85 Heavy;sans-serif" w:hAnsi="Avenir LT Pro 85 Heavy;sans-serif"/>
          <w:b/>
          <w:color w:val="183964"/>
          <w:sz w:val="14"/>
        </w:rPr>
        <w:t>As of December 31,</w:t>
      </w:r>
    </w:p>
    <w:tbl>
      <w:tblPr>
        <w:tblW w:w="7656" w:type="dxa"/>
        <w:jc w:val="left"/>
        <w:tblInd w:w="0" w:type="dxa"/>
        <w:tblCellMar>
          <w:top w:w="28" w:type="dxa"/>
          <w:left w:w="28" w:type="dxa"/>
          <w:bottom w:w="28" w:type="dxa"/>
          <w:right w:w="28" w:type="dxa"/>
        </w:tblCellMar>
      </w:tblPr>
      <w:tblGrid>
        <w:gridCol w:w="1720"/>
        <w:gridCol w:w="1510"/>
        <w:gridCol w:w="1524"/>
        <w:gridCol w:w="204"/>
        <w:gridCol w:w="204"/>
        <w:gridCol w:w="206"/>
        <w:gridCol w:w="473"/>
        <w:gridCol w:w="473"/>
        <w:gridCol w:w="181"/>
        <w:gridCol w:w="412"/>
        <w:gridCol w:w="414"/>
        <w:gridCol w:w="181"/>
        <w:gridCol w:w="154"/>
      </w:tblGrid>
      <w:tr>
        <w:trPr/>
        <w:tc>
          <w:tcPr>
            <w:tcW w:w="172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bottom w:val="single" w:sz="2" w:space="0" w:color="00154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4"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Note</w:t>
            </w:r>
          </w:p>
        </w:tc>
        <w:tc>
          <w:tcPr>
            <w:tcW w:w="1127"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Assets</w:t>
            </w:r>
          </w:p>
        </w:tc>
        <w:tc>
          <w:tcPr>
            <w:tcW w:w="61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07"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Non-current assets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Property and equipment, net</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22,957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26,771 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Right of use asset, net</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14,281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17,166 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Intangible assets, net</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831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5, 16</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251,892</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397,179 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associates - equity method</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9,147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Note from associate</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16,501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receivable – long-term</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835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non-current assets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non-current assets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316,454</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444,197 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Current assets</w:t>
            </w:r>
          </w:p>
        </w:tc>
        <w:tc>
          <w:tcPr>
            <w:tcW w:w="61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receivable</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10,040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4,514 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Prepaid expenses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11,617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10,755 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receivable – short-term</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450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financial assets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13, 22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2,124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note from associate</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15,120 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200,229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149,866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465,708 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assets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386,192</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501,809 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assets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702,647</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946,006 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 and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capital</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5,455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5,444 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premium</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289,624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289,303 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stock</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(26,492)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Merger reserve</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138,506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138,506 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Translation reserve</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(14,478)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(40,077)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Retained earnings/(accumulated deficit)</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149,516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199,871 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 attributable to the owners of the Company</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542,220</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593,515 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5,369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(9,368)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w:t>
            </w:r>
          </w:p>
        </w:tc>
        <w:tc>
          <w:tcPr>
            <w:tcW w:w="6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547,589</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584,147 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Non-current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liability</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19,645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89,765 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 non-current</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24,155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29,040 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10,244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14,261 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Liability for share based awards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4,128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2,659 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non-current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58,172</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135,725 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Current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revenue</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2,185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 current</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4,972</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3,950 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54,840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35,817 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Notes payable</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16, 17</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Warrant liability</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Preferred shares</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15, 16</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portion of long-term loan</w:t>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5,156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61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96,885</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226,135 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liabilities</w:t>
            </w:r>
          </w:p>
        </w:tc>
        <w:tc>
          <w:tcPr>
            <w:tcW w:w="6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155,057</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361,859 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 and liabilities</w:t>
            </w:r>
          </w:p>
        </w:tc>
        <w:tc>
          <w:tcPr>
            <w:tcW w:w="61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702,647</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946,006 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pPr>
      <w:r>
        <w:rPr>
          <w:rFonts w:ascii="Avenir LT Pro 45 Book;sans-serif" w:hAnsi="Avenir LT Pro 45 Book;sans-serif"/>
          <w:b w:val="false"/>
          <w:color w:val="000000"/>
          <w:sz w:val="17"/>
        </w:rPr>
        <w:t>Please refer to the accompanying Notes to the consolidated financial information. Registered number: 09582467.</w:t>
        <w:br/>
        <w:t>The Consolidated Financial Statements were approved by the Board of Directors and authorized for issuance on April 27, 2023 and signed on its behalf by:</w:t>
        <w:br/>
      </w:r>
      <w:r>
        <w:rPr/>
        <w:drawing>
          <wp:inline distT="0" distB="63500" distL="0" distR="0">
            <wp:extent cx="771525" cy="295275"/>
            <wp:effectExtent l="0" t="0" r="0" b="0"/>
            <wp:docPr id="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 descr=""/>
                    <pic:cNvPicPr>
                      <a:picLocks noChangeAspect="1" noChangeArrowheads="1"/>
                    </pic:cNvPicPr>
                  </pic:nvPicPr>
                  <pic:blipFill>
                    <a:blip r:embed="rId33"/>
                    <a:stretch>
                      <a:fillRect/>
                    </a:stretch>
                  </pic:blipFill>
                  <pic:spPr bwMode="auto">
                    <a:xfrm>
                      <a:off x="0" y="0"/>
                      <a:ext cx="771525" cy="295275"/>
                    </a:xfrm>
                    <a:prstGeom prst="rect">
                      <a:avLst/>
                    </a:prstGeom>
                  </pic:spPr>
                </pic:pic>
              </a:graphicData>
            </a:graphic>
          </wp:inline>
        </w:drawing>
      </w:r>
    </w:p>
    <w:p>
      <w:pPr>
        <w:pStyle w:val="TextBody"/>
        <w:spacing w:lineRule="auto" w:line="288" w:before="0" w:after="0"/>
        <w:rPr>
          <w:rFonts w:ascii="Avenir LT Pro 85 Heavy;sans-serif" w:hAnsi="Avenir LT Pro 85 Heavy;sans-serif"/>
          <w:b/>
          <w:color w:val="183964"/>
          <w:sz w:val="14"/>
        </w:rPr>
      </w:pPr>
      <w:r>
        <w:rPr>
          <w:rFonts w:ascii="Avenir LT Pro 85 Heavy;sans-serif" w:hAnsi="Avenir LT Pro 85 Heavy;sans-serif"/>
          <w:b/>
          <w:color w:val="183964"/>
          <w:sz w:val="14"/>
        </w:rPr>
        <w:t>Daphne Zohar</w:t>
      </w:r>
    </w:p>
    <w:p>
      <w:pPr>
        <w:pStyle w:val="TextBody"/>
        <w:spacing w:lineRule="auto" w:line="288" w:before="0" w:after="180"/>
        <w:rPr>
          <w:rFonts w:ascii="Avenir LT Pro 45 Book;sans-serif" w:hAnsi="Avenir LT Pro 45 Book;sans-serif"/>
          <w:b w:val="false"/>
          <w:color w:val="183964"/>
          <w:sz w:val="14"/>
        </w:rPr>
      </w:pPr>
      <w:r>
        <w:rPr>
          <w:rFonts w:ascii="Avenir LT Pro 45 Book;sans-serif" w:hAnsi="Avenir LT Pro 45 Book;sans-serif"/>
          <w:b w:val="false"/>
          <w:color w:val="183964"/>
          <w:sz w:val="14"/>
        </w:rPr>
        <w:t xml:space="preserve">Chief Executive Officer </w:t>
        <w:br/>
        <w:t>April 27, 2023</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25730"/>
                <wp:effectExtent l="0" t="0" r="0" b="0"/>
                <wp:wrapNone/>
                <wp:docPr id="78" name="Frame7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w:t>
                      </w:r>
                    </w:p>
                  </w:txbxContent>
                </v:textbox>
              </v:rect>
            </w:pict>
          </mc:Fallback>
        </mc:AlternateContent>
      </w:r>
    </w:p>
    <w:p>
      <w:pPr>
        <w:pStyle w:val="TextBody"/>
        <w:spacing w:before="1" w:after="1"/>
        <w:jc w:val="center"/>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Consolidated Statements of Changes in Equity </w:t>
      </w:r>
    </w:p>
    <w:p>
      <w:pPr>
        <w:pStyle w:val="TextBody"/>
        <w:spacing w:lineRule="auto" w:line="288" w:before="0" w:after="0"/>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3685" w:type="dxa"/>
        <w:jc w:val="left"/>
        <w:tblInd w:w="0" w:type="dxa"/>
        <w:tblCellMar>
          <w:top w:w="28" w:type="dxa"/>
          <w:left w:w="28" w:type="dxa"/>
          <w:bottom w:w="28" w:type="dxa"/>
          <w:right w:w="28" w:type="dxa"/>
        </w:tblCellMar>
      </w:tblPr>
      <w:tblGrid>
        <w:gridCol w:w="1754"/>
        <w:gridCol w:w="351"/>
        <w:gridCol w:w="221"/>
        <w:gridCol w:w="532"/>
        <w:gridCol w:w="534"/>
        <w:gridCol w:w="171"/>
        <w:gridCol w:w="285"/>
        <w:gridCol w:w="286"/>
        <w:gridCol w:w="191"/>
        <w:gridCol w:w="375"/>
        <w:gridCol w:w="376"/>
        <w:gridCol w:w="216"/>
        <w:gridCol w:w="488"/>
        <w:gridCol w:w="488"/>
        <w:gridCol w:w="151"/>
        <w:gridCol w:w="332"/>
        <w:gridCol w:w="329"/>
        <w:gridCol w:w="191"/>
        <w:gridCol w:w="474"/>
        <w:gridCol w:w="277"/>
        <w:gridCol w:w="186"/>
        <w:gridCol w:w="255"/>
        <w:gridCol w:w="255"/>
        <w:gridCol w:w="256"/>
        <w:gridCol w:w="330"/>
        <w:gridCol w:w="331"/>
        <w:gridCol w:w="186"/>
        <w:gridCol w:w="531"/>
        <w:gridCol w:w="220"/>
        <w:gridCol w:w="221"/>
        <w:gridCol w:w="419"/>
        <w:gridCol w:w="332"/>
        <w:gridCol w:w="166"/>
        <w:gridCol w:w="335"/>
        <w:gridCol w:w="335"/>
        <w:gridCol w:w="336"/>
        <w:gridCol w:w="375"/>
        <w:gridCol w:w="376"/>
        <w:gridCol w:w="218"/>
      </w:tblGrid>
      <w:tr>
        <w:trPr/>
        <w:tc>
          <w:tcPr>
            <w:tcW w:w="175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before="0" w:after="200"/>
              <w:rPr/>
            </w:pPr>
            <w:r>
              <w:rPr/>
            </w:r>
          </w:p>
        </w:tc>
        <w:tc>
          <w:tcPr>
            <w:tcW w:w="199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Capital</w:t>
            </w:r>
          </w:p>
        </w:tc>
        <w:tc>
          <w:tcPr>
            <w:tcW w:w="96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97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Treasury Shares</w:t>
            </w:r>
          </w:p>
        </w:tc>
        <w:tc>
          <w:tcPr>
            <w:tcW w:w="93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6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7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1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0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69"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2326" w:type="dxa"/>
            <w:gridSpan w:val="3"/>
            <w:tcBorders>
              <w:bottom w:val="single" w:sz="2" w:space="0" w:color="183964"/>
            </w:tcBorders>
            <w:shd w:fill="auto" w:val="clear"/>
            <w:tcMar>
              <w:top w:w="0" w:type="dxa"/>
              <w:left w:w="0" w:type="dxa"/>
              <w:right w:w="0" w:type="dxa"/>
            </w:tcMar>
            <w:vAlign w:val="center"/>
          </w:tcPr>
          <w:p>
            <w:pPr>
              <w:pStyle w:val="TableContents"/>
              <w:spacing w:before="0" w:after="200"/>
              <w:rPr/>
            </w:pPr>
            <w:r>
              <w:rPr/>
            </w:r>
          </w:p>
        </w:tc>
        <w:tc>
          <w:tcPr>
            <w:tcW w:w="123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76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6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premium</w:t>
              <w:br/>
              <w:t> $000s</w:t>
            </w:r>
          </w:p>
        </w:tc>
        <w:tc>
          <w:tcPr>
            <w:tcW w:w="112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85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3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Merger reserve $000s</w:t>
            </w:r>
          </w:p>
        </w:tc>
        <w:tc>
          <w:tcPr>
            <w:tcW w:w="76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Translation reserve</w:t>
              <w:br/>
              <w:t>$000s</w:t>
            </w:r>
          </w:p>
        </w:tc>
        <w:tc>
          <w:tcPr>
            <w:tcW w:w="84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Other reserve </w:t>
              <w:br/>
              <w:t>$000s</w:t>
            </w:r>
          </w:p>
        </w:tc>
        <w:tc>
          <w:tcPr>
            <w:tcW w:w="972"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Retained earnings/ (accumulated deficit)</w:t>
              <w:br/>
              <w:t>$000s</w:t>
            </w:r>
          </w:p>
        </w:tc>
        <w:tc>
          <w:tcPr>
            <w:tcW w:w="91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 Parent equity</w:t>
              <w:br/>
              <w:t>$000s</w:t>
            </w:r>
          </w:p>
        </w:tc>
        <w:tc>
          <w:tcPr>
            <w:tcW w:w="100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Non-controlling interests </w:t>
              <w:br/>
              <w:t>$000s</w:t>
            </w:r>
          </w:p>
        </w:tc>
        <w:tc>
          <w:tcPr>
            <w:tcW w:w="969"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w:t>
              <w:br/>
              <w:t xml:space="preserve">Equity </w:t>
              <w:br/>
              <w:t>$000s</w:t>
            </w:r>
          </w:p>
        </w:tc>
      </w:tr>
      <w:tr>
        <w:trPr/>
        <w:tc>
          <w:tcPr>
            <w:tcW w:w="23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Balance January 1, 2020</w:t>
            </w:r>
          </w:p>
        </w:tc>
        <w:tc>
          <w:tcPr>
            <w:tcW w:w="10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285,370,619 </w:t>
            </w:r>
          </w:p>
        </w:tc>
        <w:tc>
          <w:tcPr>
            <w:tcW w:w="17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5,408 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287,962 </w:t>
            </w:r>
          </w:p>
        </w:tc>
        <w:tc>
          <w:tcPr>
            <w:tcW w:w="21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138,506 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(18,282)</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254,444 </w:t>
            </w:r>
          </w:p>
        </w:tc>
        <w:tc>
          <w:tcPr>
            <w:tcW w:w="22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668,037 </w:t>
            </w:r>
          </w:p>
        </w:tc>
        <w:tc>
          <w:tcPr>
            <w:tcW w:w="16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(17,639)</w:t>
            </w:r>
          </w:p>
        </w:tc>
        <w:tc>
          <w:tcPr>
            <w:tcW w:w="3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650,398 </w:t>
            </w:r>
          </w:p>
        </w:tc>
        <w:tc>
          <w:tcPr>
            <w:tcW w:w="2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(1,417)</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4,568 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 comprehensive income/(loss), net</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469 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469 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469 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year</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469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5,985</w:t>
            </w: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6,454</w:t>
            </w: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(1,417)</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5,037</w:t>
            </w:r>
            <w:r>
              <w:rPr>
                <w:color w:val="000000"/>
              </w:rPr>
              <w:t>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514,406 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1,016 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1,025 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1,036 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Revaluation of deferred tax assets related to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(684)</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(684)</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(684)</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 settled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7,805 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7,805 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2,822 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10,627 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 (RSU)</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(12,888)</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(12,888)</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(12,888)</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2020</w:t>
            </w:r>
          </w:p>
        </w:tc>
        <w:tc>
          <w:tcPr>
            <w:tcW w:w="10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285,885,025</w:t>
            </w:r>
            <w:r>
              <w:rPr>
                <w:color w:val="000000"/>
              </w:rPr>
              <w:t> </w:t>
            </w:r>
          </w:p>
        </w:tc>
        <w:tc>
          <w:tcPr>
            <w:tcW w:w="17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5,417</w:t>
            </w: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288,978</w:t>
            </w:r>
            <w:r>
              <w:rPr>
                <w:color w:val="000000"/>
              </w:rPr>
              <w:t> </w:t>
            </w:r>
          </w:p>
        </w:tc>
        <w:tc>
          <w:tcPr>
            <w:tcW w:w="21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469</w:t>
            </w:r>
            <w:r>
              <w:rPr>
                <w:color w:val="000000"/>
              </w:rPr>
              <w:t> </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(24,050)</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260,429</w:t>
            </w:r>
            <w:r>
              <w:rPr>
                <w:color w:val="000000"/>
              </w:rPr>
              <w:t> </w:t>
            </w:r>
          </w:p>
        </w:tc>
        <w:tc>
          <w:tcPr>
            <w:tcW w:w="22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669,748</w:t>
            </w:r>
            <w:r>
              <w:rPr>
                <w:color w:val="000000"/>
              </w:rPr>
              <w:t> </w:t>
            </w:r>
          </w:p>
        </w:tc>
        <w:tc>
          <w:tcPr>
            <w:tcW w:w="16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(16,209)</w:t>
            </w:r>
          </w:p>
        </w:tc>
        <w:tc>
          <w:tcPr>
            <w:tcW w:w="3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653,539</w:t>
            </w:r>
            <w:r>
              <w:rPr>
                <w:color w:val="000000"/>
              </w:rPr>
              <w:t> </w:t>
            </w:r>
          </w:p>
        </w:tc>
        <w:tc>
          <w:tcPr>
            <w:tcW w:w="2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106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(60,558)</w:t>
            </w:r>
          </w:p>
        </w:tc>
        <w:tc>
          <w:tcPr>
            <w:tcW w:w="22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(60,558)</w:t>
            </w:r>
          </w:p>
        </w:tc>
        <w:tc>
          <w:tcPr>
            <w:tcW w:w="16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(2,151)</w:t>
            </w:r>
          </w:p>
        </w:tc>
        <w:tc>
          <w:tcPr>
            <w:tcW w:w="33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(62,709)</w:t>
            </w:r>
          </w:p>
        </w:tc>
        <w:tc>
          <w:tcPr>
            <w:tcW w:w="218"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year</w:t>
            </w:r>
          </w:p>
        </w:tc>
        <w:tc>
          <w:tcPr>
            <w:tcW w:w="10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(60,558)</w:t>
            </w:r>
          </w:p>
        </w:tc>
        <w:tc>
          <w:tcPr>
            <w:tcW w:w="22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(60,558)</w:t>
            </w:r>
          </w:p>
        </w:tc>
        <w:tc>
          <w:tcPr>
            <w:tcW w:w="16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(2,151)</w:t>
            </w:r>
          </w:p>
        </w:tc>
        <w:tc>
          <w:tcPr>
            <w:tcW w:w="3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(62,709)</w:t>
            </w:r>
          </w:p>
        </w:tc>
        <w:tc>
          <w:tcPr>
            <w:tcW w:w="2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1,911,560 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326 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Revaluation of deferred tax assets related to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 settled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7,109 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7,109 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6,252 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13,361 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Reclassification of equity settled awards to liability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Vesting of share-based awards and net share exercise</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Acquisition of subsidiary non-controlling interest</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(9,636)</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(9,636)</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8,668 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(968)</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share options in subsidiaries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5,988 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(5,922)</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Distributions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2021</w:t>
            </w:r>
          </w:p>
        </w:tc>
        <w:tc>
          <w:tcPr>
            <w:tcW w:w="10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287,796,585</w:t>
            </w:r>
            <w:r>
              <w:rPr>
                <w:color w:val="000000"/>
              </w:rPr>
              <w:t> </w:t>
            </w:r>
          </w:p>
        </w:tc>
        <w:tc>
          <w:tcPr>
            <w:tcW w:w="17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5,444</w:t>
            </w: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289,303</w:t>
            </w:r>
            <w:r>
              <w:rPr>
                <w:color w:val="000000"/>
              </w:rPr>
              <w:t> </w:t>
            </w:r>
          </w:p>
        </w:tc>
        <w:tc>
          <w:tcPr>
            <w:tcW w:w="21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469</w:t>
            </w:r>
            <w:r>
              <w:rPr>
                <w:color w:val="000000"/>
              </w:rPr>
              <w:t> </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(40,077)</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199,871</w:t>
            </w:r>
            <w:r>
              <w:rPr>
                <w:color w:val="000000"/>
              </w:rPr>
              <w:t> </w:t>
            </w:r>
          </w:p>
        </w:tc>
        <w:tc>
          <w:tcPr>
            <w:tcW w:w="22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593,515</w:t>
            </w:r>
            <w:r>
              <w:rPr>
                <w:color w:val="000000"/>
              </w:rPr>
              <w:t> </w:t>
            </w:r>
          </w:p>
        </w:tc>
        <w:tc>
          <w:tcPr>
            <w:tcW w:w="16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(9,368)</w:t>
            </w:r>
          </w:p>
        </w:tc>
        <w:tc>
          <w:tcPr>
            <w:tcW w:w="3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584,147</w:t>
            </w:r>
            <w:r>
              <w:rPr>
                <w:color w:val="000000"/>
              </w:rPr>
              <w:t> </w:t>
            </w:r>
          </w:p>
        </w:tc>
        <w:tc>
          <w:tcPr>
            <w:tcW w:w="2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975" w:type="dxa"/>
            <w:gridSpan w:val="6"/>
            <w:tcBorders/>
            <w:shd w:fill="auto" w:val="clea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106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(50,354)</w:t>
            </w:r>
          </w:p>
        </w:tc>
        <w:tc>
          <w:tcPr>
            <w:tcW w:w="22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(50,354)</w:t>
            </w:r>
          </w:p>
        </w:tc>
        <w:tc>
          <w:tcPr>
            <w:tcW w:w="16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13,290 </w:t>
            </w:r>
          </w:p>
        </w:tc>
        <w:tc>
          <w:tcPr>
            <w:tcW w:w="33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(37,065)</w:t>
            </w:r>
          </w:p>
        </w:tc>
        <w:tc>
          <w:tcPr>
            <w:tcW w:w="218"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 comprehensive income/(loss), net</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year</w:t>
            </w:r>
          </w:p>
        </w:tc>
        <w:tc>
          <w:tcPr>
            <w:tcW w:w="10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(379)</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(50,354)</w:t>
            </w:r>
          </w:p>
        </w:tc>
        <w:tc>
          <w:tcPr>
            <w:tcW w:w="22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(50,733)</w:t>
            </w:r>
          </w:p>
        </w:tc>
        <w:tc>
          <w:tcPr>
            <w:tcW w:w="16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13,290</w:t>
            </w:r>
            <w:r>
              <w:rPr>
                <w:color w:val="000000"/>
              </w:rPr>
              <w:t> </w:t>
            </w:r>
          </w:p>
        </w:tc>
        <w:tc>
          <w:tcPr>
            <w:tcW w:w="3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(37,444)</w:t>
            </w:r>
          </w:p>
        </w:tc>
        <w:tc>
          <w:tcPr>
            <w:tcW w:w="2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Deconsolidation of Subsidiary</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11,904 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11,904 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577,022 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321 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332 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332 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Revaluation of deferred tax assets related to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Treasury stock</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(10,595,347)</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 settled share-based awards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8,856 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8,856 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4,711 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13,567 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Partial settlement of share based liability awards and settlement of equity based RSUs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788,046 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96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969" w:type="dxa"/>
            <w:gridSpan w:val="3"/>
            <w:tcBorders/>
            <w:shd w:fill="auto" w:val="clear"/>
            <w:vAlign w:val="center"/>
          </w:tcPr>
          <w:p>
            <w:pPr>
              <w:pStyle w:val="TableContents"/>
              <w:spacing w:before="0" w:after="283"/>
              <w:rPr>
                <w:sz w:val="4"/>
                <w:szCs w:val="4"/>
              </w:rPr>
            </w:pPr>
            <w:r>
              <w:rPr>
                <w:sz w:val="4"/>
                <w:szCs w:val="4"/>
              </w:rPr>
            </w:r>
          </w:p>
        </w:tc>
      </w:tr>
      <w:tr>
        <w:trPr/>
        <w:tc>
          <w:tcPr>
            <w:tcW w:w="23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share options in subsidiaries</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15,171 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15,171 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(15,164)</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25730"/>
                <wp:effectExtent l="0" t="0" r="0" b="0"/>
                <wp:wrapNone/>
                <wp:docPr id="79" name="Frame7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F-6</w:t>
                      </w:r>
                    </w:p>
                  </w:txbxContent>
                </v:textbox>
              </v:rect>
            </w:pict>
          </mc:Fallback>
        </mc:AlternateContent>
      </w:r>
    </w:p>
    <w:p>
      <w:pPr>
        <w:pStyle w:val="TextBody"/>
        <w:spacing w:before="1" w:after="1"/>
        <w:jc w:val="center"/>
        <w:rPr/>
      </w:pPr>
      <w:r>
        <w:rPr/>
      </w:r>
    </w:p>
    <w:tbl>
      <w:tblPr>
        <w:tblW w:w="12215" w:type="dxa"/>
        <w:jc w:val="left"/>
        <w:tblInd w:w="0" w:type="dxa"/>
        <w:tblCellMar>
          <w:top w:w="28" w:type="dxa"/>
          <w:left w:w="28" w:type="dxa"/>
          <w:bottom w:w="28" w:type="dxa"/>
          <w:right w:w="28" w:type="dxa"/>
        </w:tblCellMar>
      </w:tblPr>
      <w:tblGrid>
        <w:gridCol w:w="309"/>
        <w:gridCol w:w="271"/>
        <w:gridCol w:w="276"/>
        <w:gridCol w:w="533"/>
        <w:gridCol w:w="533"/>
        <w:gridCol w:w="171"/>
        <w:gridCol w:w="286"/>
        <w:gridCol w:w="285"/>
        <w:gridCol w:w="191"/>
        <w:gridCol w:w="375"/>
        <w:gridCol w:w="376"/>
        <w:gridCol w:w="216"/>
        <w:gridCol w:w="488"/>
        <w:gridCol w:w="488"/>
        <w:gridCol w:w="151"/>
        <w:gridCol w:w="332"/>
        <w:gridCol w:w="329"/>
        <w:gridCol w:w="191"/>
        <w:gridCol w:w="474"/>
        <w:gridCol w:w="277"/>
        <w:gridCol w:w="186"/>
        <w:gridCol w:w="255"/>
        <w:gridCol w:w="255"/>
        <w:gridCol w:w="256"/>
        <w:gridCol w:w="359"/>
        <w:gridCol w:w="302"/>
        <w:gridCol w:w="186"/>
        <w:gridCol w:w="531"/>
        <w:gridCol w:w="220"/>
        <w:gridCol w:w="221"/>
        <w:gridCol w:w="419"/>
        <w:gridCol w:w="332"/>
        <w:gridCol w:w="166"/>
        <w:gridCol w:w="335"/>
        <w:gridCol w:w="335"/>
        <w:gridCol w:w="336"/>
        <w:gridCol w:w="375"/>
        <w:gridCol w:w="376"/>
        <w:gridCol w:w="218"/>
      </w:tblGrid>
      <w:tr>
        <w:trPr/>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00"/>
              <w:rPr/>
            </w:pPr>
            <w:r>
              <w:rPr/>
            </w:r>
          </w:p>
        </w:tc>
        <w:tc>
          <w:tcPr>
            <w:tcW w:w="199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Capital</w:t>
            </w:r>
          </w:p>
        </w:tc>
        <w:tc>
          <w:tcPr>
            <w:tcW w:w="96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97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Treasury Shares</w:t>
            </w:r>
          </w:p>
        </w:tc>
        <w:tc>
          <w:tcPr>
            <w:tcW w:w="93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6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84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72"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17"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100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969"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856" w:type="dxa"/>
            <w:gridSpan w:val="3"/>
            <w:tcBorders>
              <w:bottom w:val="single" w:sz="2" w:space="0" w:color="183964"/>
            </w:tcBorders>
            <w:shd w:fill="auto" w:val="clear"/>
            <w:tcMar>
              <w:top w:w="0" w:type="dxa"/>
              <w:left w:w="0" w:type="dxa"/>
              <w:right w:w="0" w:type="dxa"/>
            </w:tcMar>
            <w:vAlign w:val="center"/>
          </w:tcPr>
          <w:p>
            <w:pPr>
              <w:pStyle w:val="TableContents"/>
              <w:spacing w:before="0" w:after="200"/>
              <w:rPr/>
            </w:pPr>
            <w:r>
              <w:rPr/>
            </w:r>
          </w:p>
        </w:tc>
        <w:tc>
          <w:tcPr>
            <w:tcW w:w="123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76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6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premium</w:t>
              <w:br/>
              <w:t> $000s</w:t>
            </w:r>
          </w:p>
        </w:tc>
        <w:tc>
          <w:tcPr>
            <w:tcW w:w="112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852"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3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Merger reserve $000s</w:t>
            </w:r>
          </w:p>
        </w:tc>
        <w:tc>
          <w:tcPr>
            <w:tcW w:w="76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Translation reserve</w:t>
              <w:br/>
              <w:t>$000s</w:t>
            </w:r>
          </w:p>
        </w:tc>
        <w:tc>
          <w:tcPr>
            <w:tcW w:w="84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Other reserve </w:t>
              <w:br/>
              <w:t>$000s</w:t>
            </w:r>
          </w:p>
        </w:tc>
        <w:tc>
          <w:tcPr>
            <w:tcW w:w="972"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Retained earnings/ (accumulated deficit)</w:t>
              <w:br/>
              <w:t>$000s</w:t>
            </w:r>
          </w:p>
        </w:tc>
        <w:tc>
          <w:tcPr>
            <w:tcW w:w="91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 Parent equity</w:t>
              <w:br/>
              <w:t>$000s</w:t>
            </w:r>
          </w:p>
        </w:tc>
        <w:tc>
          <w:tcPr>
            <w:tcW w:w="1006"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Non-controlling interests </w:t>
              <w:br/>
              <w:t>$000s</w:t>
            </w:r>
          </w:p>
        </w:tc>
        <w:tc>
          <w:tcPr>
            <w:tcW w:w="969"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w:t>
              <w:br/>
              <w:t xml:space="preserve">Equity </w:t>
              <w:br/>
              <w:t>$000s</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10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2022</w:t>
            </w:r>
          </w:p>
        </w:tc>
        <w:tc>
          <w:tcPr>
            <w:tcW w:w="106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289,161,653</w:t>
            </w:r>
            <w:r>
              <w:rPr>
                <w:color w:val="000000"/>
              </w:rPr>
              <w:t> </w:t>
            </w:r>
          </w:p>
        </w:tc>
        <w:tc>
          <w:tcPr>
            <w:tcW w:w="17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5,455</w:t>
            </w:r>
            <w:r>
              <w:rPr>
                <w:color w:val="000000"/>
              </w:rPr>
              <w:t> </w:t>
            </w:r>
          </w:p>
        </w:tc>
        <w:tc>
          <w:tcPr>
            <w:tcW w:w="19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289,624</w:t>
            </w:r>
            <w:r>
              <w:rPr>
                <w:color w:val="000000"/>
              </w:rPr>
              <w:t> </w:t>
            </w:r>
          </w:p>
        </w:tc>
        <w:tc>
          <w:tcPr>
            <w:tcW w:w="21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(10,595,347)</w:t>
            </w:r>
          </w:p>
        </w:tc>
        <w:tc>
          <w:tcPr>
            <w:tcW w:w="15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(26,492)</w:t>
            </w:r>
          </w:p>
        </w:tc>
        <w:tc>
          <w:tcPr>
            <w:tcW w:w="19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89</w:t>
            </w:r>
            <w:r>
              <w:rPr>
                <w:color w:val="000000"/>
              </w:rPr>
              <w:t> </w:t>
            </w:r>
          </w:p>
        </w:tc>
        <w:tc>
          <w:tcPr>
            <w:tcW w:w="25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(14,478)</w:t>
            </w:r>
          </w:p>
        </w:tc>
        <w:tc>
          <w:tcPr>
            <w:tcW w:w="18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149,516</w:t>
            </w:r>
            <w:r>
              <w:rPr>
                <w:color w:val="000000"/>
              </w:rPr>
              <w:t> </w:t>
            </w:r>
          </w:p>
        </w:tc>
        <w:tc>
          <w:tcPr>
            <w:tcW w:w="22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542,220</w:t>
            </w:r>
            <w:r>
              <w:rPr>
                <w:color w:val="000000"/>
              </w:rPr>
              <w:t> </w:t>
            </w:r>
          </w:p>
        </w:tc>
        <w:tc>
          <w:tcPr>
            <w:tcW w:w="16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5,369</w:t>
            </w:r>
            <w:r>
              <w:rPr>
                <w:color w:val="000000"/>
              </w:rPr>
              <w:t> </w:t>
            </w:r>
          </w:p>
        </w:tc>
        <w:tc>
          <w:tcPr>
            <w:tcW w:w="33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547,589</w:t>
            </w:r>
            <w:r>
              <w:rPr>
                <w:color w:val="000000"/>
              </w:rPr>
              <w:t> </w:t>
            </w:r>
          </w:p>
        </w:tc>
        <w:tc>
          <w:tcPr>
            <w:tcW w:w="218"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accompanying notes are an integral part of these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25730"/>
                <wp:effectExtent l="0" t="0" r="0" b="0"/>
                <wp:wrapNone/>
                <wp:docPr id="80" name="Frame7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F-7</w:t>
                      </w:r>
                    </w:p>
                  </w:txbxContent>
                </v:textbox>
              </v:rect>
            </w:pict>
          </mc:Fallback>
        </mc:AlternateContent>
      </w:r>
    </w:p>
    <w:p>
      <w:pPr>
        <w:pStyle w:val="TextBody"/>
        <w:spacing w:before="0" w:after="105"/>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Consolidated Statements of Cash Flows </w:t>
      </w:r>
    </w:p>
    <w:p>
      <w:pPr>
        <w:pStyle w:val="TextBody"/>
        <w:spacing w:lineRule="auto" w:line="288" w:before="0" w:after="0"/>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0205" w:type="dxa"/>
        <w:jc w:val="left"/>
        <w:tblInd w:w="0" w:type="dxa"/>
        <w:tblCellMar>
          <w:top w:w="28" w:type="dxa"/>
          <w:left w:w="28" w:type="dxa"/>
          <w:bottom w:w="28" w:type="dxa"/>
          <w:right w:w="28" w:type="dxa"/>
        </w:tblCellMar>
      </w:tblPr>
      <w:tblGrid>
        <w:gridCol w:w="2443"/>
        <w:gridCol w:w="2121"/>
        <w:gridCol w:w="2130"/>
        <w:gridCol w:w="180"/>
        <w:gridCol w:w="180"/>
        <w:gridCol w:w="181"/>
        <w:gridCol w:w="400"/>
        <w:gridCol w:w="404"/>
        <w:gridCol w:w="181"/>
        <w:gridCol w:w="400"/>
        <w:gridCol w:w="404"/>
        <w:gridCol w:w="156"/>
        <w:gridCol w:w="401"/>
        <w:gridCol w:w="403"/>
        <w:gridCol w:w="221"/>
      </w:tblGrid>
      <w:tr>
        <w:trPr/>
        <w:tc>
          <w:tcPr>
            <w:tcW w:w="244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694" w:type="dxa"/>
            <w:gridSpan w:val="3"/>
            <w:tcBorders>
              <w:bottom w:val="single" w:sz="2" w:space="0" w:color="000000"/>
            </w:tcBorders>
            <w:shd w:fill="auto" w:val="clear"/>
            <w:tcMar>
              <w:top w:w="0" w:type="dxa"/>
              <w:left w:w="0" w:type="dxa"/>
              <w:right w:w="0" w:type="dxa"/>
            </w:tcMar>
            <w:vAlign w:val="center"/>
          </w:tcPr>
          <w:p>
            <w:pPr>
              <w:pStyle w:val="TableContents"/>
              <w:spacing w:before="0" w:after="200"/>
              <w:rPr/>
            </w:pPr>
            <w:r>
              <w:rPr/>
            </w:r>
          </w:p>
        </w:tc>
        <w:tc>
          <w:tcPr>
            <w:tcW w:w="541"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Note</w:t>
            </w:r>
          </w:p>
        </w:tc>
        <w:tc>
          <w:tcPr>
            <w:tcW w:w="985"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2022</w:t>
            </w:r>
          </w:p>
          <w:p>
            <w:pPr>
              <w:pStyle w:val="TableContents"/>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$000s</w:t>
            </w:r>
          </w:p>
        </w:tc>
        <w:tc>
          <w:tcPr>
            <w:tcW w:w="960"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2021</w:t>
            </w:r>
          </w:p>
          <w:p>
            <w:pPr>
              <w:pStyle w:val="TableContents"/>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$000s</w:t>
            </w:r>
          </w:p>
        </w:tc>
        <w:tc>
          <w:tcPr>
            <w:tcW w:w="1025"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2020</w:t>
            </w:r>
          </w:p>
          <w:p>
            <w:pPr>
              <w:pStyle w:val="TableContents"/>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$000s</w:t>
            </w:r>
          </w:p>
        </w:tc>
      </w:tr>
      <w:tr>
        <w:trPr/>
        <w:tc>
          <w:tcPr>
            <w:tcW w:w="669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operating activities</w:t>
            </w:r>
          </w:p>
        </w:tc>
        <w:tc>
          <w:tcPr>
            <w:tcW w:w="54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96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Income/(loss)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(37,065)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(62,709)</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4,568 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Adjustments to reconcile net income/(loss) to net cash used in operating activities: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Non-cash items: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Depreciation and amortization</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11, 21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8,893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7,287 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6,645 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Share-based compensation expense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14,698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13,950 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10,718 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(Gain)/loss on investment held at fair value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32,060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(179,316)</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(232,674)</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Realized loss on sale of investments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29,303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20,925 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54,976 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dilution of ownership interest in associate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(28,220)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Impairment of investment in associate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8,390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deconsolidation of subsidiary</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(27,251)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Share of net loss of associates accounted for using the equity method</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27,749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73,703 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34,117 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 xml:space="preserve">Fair value gain on other financial instruments </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6, 16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(8,163)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(800)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Loss on disposal of assets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138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53 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 taxes, net</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(55,719)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3,756 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14,402 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Finance (income)/costs, net</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(138,924)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(5,050)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6,114 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Changes in operating assets and liabilities: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receivables</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(7,734)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(617)</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(529)</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Prepaid expenses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(862)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(5,350)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(3,371)</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Deferred revenue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2,123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(1,407)</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(5,223)</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payables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22,033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8,338 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605 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359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(103)</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 taxes paid</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(20,696)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(27,766)</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(20,737)</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Interest received</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3,460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214 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1,155 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Interest paid</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20, 21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(3,366)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(3,382)</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(2,651)</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used in operating activities</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(178,792)</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(158,274)</w:t>
            </w:r>
          </w:p>
        </w:tc>
        <w:tc>
          <w:tcPr>
            <w:tcW w:w="156"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(131,827)</w:t>
            </w:r>
          </w:p>
        </w:tc>
        <w:tc>
          <w:tcPr>
            <w:tcW w:w="22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investing activities:</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property and equipment</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(2,176)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(5,571)</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(5,170)</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Proceeds from sale of property and equipment</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Purchases of intangible assets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(254)</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Investment in associates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(19,961)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associate preferred shares held at fair value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(10,000)</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investments held at fair value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(5,000)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(1,150)</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Sale of investments held at fair value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118,710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218,125 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350,586 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short-term note from associate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(15,000)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Repayment of short-term Note from associate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15,000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Convertible Note from associate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16</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(15,000)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derecognized upon loss of control over subsidiary (see table below)</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(479)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Purchases of short-term investments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(248,733)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Proceeds from maturity of short-term investments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50,000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30,116 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Receipt of payment of sublease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415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381 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provided by (used in) investing activities</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(107,223)</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197,375 </w:t>
            </w:r>
          </w:p>
        </w:tc>
        <w:tc>
          <w:tcPr>
            <w:tcW w:w="156"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364,478 </w:t>
            </w:r>
          </w:p>
        </w:tc>
        <w:tc>
          <w:tcPr>
            <w:tcW w:w="22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financing activities:</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Receipt of PPP loan</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68 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long term loan</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14,720 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subsidiary preferred Shares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37,610 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13,750 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Subsidiary Convertible Note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393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2,215 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25,000 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Payment of lease liability</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(4,025)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(3,375)</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(2,908)</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stock options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332</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1,036 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 equity awards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(12,888)</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Vesting of restricted stock units and net share exercise</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stock options in subsidiary</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warrants in subsidiary</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92 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treasury stock</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(26,492)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Acquisition of a non-controlling Interest of a subsidiary</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(806)</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provided by (used in) financing activities</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(29,827)</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22,727 </w:t>
            </w:r>
          </w:p>
        </w:tc>
        <w:tc>
          <w:tcPr>
            <w:tcW w:w="156"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38,869 </w:t>
            </w:r>
          </w:p>
        </w:tc>
        <w:tc>
          <w:tcPr>
            <w:tcW w:w="22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increase (decrease) in cash and cash equivalents</w:t>
            </w:r>
          </w:p>
        </w:tc>
        <w:tc>
          <w:tcPr>
            <w:tcW w:w="541"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(315,842)</w:t>
            </w:r>
          </w:p>
        </w:tc>
        <w:tc>
          <w:tcPr>
            <w:tcW w:w="18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61,827 </w:t>
            </w:r>
          </w:p>
        </w:tc>
        <w:tc>
          <w:tcPr>
            <w:tcW w:w="15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271,520 </w:t>
            </w:r>
          </w:p>
        </w:tc>
        <w:tc>
          <w:tcPr>
            <w:tcW w:w="22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and cash equivalents at beginning of year</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465,708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403,881 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132,360 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Cash and cash equivalents at end of year</w:t>
            </w:r>
          </w:p>
        </w:tc>
        <w:tc>
          <w:tcPr>
            <w:tcW w:w="54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149,866</w:t>
            </w:r>
            <w:r>
              <w:rPr>
                <w:color w:val="000000"/>
              </w:rPr>
              <w:t> </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465,708 </w:t>
            </w:r>
          </w:p>
        </w:tc>
        <w:tc>
          <w:tcPr>
            <w:tcW w:w="156"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403,881 </w:t>
            </w:r>
          </w:p>
        </w:tc>
        <w:tc>
          <w:tcPr>
            <w:tcW w:w="22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Supplemental disclosure of non-cash investment and financing activities:</w:t>
            </w:r>
          </w:p>
        </w:tc>
        <w:tc>
          <w:tcPr>
            <w:tcW w:w="541"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985"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Partial settlement of share based liability award through issuance of equity</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1,528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property, plant and equipment against trade and other payables</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1,841 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Leasehold improvements purchased through lease incentives (deducted from Right of Use Asset)</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w:t>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1,010 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Conversion of subsidiary convertible note into preferred share liabilities</w:t>
            </w:r>
          </w:p>
        </w:tc>
        <w:tc>
          <w:tcPr>
            <w:tcW w:w="541"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w:t>
            </w:r>
          </w:p>
        </w:tc>
        <w:tc>
          <w:tcPr>
            <w:tcW w:w="804"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04"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25,797 </w:t>
            </w:r>
          </w:p>
        </w:tc>
        <w:tc>
          <w:tcPr>
            <w:tcW w:w="156"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04"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221"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r>
        <w:trPr/>
        <w:tc>
          <w:tcPr>
            <w:tcW w:w="6694" w:type="dxa"/>
            <w:gridSpan w:val="3"/>
            <w:tcBorders/>
            <w:shd w:fill="auto" w:val="clear"/>
            <w:vAlign w:val="center"/>
          </w:tcPr>
          <w:p>
            <w:pPr>
              <w:pStyle w:val="TableContents"/>
              <w:spacing w:before="0" w:after="283"/>
              <w:rPr>
                <w:sz w:val="4"/>
                <w:szCs w:val="4"/>
              </w:rPr>
            </w:pPr>
            <w:r>
              <w:rPr>
                <w:sz w:val="4"/>
                <w:szCs w:val="4"/>
              </w:rPr>
            </w:r>
          </w:p>
        </w:tc>
        <w:tc>
          <w:tcPr>
            <w:tcW w:w="541"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960"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Assets, Liabilities and non controlling interests other than cash in deconsolidated subsidiary</w:t>
      </w:r>
    </w:p>
    <w:tbl>
      <w:tblPr>
        <w:tblW w:w="4668" w:type="dxa"/>
        <w:jc w:val="left"/>
        <w:tblInd w:w="0" w:type="dxa"/>
        <w:tblCellMar>
          <w:top w:w="28" w:type="dxa"/>
          <w:left w:w="28" w:type="dxa"/>
          <w:bottom w:w="28" w:type="dxa"/>
          <w:right w:w="28" w:type="dxa"/>
        </w:tblCellMar>
      </w:tblPr>
      <w:tblGrid>
        <w:gridCol w:w="1338"/>
        <w:gridCol w:w="1181"/>
        <w:gridCol w:w="1185"/>
        <w:gridCol w:w="358"/>
        <w:gridCol w:w="362"/>
        <w:gridCol w:w="244"/>
      </w:tblGrid>
      <w:tr>
        <w:trPr/>
        <w:tc>
          <w:tcPr>
            <w:tcW w:w="1338"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2022</w:t>
            </w:r>
          </w:p>
          <w:p>
            <w:pPr>
              <w:pStyle w:val="TableContents"/>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$000s</w:t>
            </w:r>
          </w:p>
        </w:tc>
      </w:tr>
      <w:tr>
        <w:trPr/>
        <w:tc>
          <w:tcPr>
            <w:tcW w:w="370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payables</w:t>
            </w:r>
          </w:p>
        </w:tc>
        <w:tc>
          <w:tcPr>
            <w:tcW w:w="72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1,407</w:t>
            </w:r>
            <w:r>
              <w:rPr>
                <w:color w:val="000000"/>
              </w:rPr>
              <w:t>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Subsidiary notes payable</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3,403</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Subsidiary preferred shares</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15,853</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 xml:space="preserve">Other assets and liabilities, net </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123</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Non-controlling interest</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(11,904)</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8,882</w:t>
            </w:r>
            <w:r>
              <w:rPr>
                <w:color w:val="000000"/>
              </w:rPr>
              <w:t>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Investment retained in deconsolidated subsidiary</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18,848</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deconsolidation</w:t>
            </w:r>
          </w:p>
        </w:tc>
        <w:tc>
          <w:tcPr>
            <w:tcW w:w="7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(27,251)</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Cash in deconsolidated subsidiary</w:t>
            </w:r>
          </w:p>
        </w:tc>
        <w:tc>
          <w:tcPr>
            <w:tcW w:w="72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3"/>
              </w:rPr>
              <w:t>479</w:t>
            </w:r>
            <w:r>
              <w:rPr>
                <w:color w:val="000000"/>
              </w:rPr>
              <w:t> </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25730"/>
                <wp:effectExtent l="0" t="0" r="0" b="0"/>
                <wp:wrapNone/>
                <wp:docPr id="81" name="Frame8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F-8</w:t>
                      </w:r>
                    </w:p>
                  </w:txbxContent>
                </v:textbox>
              </v:rect>
            </w:pict>
          </mc:Fallback>
        </mc:AlternateContent>
      </w:r>
    </w:p>
    <w:p>
      <w:pPr>
        <w:pStyle w:val="TextBody"/>
        <w:spacing w:before="0" w:after="105"/>
        <w:rPr/>
      </w:pPr>
      <w:r>
        <w:rPr/>
      </w:r>
    </w:p>
    <w:p>
      <w:pPr>
        <w:pStyle w:val="TextBody"/>
        <w:spacing w:lineRule="auto" w:line="288" w:before="0" w:after="180"/>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Notes to the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1.     Accounting policies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Description of Business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Health plc (“PureTech,” the “Parent” or the “Company”) is a public company incorporated, domiciled and registered in the United Kingdom (“UK”). The registered number is 09582467 and the registered address is 8th Floor, 20 Farringdon Street, London EC4A 4AB, United Kingdom.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PureTech’s group financial statements consolidate those of the Company and its subsidiaries (together referred to as the “Group”). The Parent company financial statements present financial information about the Company as a separate entity and not about its Group.</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accounting policies set out below have, unless otherwise stated, been applied consistently to all periods presented in these group financial statements.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of Presentation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consolidated financial statements of the Group are presented as of December 31, 2022 and 2021, and for the years ended December 31, 2022, 2021 and 2020. The Group financial statements have been approved by the Directors on April 27, 2023, and are prepared in accordance with UK-adopted International Financial Reporting Standards (IFRSs). The Consolidated Financial Statements also comply fully with IFRSs as issued by the International Accounting Standards Board (IASB). UK-adopted IFRSs differs in certain respects from IFRS as issued by the IASB. However, the differences have no impact for the periods presented.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presentation of the Consolidated Statements of Comprehensive Income/(Loss), the Company uses a classification based on the function of expenses, rather than based on their nature, as it is more representative of the format used for internal reporting and management purposes and is consistent with international practice.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Certain amounts in the Consolidated Financial Statements and accompanying notes may not add due to rounding. All percentages have been calculated using unrounded amounts.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Basis of Measurement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consolidated financial statements are prepared on the historical cost basis except that the following assets and liabilities are stated at their fair value: investments held at fair value, short-term and convertible note from associate and liabilities classified as fair value through the profit or loss.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Use of Judgments and Estimates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preparing these consolidated financial statements, management has made judgements, estimates and assumptions that affect the application of the Group’s accounting policies and the reported amounts of assets, liabilities, income and expenses. Actual results may differ from these estimates. Estimates and underlying assumptions are reviewed on an on-going basis.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Significant estimation is applied in determining the following:</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Financial instruments valuations (Note 16): when estimating the fair value of subsidiary preferred shares, subsidiary warrants, and subsidiary convertible notes carried at fair value through profit and loss (FVTPL) as well as investments held at fair value, at initial recognition and upon subsequent measurement.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earnings potential of the subsidiary businesses, appropriate discount rate, appropriate volatility, appropriate term to exit and other industry and company specific risk factors.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Significant judgement is also applied in determining the following:</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Subsidiary preferred shares liability classification (Note 15): when determining the classification of financial instruments in terms of liability or equity. These judgements include an assessment of whether the financial instruments include any embedded derivative features, whether they include contractual obligations of the Group to deliver cash or other financial assets or to exchange financial assets or financial liabilities with another party, and whether that obligation will be settled by the Company exchanging a fixed amount of cash or other financial assets for a fixed number of its own equity instruments. Further information about these critical judgements and estimates is included below under Financial Instruments.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When the power to control the subsidiaries exists (please refer to Notes 5 and 6 and accounting policy below Subsidiaries). This judgement includes an assessment of whether the Company has (i) power over the investee; (ii) exposure, or rights, to variable returns from its involvement with the investee; and (iii) the ability to use its power over the investee to affect the amount of the investor’s returns. The Company considers among others its voting shares, shareholder agreements, ability to appoint board members, representation on the board, rights to appoint management, de facto control, investee dependence on the Company etc. If the power to control investees exists we consolidate the financial statements of such investee in the consolidated financial statements of the Group. Upon issuance of new shares in a subsidiary and/or a change in any shareholders or governance agreements, the Group reassesses its ability to control the investee based on the revised voting interest and board composition and revised subsidiary governance and management structure. When such new circumstances result in the Group losing its power to control the investee, the investee is deconsolidated.</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Whether the Company has significant influence over financial and operating policies of investees in order to determine if the Company should account for its investment as an associate based on IAS 28 or based on IFRS 9, Financial Instruments (please refer to Note 5). This judgement includes, among others, an assessment whether the Company has representation on the Board of Directors of the investee, whether the Company participates in the policy making processes of the investee, whether there is any interchange of managerial personnel, whether there is any essential technical information provided to the investee and if there are any transactions between the Company and the investee.</w:t>
      </w:r>
    </w:p>
    <w:p>
      <w:pPr>
        <w:pStyle w:val="HorizontalLine"/>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25730"/>
                <wp:effectExtent l="0" t="0" r="0" b="0"/>
                <wp:wrapNone/>
                <wp:docPr id="82" name="Frame8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F-9</w:t>
                      </w:r>
                    </w:p>
                  </w:txbxContent>
                </v:textbox>
              </v:rect>
            </w:pict>
          </mc:Fallback>
        </mc:AlternateContent>
      </w:r>
    </w:p>
    <w:p>
      <w:pPr>
        <w:pStyle w:val="TextBody"/>
        <w:spacing w:before="0" w:after="105"/>
        <w:rPr/>
      </w:pPr>
      <w:r>
        <w:rPr/>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Upon determining that the Company does have significant influence over the financial and operating policies of an investee, if the Company holds more than a single instrument issued by its equity-accounted investee, judgement is required to determine whether the additional instrument forms part of the investment in the associate, which is accounted for under IAS 28 and scoped out of IFRS 9, or it is a separate financial instrument that falls in the scope of IFRS 9 (please refer to Notes 5 and 6). This judgement includes an assessment of the characteristics of the financial instrument of the investee held by the Company and whether such financial instrument provides access to returns underlying an ownership interest.</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Where the company has other investments in an equity accounted investee that are not accounted for under IAS 28, judgement is required in determining if such investments constitute Long-Term Interests for the purposes of IAS 28 (please refer to Notes 5 and 6).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(please also refer to accounting policy with regard to Investments in Associates below). When the Group considered the individual facts and circumstances of the Group’s investment in its associate's preferred stock in the manner described above, including the long-term nature of such investment, the ability of the Group to convert its preferred stock investment to an investment in common shares and the likelihood of such conversion, we concluded that such investment was considered a Long Term Interest.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2022, the Group had cash and cash equivalents of $149.9 million and short-term investments of $200.2 million. Considering the Group’s and the Company's financial position as of December 31, 2022, and its principal risks and opportunities, a going concern analysis has been prepared for at least the twelve-month period from the date of signing the Consolidated Financial Statements ("the going concern period") utilizing realistic scenarios and applying a severe but plausible downside scenario. Even under the downside scenario, the analysis demonstrates the Group and the Company continue to maintain sufficient liquidity headroom and continue to comply with all financial obligations. The Directors believe the Group and the Company is adequately resourced to continue in operational existence for at least the twelve-month period from the date of signing the Consolidated Financial Statements. Accordingly, the Directors considered it appropriate to adopt the going concern basis of accounting in preparing the Consolidated Financial Statements and the PureTech Health plc Financial Statements.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of consolidation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consolidated financial information as of December 31, 2022 and 2021, and for each of the years ended December 31, 2022, 2021 and 2020, comprises an aggregation of financial information of the Company and the consolidated financial information of PureTech Health LLC (“PureTech LLC”). Intra-group balances and transactions, and any unrealized income and expenses arising from intra-group transactions, are eliminated.</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Subsidiaries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used in these financial statements, the term subsidiaries refers to entities that are controlled by the Group. Financial results of subsidiaries of the Group as of December 31, 2022, are reported within the Internal segment, Controlled Founded Entities segment or the Parent Company and Other section (please refer to Note 4). Under applicable accounting rules, the Group controls an entity when it is exposed to, or has the rights to, variable returns from its involvement with the entity and has the ability to affect those returns through its power over the entity. In assessing control, the Group takes into consideration potential voting rights, board representation, shareholders' agreements, ability to appoint Directors and management, de facto control and other related factors. The financial statements of subsidiaries are included in the consolidated financial statements from the date that control commences until the date that control ceases. Losses applicable to the non-controlling interests in a subsidiary are allocated to the non-controlling interests even if doing so causes the non-controlling interests to have a deficit balance.</w:t>
      </w:r>
    </w:p>
    <w:p>
      <w:pPr>
        <w:pStyle w:val="HorizontalLine"/>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25730"/>
                <wp:effectExtent l="0" t="0" r="0" b="0"/>
                <wp:wrapNone/>
                <wp:docPr id="83" name="Frame8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F-10</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list of all current and former subsidiaries organized with respect to classification as of December 31, 2022, and the Group’s total voting percentage, based on outstanding voting common and preferred shares as of December 31, 2022, 2021 and 2020, is outlined below. All current subsidiaries are domiciled within the United States and conduct business activities solely within the United States. </w:t>
      </w:r>
    </w:p>
    <w:tbl>
      <w:tblPr>
        <w:tblW w:w="10205" w:type="dxa"/>
        <w:jc w:val="left"/>
        <w:tblInd w:w="0" w:type="dxa"/>
        <w:tblCellMar>
          <w:top w:w="28" w:type="dxa"/>
          <w:left w:w="28" w:type="dxa"/>
          <w:bottom w:w="28" w:type="dxa"/>
          <w:right w:w="28" w:type="dxa"/>
        </w:tblCellMar>
      </w:tblPr>
      <w:tblGrid>
        <w:gridCol w:w="1745"/>
        <w:gridCol w:w="1060"/>
        <w:gridCol w:w="1068"/>
        <w:gridCol w:w="353"/>
        <w:gridCol w:w="353"/>
        <w:gridCol w:w="251"/>
        <w:gridCol w:w="353"/>
        <w:gridCol w:w="353"/>
        <w:gridCol w:w="271"/>
        <w:gridCol w:w="141"/>
        <w:gridCol w:w="141"/>
        <w:gridCol w:w="141"/>
        <w:gridCol w:w="307"/>
        <w:gridCol w:w="309"/>
        <w:gridCol w:w="246"/>
        <w:gridCol w:w="308"/>
        <w:gridCol w:w="308"/>
        <w:gridCol w:w="256"/>
        <w:gridCol w:w="141"/>
        <w:gridCol w:w="141"/>
        <w:gridCol w:w="141"/>
        <w:gridCol w:w="307"/>
        <w:gridCol w:w="309"/>
        <w:gridCol w:w="246"/>
        <w:gridCol w:w="307"/>
        <w:gridCol w:w="309"/>
        <w:gridCol w:w="340"/>
      </w:tblGrid>
      <w:tr>
        <w:trPr/>
        <w:tc>
          <w:tcPr>
            <w:tcW w:w="174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2" w:type="dxa"/>
            <w:gridSpan w:val="24"/>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Voting percentage at December 31, through the holdings in</w:t>
            </w:r>
          </w:p>
        </w:tc>
      </w:tr>
      <w:tr>
        <w:trPr/>
        <w:tc>
          <w:tcPr>
            <w:tcW w:w="3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6"/>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423"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6"/>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423"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8" w:type="dxa"/>
            <w:gridSpan w:val="6"/>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Subsidiary</w:t>
            </w:r>
          </w:p>
        </w:tc>
        <w:tc>
          <w:tcPr>
            <w:tcW w:w="95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Common</w:t>
            </w:r>
          </w:p>
        </w:tc>
        <w:tc>
          <w:tcPr>
            <w:tcW w:w="977" w:type="dxa"/>
            <w:gridSpan w:val="3"/>
            <w:tcBorders>
              <w:top w:val="single" w:sz="2" w:space="0" w:color="000000"/>
            </w:tcBorders>
            <w:shd w:fill="auto" w:val="clear"/>
            <w:tcMar>
              <w:left w:w="0" w:type="dxa"/>
              <w:bottom w:w="0" w:type="dxa"/>
              <w:right w:w="0" w:type="dxa"/>
            </w:tcMar>
            <w:vAlign w:val="center"/>
          </w:tcPr>
          <w:p>
            <w:pPr>
              <w:pStyle w:val="TableContents"/>
              <w:spacing w:lineRule="auto" w:line="288" w:before="0" w:after="283"/>
              <w:rPr>
                <w:rFonts w:ascii="Avenir LT Pro 85 Heavy;sans-serif" w:hAnsi="Avenir LT Pro 85 Heavy;sans-serif"/>
                <w:b/>
                <w:sz w:val="14"/>
              </w:rPr>
            </w:pPr>
            <w:r>
              <w:rPr>
                <w:rFonts w:ascii="Avenir LT Pro 85 Heavy;sans-serif" w:hAnsi="Avenir LT Pro 85 Heavy;sans-serif"/>
                <w:b/>
                <w:sz w:val="14"/>
              </w:rPr>
              <w:t>Preferred</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Common</w:t>
            </w:r>
          </w:p>
        </w:tc>
        <w:tc>
          <w:tcPr>
            <w:tcW w:w="872" w:type="dxa"/>
            <w:gridSpan w:val="3"/>
            <w:tcBorders>
              <w:top w:val="single" w:sz="2" w:space="0" w:color="000000"/>
            </w:tcBorders>
            <w:shd w:fill="auto" w:val="clear"/>
            <w:tcMar>
              <w:left w:w="0" w:type="dxa"/>
              <w:bottom w:w="0" w:type="dxa"/>
              <w:right w:w="0" w:type="dxa"/>
            </w:tcMar>
            <w:vAlign w:val="center"/>
          </w:tcPr>
          <w:p>
            <w:pPr>
              <w:pStyle w:val="TableContents"/>
              <w:spacing w:lineRule="auto" w:line="288" w:before="0" w:after="283"/>
              <w:rPr>
                <w:rFonts w:ascii="Avenir LT Pro 45 Book;sans-serif" w:hAnsi="Avenir LT Pro 45 Book;sans-serif"/>
                <w:b w:val="false"/>
                <w:sz w:val="14"/>
              </w:rPr>
            </w:pPr>
            <w:r>
              <w:rPr>
                <w:rFonts w:ascii="Avenir LT Pro 45 Book;sans-serif" w:hAnsi="Avenir LT Pro 45 Book;sans-serif"/>
                <w:b w:val="false"/>
                <w:sz w:val="14"/>
              </w:rPr>
              <w:t>Preferred</w:t>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Common</w:t>
            </w:r>
          </w:p>
        </w:tc>
        <w:tc>
          <w:tcPr>
            <w:tcW w:w="956" w:type="dxa"/>
            <w:gridSpan w:val="3"/>
            <w:tcBorders>
              <w:top w:val="single" w:sz="2" w:space="0" w:color="000000"/>
            </w:tcBorders>
            <w:shd w:fill="auto" w:val="clear"/>
            <w:tcMar>
              <w:left w:w="0" w:type="dxa"/>
              <w:bottom w:w="0" w:type="dxa"/>
              <w:right w:w="0" w:type="dxa"/>
            </w:tcMar>
            <w:vAlign w:val="center"/>
          </w:tcPr>
          <w:p>
            <w:pPr>
              <w:pStyle w:val="TableContents"/>
              <w:spacing w:lineRule="auto" w:line="288" w:before="0" w:after="283"/>
              <w:rPr>
                <w:rFonts w:ascii="Avenir LT Pro 45 Book;sans-serif" w:hAnsi="Avenir LT Pro 45 Book;sans-serif"/>
                <w:b w:val="false"/>
                <w:sz w:val="14"/>
              </w:rPr>
            </w:pPr>
            <w:r>
              <w:rPr>
                <w:rFonts w:ascii="Avenir LT Pro 45 Book;sans-serif" w:hAnsi="Avenir LT Pro 45 Book;sans-serif"/>
                <w:b w:val="false"/>
                <w:sz w:val="14"/>
              </w:rPr>
              <w:t>Preferred</w:t>
            </w:r>
          </w:p>
        </w:tc>
      </w:tr>
      <w:tr>
        <w:trPr/>
        <w:tc>
          <w:tcPr>
            <w:tcW w:w="38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Subsidiary operating companies</w:t>
            </w:r>
          </w:p>
        </w:tc>
        <w:tc>
          <w:tcPr>
            <w:tcW w:w="95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Alivio Therapeutics, Inc.</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91.9 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Entrega, Inc. (indirectly held through Enlight)</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77.3</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83.1 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Follica, Incorporated</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28.7</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56.7</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56.7 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PureTech LYT (formerly Ariya Therapeutics, Inc.) </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LYT-100</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PureTech Management, Inc.</w:t>
            </w:r>
            <w:r>
              <w:rPr>
                <w:rFonts w:ascii="Avenir LT Pro 45 Book;sans-serif" w:hAnsi="Avenir LT Pro 45 Book;sans-serif"/>
                <w:b w:val="false"/>
                <w:color w:val="000000"/>
                <w:sz w:val="11"/>
              </w:rPr>
              <w:t>3</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PureTech Health LLC</w:t>
            </w:r>
            <w:r>
              <w:rPr>
                <w:rFonts w:ascii="Avenir LT Pro 45 Book;sans-serif" w:hAnsi="Avenir LT Pro 45 Book;sans-serif"/>
                <w:b w:val="false"/>
                <w:color w:val="000000"/>
                <w:sz w:val="11"/>
              </w:rPr>
              <w:t>3</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Vedanta Biosciences, Inc.</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48.6 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Vedanta Biosciences Securities Corp. (indirectly held through Vedanta)</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48.6 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Deconsolidated former subsidiary operating companies</w:t>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Sonde Health, Inc.</w:t>
            </w:r>
            <w:r>
              <w:rPr>
                <w:rFonts w:ascii="Avenir LT Pro 45 Book;sans-serif" w:hAnsi="Avenir LT Pro 45 Book;sans-serif"/>
                <w:b w:val="false"/>
                <w:color w:val="000000"/>
                <w:sz w:val="11"/>
              </w:rPr>
              <w:t>1,2,5</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40.2</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51.8 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51.8 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Akili Interactive Labs, Inc.</w:t>
            </w:r>
            <w:r>
              <w:rPr>
                <w:rFonts w:ascii="Avenir LT Pro 45 Book;sans-serif" w:hAnsi="Avenir LT Pro 45 Book;sans-serif"/>
                <w:b w:val="false"/>
                <w:color w:val="000000"/>
                <w:sz w:val="11"/>
              </w:rPr>
              <w:t>6</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14.7</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41.9 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Gelesis, Inc.</w:t>
            </w:r>
            <w:r>
              <w:rPr>
                <w:rFonts w:ascii="Avenir LT Pro 45 Book;sans-serif" w:hAnsi="Avenir LT Pro 45 Book;sans-serif"/>
                <w:b w:val="false"/>
                <w:color w:val="000000"/>
                <w:sz w:val="11"/>
              </w:rPr>
              <w:t>1,2,6</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22.8</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Karuna Therapeutics, Inc.</w:t>
            </w:r>
            <w:r>
              <w:rPr>
                <w:rFonts w:ascii="Avenir LT Pro 45 Book;sans-serif" w:hAnsi="Avenir LT Pro 45 Book;sans-serif"/>
                <w:b w:val="false"/>
                <w:color w:val="000000"/>
                <w:sz w:val="11"/>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3.1</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12.6 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Vor Biopharma Inc.1,2 </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4.1</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16.4 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Nontrading holding companies</w:t>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Avenir LT Pro 45 Book;sans-serif" w:hAnsi="Avenir LT Pro 45 Book;sans-serif"/>
                <w:b w:val="false"/>
                <w:color w:val="000000"/>
                <w:sz w:val="17"/>
              </w:rPr>
              <w:t>Endra Holdings, LLC (held indirectly through Enlight)</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Avenir LT Pro 45 Book;sans-serif" w:hAnsi="Avenir LT Pro 45 Book;sans-serif"/>
                <w:b w:val="false"/>
                <w:color w:val="000000"/>
                <w:sz w:val="17"/>
              </w:rPr>
              <w:t>Ensof Holdings, LLC (held indirectly through Enlight)</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PureTech Securities Corp.</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PureTech Securities II Corp.</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Inactive subsidiaries</w:t>
            </w:r>
          </w:p>
        </w:tc>
        <w:tc>
          <w:tcPr>
            <w:tcW w:w="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Appeering, Inc.</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Commense Inc.</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99.1</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99.1 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Enlight Biosciences, LLC</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6"/>
              </w:rPr>
              <w:t>Ensof Biosystems, Inc. (held indirectly through Enlight)</w:t>
            </w:r>
            <w:r>
              <w:rPr>
                <w:rFonts w:ascii="Avenir LT Pro 45 Book;sans-serif" w:hAnsi="Avenir LT Pro 45 Book;sans-serif"/>
                <w:b w:val="false"/>
                <w:color w:val="000000"/>
                <w:sz w:val="10"/>
              </w:rPr>
              <w:t>1,2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57.7</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28.3</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28.3 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Knode Inc. (indirectly held through Enlight)</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Libra Biosciences, Inc.</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Mandara Sciences, LLC</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98.3</w:t>
            </w: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98.3 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98.3 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3"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r>
      <w:tr>
        <w:trPr/>
        <w:tc>
          <w:tcPr>
            <w:tcW w:w="3873"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Tal Medical, Inc.</w:t>
            </w:r>
            <w:r>
              <w:rPr>
                <w:rFonts w:ascii="Avenir LT Pro 45 Book;sans-serif" w:hAnsi="Avenir LT Pro 45 Book;sans-serif"/>
                <w:b w:val="false"/>
                <w:color w:val="000000"/>
                <w:sz w:val="11"/>
              </w:rPr>
              <w:t>1,2</w:t>
            </w:r>
          </w:p>
        </w:tc>
        <w:tc>
          <w:tcPr>
            <w:tcW w:w="70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0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24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40"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The voting percentage is impacted by preferred shares that are classified as liabilities, which results in the ownership percentage not being the same as the ownership percentage used in allocations to non-controlling interests disclosed in Note 18. The allocation of losses/profits to the noncontrolling interest is based on the holdings of subordinated stock that provide ownership rights in the subsidiaries. The ownership of liability classified preferred shares are quantified in Note 15.</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Registered address is Corporation Trust Center, 1209 Orange St., Wilmington, DE 19801, USA.</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Registered address is 2711 Centerville Rd., Suite 400, Wilmington, DE 19808, USA.</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4    The Company’s interests in its subsidiaries are predominantly in the form of preferred shares, which have a liquidation preference over the common stock, are convertible into common stock at the holder’s discretion or upon certain liquidity events, are entitled to one vote per share on all matters submitted to shareholders for a vote and entitled to receive dividends when and if declared. In the case of Enlight, Mandara and PureTech Health LLC, the holdings are membership interests in an LLC. The holders of common stock are entitled to one vote per share on all matters submitted to shareholders for a vote and entitled to receive dividends when and if declared.</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5    On May 25, 2022 PureTech lost control over Sonde and Sonde was deconsolidated from the Group’s financial statements, resulting in only the profits and losses generated by Sonde through the deconsolidation date being included in the Group’s Consolidated Statement of Comprehensive Income/(Loss). See Notes 5 and 6 for further details about the accounting for the investments in Sonde subsequent to deconsolidation.</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6    See Notes 5 and 6 for the Gelesis and Akili SPAC merger and for the exchange of the Group's preferred stock investments for common stock of those entities.</w:t>
      </w:r>
    </w:p>
    <w:p>
      <w:pPr>
        <w:pStyle w:val="TextBody"/>
        <w:spacing w:before="0" w:after="40"/>
        <w:ind w:left="0" w:right="0" w:hanging="284"/>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Change in subsidiary ownership and loss of control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the Group’s interest in a subsidiary that do not result in a loss of control are accounted for as equity transactions.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Where the Group loses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Associates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used in these financial statements, the term associates are those entities in which the Group has no control but maintains significant influence over the financial and operating policies. Significant influence is presumed to exist when the Group holds between 20 and 50 percent of the voting power of an entity, unless it can be clearly demonstrated that this is not the case. The Group evaluates if it maintains significant influence over associates by assessing if the Group has lost the power to participate in the financial and operating policy decisions of the associate.</w:t>
      </w:r>
    </w:p>
    <w:p>
      <w:pPr>
        <w:pStyle w:val="HorizontalLine"/>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25730"/>
                <wp:effectExtent l="0" t="0" r="0" b="0"/>
                <wp:wrapNone/>
                <wp:docPr id="84" name="Frame8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F-11</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Application of the equity method to associates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Associates are accounted for using the equity method (equity accounted investees) and are initially recognized at cost, or if recognized upon deconsolidation they are initially recorded at fair value at the date of deconsolidation. The consolidated financial statements include the Group’s share of the total comprehensive income and equity movements of equity accounted investees, from the date that significant influence commences until the date that significant influence ceases.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the extent the Group holds interests in associates that are not providing access to returns underlying ownership interests, the instrument held by PureTech is accounted for in accordance with IFRS 9 as investments held at fair value.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When the Group’s share of losses exceeds its equity method investment in the investee, losses are applied against Long-Term Interests, which are investments accounted for under IFRS 9. Investments are determined to be Long-Term Interests when they are long-term in nature and in substance they form part of the Group's net investment in that associate. This determination is impacted by many factors, among others, whether settlement by the investee through redemption or repayment is planned or likely in the foreseeable future, whether the investment can be converted and/or is likely to be converted to common stock or other equity instrument and other factors regarding the nature of the investment. Whilst this assessment is dependent on many specific facts and circumstances of each investment, typically conversion features whereby the investment is likely to convert to common stock or other equity instruments would point to the investment being a Long-Term Interest. Similarly, where the investment is not planned or likely to be settled through redemption or repayment in the foreseeable future, this would indicate that the investment is a Long-Term Interest. When the net investment in the associate, which includes the Group’s investments in other long-term interests, is reduced to nil, recognition of further losses is discontinued except to the extent that the Group has incurred legal or constructive obligations or made payments on behalf of an investee.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also adopted the amendments to IAS 28 Investments in Associates that addresses the dual application of IAS 28 and IFRS 9 (see below) when equity method losses are applied against Long-Term Interests (LTI). The amendments provide the annual sequence in which both standards are to be applied in such a case. The Group has applied the equity method losses to the LTIs presented as part of Investments held at fair value subsequent to remeasuring such investments to their fair value at balance sheet date.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Financial Instruments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Classification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classifies its financial assets in the following measurement categories: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Those to be measured subsequently at fair value (either through other comprehensive income, or through profit or loss), and</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Those to be measured at amortized cost.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classification depends on the Group’s business model for managing the financial assets and the contractual terms of the cash flows.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assets measured at fair value, gains and losses are recorded in profit or loss. For investments in equity instruments that are not held for trading, this will depend on whether the Group has made an irrevocable election at the time of initial recognition to account for the equity investment at FVOCI. As of balance sheet dates, none of the Company's financial assets are accounted for as FVOCI.</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Measurement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At initial recognition, the Group measures a financial asset at its fair value plus, in the case of a financial asset not at FVTPL, transaction costs that are directly attributable to the acquisition of the financial asset. Transaction costs of financial assets that are carried at FVTPL are expensed.</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Impairment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assesses on a forward-looking basis the expected credit losses associated with its debt instruments carried at amortized cost. For trade receivables, the Group applies the simplified approach permitted by IFRS 9, which requires expected lifetime losses to be recognized from initial recognition of the receivables.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Financial Assets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financial assets consist of cash and cash equivalents, investments in debt securities, trade and other receivables, notes, restricted cash deposits and investments in equity securities. The Group’s financial assets are virtually all classified into the following categories: investments held at fair value, notes, trade and other receivables, short-term investments and cash and cash equivalents. The Group determines the classification of financial assets at initial recognition depending on the purpose for which the financial assets were acquired.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 are investments in equity instruments that are not held for trading. Such investments consist of the Group's minority interest holdings where the Group has no significant influence or preferred share investments in the Group's associates that are not providing access to returns underlying ownership interests. These financial assets are initially measured at fair value and subsequently re-measured at fair value at each reporting date. The Company elects if the gain or loss will be recognized in Other Comprehensive Income/(Loss) or through profit and loss on an instrument by instrument basis. The Company has elected to record the changes in fair values for the financial assets falling under this category through profit and loss. Please refer to Note 5.</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Changes in the fair value of financial assets at FVTPL are recognized in other income/(expense) in the Consolidated Statements of Comprehensive Income/(Loss) as applicable.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notes from an associate, since their contractual terms do not consist solely of cash flow payments of principal and interest on the principal amount outstanding, such notes are initially and subsequently measured at fair value, with changes in fair value recognized through profit and 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Short term investments consist of short-term US treasury bills that are held to maturity. The contractual terms consist solely of payment of the principal and the Group's business model is to hold the treasury bills to maturity. As such, such short term </w:t>
      </w:r>
    </w:p>
    <w:p>
      <w:pPr>
        <w:pStyle w:val="HorizontalLine"/>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25730"/>
                <wp:effectExtent l="0" t="0" r="0" b="0"/>
                <wp:wrapNone/>
                <wp:docPr id="85" name="Frame8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F-12</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are recorded at amortized cost. As of balance sheet date amortized cost approximated the fair value of such short-term investments.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 are non-derivative financial assets with fixed and determinable payments that are not quoted on active markets. These financial assets are carried at the amounts expected to be received less any expected lifetime losses. Such losses are determined taking into account previous experience, credit rating and economic stability of counterparty and economic conditions. When a trade receivable is determined to be uncollectible, it is written off against the available provision. As of balance sheet date, The Group did not incur or record any such expected lifetime losses. Trade and other receivables are included in current assets, unless maturities are greater than 12 months after the end of the reporting period.</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Financial Liabilities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financial liabilities consist of trade and other payables, subsidiary notes payable, long-term loan, preferred shares, and warrant liability.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Warrant liabilities are initially recognized at fair value. After initial recognition, these financial liabilities are re-measured at FVTPL using an appropriate valuation technique.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 without embedded derivatives and the long-term loan are accounted for at amortized cost.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majority of the Group’s subsidiaries have preferred shares and certain notes payable with embedded derivatives, which are classified as current liabilities. When the Group has preferred shares and notes with embedded derivatives that qualify for bifurcation, the Group has elected to account for the entire instrument as FVTPL after determining under IFRS 9 that the instrument qualifies to be accounted for under such FVTPL method.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derecognizes a financial liability when its contractual obligations are discharged, cancelled or expire.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Equity Instruments Issued by the Group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instruments issued by the Group are treated as equity only to the extent that they meet the following two conditions, in accordance with IAS 32:</w:t>
      </w:r>
    </w:p>
    <w:p>
      <w:pPr>
        <w:pStyle w:val="TextBody"/>
        <w:spacing w:lineRule="auto" w:line="288" w:before="0" w:after="0"/>
        <w:ind w:left="0" w:right="0" w:hanging="227"/>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1.They include no contractual obligations upon the Group to deliver cash or other financial assets or to exchange financial assets or financial liabilities with another party under conditions that are potentially unfavorable to the Group; and</w:t>
      </w:r>
    </w:p>
    <w:p>
      <w:pPr>
        <w:pStyle w:val="TextBody"/>
        <w:spacing w:lineRule="auto" w:line="288" w:before="0" w:after="100"/>
        <w:ind w:left="0" w:right="0" w:hanging="227"/>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2.Where the instrument will or may be settled in the Group’s own equity instruments, it is either a non-derivative that includes no obligation to deliver a variable number of the Group’s own equity instruments or is a derivative that will be settled by the Group exchanging a fixed amount of cash or other financial assets for a fixed number of its own equity instruments.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the extent that this definition is not met, the financial instrument is classified as a financial liability. Where the instrument so classified takes the legal form of the Group’s own shares, the amounts presented in the Group's shareholders' equity exclude amounts in relation to those shares.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Changes in the fair value of liabilities at FVTPL are recognized in Net finance income (costs) in the Consolidated Statements of Comprehensive Income/(Loss) as applicable.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IFRS 15, Revenue from Contracts with Customers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standard establishes a five-step principle-based approach for revenue recognition and is based on the concept of recognizing an amount that reflects the consideration for performance obligations only when they are satisfied and the control of goods or services is transferred.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majority of the Group’s contract revenue is generated from licenses and services, some of which are part of collaboration arrangements.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Management reviewed contracts where the Group received consideration in order to determine whether or not they should be accounted for in accordance with IFRS 15. To date, PureTech has entered into transactions that generate revenue and meet the scope of either IFRS 15 or IAS 20 Accounting for Government Grants. Contract revenue is recognized at either a point-in-time or over time, depending on the nature of the performance obligations.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accounts for agreements that meet the definition of IFRS 15 by applying the following five step model:</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Identify the contract(s) with a customer – A contract with a customer exists when (i) the Group enters into an enforceable contract with a customer that defines each party’s rights regarding the goods or services to be transferred and identifies the payment terms related to those goods or services, (ii) the contract has commercial substance and, (iii) the Group determines that collection of substantially all consideration for goods or services that are transferred is probable based on the customer’s intent and ability to pay the promised consideration.</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Identify the performance obligations in the contract – Performance obligations promised in a contract are identified based on the goods or services that will be transferred to the customer that are both capable of being distinct, whereby the customer can benefit from the good or service either on its own or together with other resources that are readily available from third parties or from the Group, and are distinct in the context of the contract, whereby the transfer of the goods or services is separately identifiable from other promises in the contract.</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Determine the transaction price – The transaction price is determined based on the consideration to which the Group will be entitled in exchange for transferring goods or services to the customer. To the extent the transaction price includes variable consideration, the Group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Group’s judgement, it is probable that a significant future reversal of cumulative revenue under the contract will not occur.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Allocate the transaction price to the performance obligations in the contract –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w:t>
      </w:r>
    </w:p>
    <w:p>
      <w:pPr>
        <w:pStyle w:val="HorizontalLine"/>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25730"/>
                <wp:effectExtent l="0" t="0" r="0" b="0"/>
                <wp:wrapNone/>
                <wp:docPr id="86" name="Frame8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F-13</w:t>
                      </w:r>
                    </w:p>
                  </w:txbxContent>
                </v:textbox>
              </v:rect>
            </w:pict>
          </mc:Fallback>
        </mc:AlternateContent>
      </w:r>
    </w:p>
    <w:p>
      <w:pPr>
        <w:pStyle w:val="TextBody"/>
        <w:spacing w:before="0" w:after="105"/>
        <w:rPr/>
      </w:pPr>
      <w:r>
        <w:rPr/>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Recognize revenue when (or as) the Group satisfies a performance obligation – The Group satisfies performance obligations either over time or at a point in time as discussed in further detail below. Revenue is recognized at the time the related performance obligation is satisfied by transferring a promised good or service to a customer.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generated from services agreements (typically where licenses and related services were combined into one performance obligation) is determined to be recognized over time when it can be determined that the services meet one of the following: (a) the customer simultaneously receives and consumes the benefits provided by the entity’s performance as the entity performs; (b) the entity’s performance creates or enhances an asset that the customer controls as the asset is created or enhanced; or (c) the entity’s performance does not create an asset with an alternative use to the entity and the entity has an enforceable right to payment for performance completed to date.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 was determined that the Group has contracts that meet criteria (a), since the customer simultaneously receives and consumes the benefits provided by the Company’s performance as the Company performs. Therefore revenue is recognized over time using the input method based on costs incurred to date as compared to total contract costs. The Company believes that in research and development service type agreements using costs incurred to date represents the most faithful depiction of the entity’s performance towards complete satisfaction of a performance obligation.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from licenses that are not part of a combined performance obligation are recognized at a point in time due to the licenses relating to intellectual property that has significant stand-alone functionality and as such represent a right to use the entity's intellectual property as it exists at the point in time at which the license is granted.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Royalty income received in respect of licensing agreements is recognized as the related third party sales in the licensee occur.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Amounts that are receivable or have been received per contractual terms but have not been recognized as revenue since performance has not yet occurred or has not yet been completed are recorded as deferred revenue. The Company classifies as non-current deferred revenue amounts received for which performance is expected to occur beyond one year or one operating cycle.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Grant Income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recognizes grants from governmental agencies as grant income in the Consolidated Statement of Comprehensive Income/(Loss), gross of the expenditures that were related to obtaining the grant, when there is reasonable assurance that the Company will comply with the conditions within the grant agreement and there is reasonable assurance that payments under the grants will be received. The Company evaluates the conditions of each grant as of each reporting date to ensure that the Company has reasonable assurance of meeting the conditions of each grant arrangement and that it is expected that the grant payment will be received as a result of meeting the necessary conditions.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submits qualifying expenses for reimbursement after the Company has incurred the research and development expense. The Company records an unbilled receivable upon incurring such expenses. In cases were grant income is received prior to the expenses being incurred or recognized, the amounts received are deferred until the related expense is incurred and/or recognized. Grant income is recognized in the Consolidated Statements of Comprehensive Income/(Loss) at the time in which the Company recognizes the related reimbursable expense for which the grant is intended to compensate.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Functional and Presentation Currency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These consolidated financial statements are presented in United States dollars (“US dollars”). The functional currency of all members of the Group is the U.S. dollar. The Group's share in foreign exchange differences in associates were reported in Other Comprehensive Income/(Loss).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Foreign Currency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Transactions in foreign currencies are translated to the respective functional currencies of Group entities at the foreign exchange rate ruling at the date of the transaction. Monetary assets and liabilities denominated in foreign currencies at the balance sheet date are retranslated to the functional currency at the foreign exchange rate ruling at that date. Foreign exchange differences arising on remeasurement are recognized in the Consolidated Statement of Comprehensive Income/(Loss). Non-monetary assets and liabilities that are measured in terms of historical cost in a foreign currency are translated using the exchange rate at the date of the transaction.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Cash and Cash Equivalents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 include all highly liquid instruments with original maturities of three months or less.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Share Capital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Ordinary shares are classified as equity. The Group's equity is comprised of share capital, share premium, merger reserve, other reserve, translation reserve, and retained earnings/accumulated deficit.</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Treasury Shares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shares are recognized at cost and are deducted from shareholders' equity. No gain or loss is recognized in profit and loss for the purchase, sale, re-issue or cancellation of the Company's own equity shares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Property and Equipment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Property and equipment is stated at cost less accumulated depreciation and any accumulated impairment losses. Cost includes expenditures that are directly attributable to the acquisition of the asset. Assets under construction represent leasehold improvements and machinery and equipment to be used in operations or research and development activities. When parts of an item of property and equipment have different useful lives, they are accounted for as separate items (major components) of property and equipment. Depreciation is calculated using the straight-line method over the estimated useful life of the related asset: </w:t>
      </w:r>
    </w:p>
    <w:p>
      <w:pPr>
        <w:pStyle w:val="HorizontalLine"/>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25730"/>
                <wp:effectExtent l="0" t="0" r="0" b="0"/>
                <wp:wrapNone/>
                <wp:docPr id="87" name="Frame8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F-14</w:t>
                      </w:r>
                    </w:p>
                  </w:txbxContent>
                </v:textbox>
              </v:rect>
            </w:pict>
          </mc:Fallback>
        </mc:AlternateContent>
      </w:r>
    </w:p>
    <w:p>
      <w:pPr>
        <w:pStyle w:val="TextBody"/>
        <w:spacing w:before="0" w:after="105"/>
        <w:rPr/>
      </w:pPr>
      <w:r>
        <w:rPr/>
      </w:r>
    </w:p>
    <w:tbl>
      <w:tblPr>
        <w:tblW w:w="8489" w:type="dxa"/>
        <w:jc w:val="left"/>
        <w:tblInd w:w="0" w:type="dxa"/>
        <w:tblCellMar>
          <w:top w:w="28" w:type="dxa"/>
          <w:left w:w="28" w:type="dxa"/>
          <w:bottom w:w="28" w:type="dxa"/>
          <w:right w:w="28" w:type="dxa"/>
        </w:tblCellMar>
      </w:tblPr>
      <w:tblGrid>
        <w:gridCol w:w="1314"/>
        <w:gridCol w:w="1155"/>
        <w:gridCol w:w="1161"/>
        <w:gridCol w:w="1415"/>
        <w:gridCol w:w="1415"/>
        <w:gridCol w:w="2029"/>
      </w:tblGrid>
      <w:tr>
        <w:trPr/>
        <w:tc>
          <w:tcPr>
            <w:tcW w:w="1314"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Laboratory and manufacturing equipment</w:t>
            </w:r>
          </w:p>
        </w:tc>
        <w:tc>
          <w:tcPr>
            <w:tcW w:w="485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 years</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Furniture and fixtures</w:t>
            </w:r>
          </w:p>
        </w:tc>
        <w:tc>
          <w:tcPr>
            <w:tcW w:w="4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 years</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Computer equipment and software</w:t>
            </w:r>
          </w:p>
        </w:tc>
        <w:tc>
          <w:tcPr>
            <w:tcW w:w="4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 years</w:t>
            </w:r>
          </w:p>
        </w:tc>
      </w:tr>
      <w:tr>
        <w:trPr/>
        <w:tc>
          <w:tcPr>
            <w:tcW w:w="3630"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Leasehold improvements</w:t>
            </w:r>
          </w:p>
        </w:tc>
        <w:tc>
          <w:tcPr>
            <w:tcW w:w="4859"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5-10 years, or the remaining term of the lease, if shorter</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methods, useful lives and residual values are reviewed at each balance sheet date.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Intangible Assets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Intangible assets, which include purchased patents and licenses with finite useful lives, are carried at historical cost less accumulated amortization, if amortization has commenced. Intangible assets with finite lives are amortized from the time they are available for their intended use. Amortization is calculated using the straight-line method to allocate the costs of patents and licenses over their estimated useful lives.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intangible assets, which are still under development and have accordingly not yet obtained marketing approval, are presented as In-Process Research and Development (IPR&amp;D). IPR&amp;D is not amortized since it is not yet available for its intended use, but it is evaluated for potential impairment on an annual basis or more frequently when facts and circumstances warrant.</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Impairment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Impairment of Non-Financial Assets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reviews the carrying amounts of its property and equipment and intangible assets at each reporting date to determine whether there are indicators of impairment. If any such indicators of impairment exist, then an asset’s recoverable amount is estimated. The recoverable amount is the higher of an asset’s fair value less cost of disposal and value in use.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Company’s IPR&amp;D intangible assets are not yet available for their intended use. As such, they are tested for impairment at least annually.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 impairment loss is recognized when an asset’s carrying amount exceeds its recoverable amount. For the purposes of impairment testing, assets are grouped at the lowest levels for which there are largely independent cash flows. If a non- financial asset instrument is impaired, an impairment loss is recognized in the Consolidated Statements of Comprehensive Income/(Loss).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in associates are considered impaired if, and only if, objective evidence indicates that one or more events, which occurred after the initial recognition, have had an impact on the future cash flows from the net investment and that impact can be reliably estimated. If an impairment exists the Company measures an impairment by comparing the carrying value of the net investment in the associate to its recoverable amount and recording any excess as an impairment loss. See Note 6 for impairment recorded in respect of an investment in associate during the year ended December 31, 2022.</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Employee Benefits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Short-Term Employee Benefits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employee benefit obligations are measured on an undiscounted basis and expensed as the related service is provided. A liability is recognized for the amount expected to be paid if the Group has a present legal or constructive obligation due to past service provided by the employee, and the obligation can be estimated reliably.</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Defined Contribution Plans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defined contribution plan is a post-employment benefit plan under which an entity pays fixed contributions into a separate entity and has no legal or constructive obligation to pay further amounts. Obligations for contributions to defined contribution plans are recognized as an employee benefit expense in the periods during which related services are rendered by employees. Prepaid contributions are recognized as an asset to the extent that a cash refund or a reduction in future payments is available.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Share-based Payments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arrangements, in which the Group receives goods or services as consideration for its own equity instruments, are accounted for as equity-settled share-based payment transactions (except certain restricted stock units - see below) in accordance with IFRS 2, regardless of how the equity instruments are obtained by the Group. The grant date fair value of employee share-based payment awards is recognized as an expense with a corresponding increase in equity over the requisite service period related to the awards. The amount recognized as an expense is adjusted to reflect the actual number of awards for which the related service and non-market performance conditions are expected to be met, such that the amount ultimately recognized as an expense is based on the number of awards that do meet the related service and non-market performance conditions at the vesting date. For share-based payment awards with market conditions, the grant date fair value is measured to reflect such conditions and there is no true-up for differences between expected and actual outcomes.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restricted stock units are treated as liability settled awards starting in 2021. Such awards are remeasured at every reporting date until settlement date and are recognized as compensation expense over the requisite service period. Differences in remeasurement are recognized in profit and loss. The cumulative cost that will ultimately be recognized in respect of these awards will equal to the amount at settlement.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awards is measured using option pricing models and other appropriate models, which take into account the terms and conditions of the awards granted. See further details in Note 8.</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Development Costs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Expenditures on research activities are recognized as incurred in the Consolidated Statements of Comprehensive Income/(Loss). In accordance with IAS 38 development costs are capitalized only if the expenditure can be measured reliably, the product or process is technically and commercially feasible, future economic benefits are probable, the Group can demonstrate its ability to use or sell the intangible asset, the Group intends to and has sufficient resources to complete development and to use or sell the asset, and it is able to measure reliably the expenditure attributable to the intangible asset during its development. The point at which technical feasibility is determined to have been reached is, generally, when regulatory approval has been received where applicable. Management determines that commercial viability has been reached </w:t>
      </w:r>
    </w:p>
    <w:p>
      <w:pPr>
        <w:pStyle w:val="HorizontalLine"/>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25730"/>
                <wp:effectExtent l="0" t="0" r="0" b="0"/>
                <wp:wrapNone/>
                <wp:docPr id="88" name="Frame8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F-15</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when a clear market and pricing point have been identified, which may coincide with achieving meaningful recurring sales. Otherwise, the development expenditure is recognized as incurred in the Consolidated Statements of Comprehensive Income/(Loss). As of balance sheet date the Group has not capitalized any development costs.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Provisions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provision is recognized in the Consolidated Statements of Financial Position when the Group has a present legal or constructive obligation due to a past event that can be reliably measured, and it is probable that an outflow of economic benefits will be required to settle the obligation. Provisions are determined by discounting the expected future cash flows at a pre-tax rate that reflects risks specific to the liability.</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Leases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leases real estate (and some minor equipment) for use in operations. These leases generally have lease terms of 1 to 10 years. The Group includes options that are reasonably certain to be exercised as part of the determination of the lease term. The group determines if an arrangement is a lease at inception of the contract in accordance with guidance detailed in IFRS 16. ROU assets represent the Group’s right to use an underlying asset for the lease term and lease liabilities represent the Group's obligation to make lease payments arising from the lease. Operating lease ROU assets and lease liabilities are recognized at commencement date based on the present value of the lease payments over the lease term. As most of the Group's leases do not provide an implicit rate, The Group used its estimated incremental borrowing rate, based on information available at commencement date, in determining the present value of future payments.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leases are virtually all leases of real estate.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has elected to account for lease payments as an expense on a straight-line basis over the life of the lease for: </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 xml:space="preserve">Leases with a term of 12 months or less and containing no purchase options; and </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 xml:space="preserve">Leases where the underlying asset has a value of less than $5,000.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right-of-use asset is depreciated on a straight-line basis and the lease liability gives rise to an interest charge.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Further information regarding the subleases, right of use asset and lease liability can be found in Note 21.</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Finance Income and Finance Costs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 is comprised of income on funds invested in U.S. treasuries, income on money market funds and income on a finance lease. Financing income is recognized as it is earned. Finance costs comprise mainly of loan, notes and lease liability interest expenses and the changes in the fair value of financial liabilities carried at FVTPL (such changes can consist of finance income when the fair value of such financial liabilities decreases).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on the profit or loss for the year comprises current and deferred income tax. In accordance with IAS 12, tax is recognized in the Consolidated Statements of Comprehensive Income/(Loss) except to the extent that it relates to items recognized directly in equity.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income tax is the expected tax payable or receivable on the taxable income or loss for the year, using tax rates enacted or substantially enacted at the reporting date, and any adjustment to tax payable in respect of previous years.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with respect to investments in associates are recognized only to the extent that it is probable the temporary difference will reverse in the foreseeable future and taxable profit will be available against which the temporary difference can be utilised. Deferred tax assets are reviewed at each reporting date and are reduced to the extent that it is no longer probable that the related tax benefit will be realized.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is measured at the tax rates that are expected to be applied to temporary differences when they reverse, using tax rates enacted or substantively enacted at the reporting date.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Fair Value Measurements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accounting policies require that certain financial assets and certain financial liabilities be measured at their fair value.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uses valuation techniques that are appropriate in the circumstances and for which sufficient data are available to measure fair value, maximizing the use of relevant observable inputs and minimizing the use of unobservable inputs. Fair values are categorized into different levels in a fair value hierarchy based on the inputs used in the valuation techniques as follows: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Level 1: quoted prices (unadjusted) in active markets for identical assets or liabilities.</w:t>
      </w:r>
    </w:p>
    <w:p>
      <w:pPr>
        <w:pStyle w:val="TextBody"/>
        <w:spacing w:lineRule="auto" w:line="288" w:before="0" w:after="0"/>
        <w:ind w:left="0" w:right="0" w:hanging="227"/>
        <w:rPr/>
      </w:pPr>
      <w:r>
        <w:rPr>
          <w:color w:val="000000"/>
        </w:rPr>
        <w:t>•</w:t>
      </w:r>
      <w:r>
        <w:rPr>
          <w:rFonts w:ascii="Avenir LT Pro 45 Book;sans-serif" w:hAnsi="Avenir LT Pro 45 Book;sans-serif"/>
          <w:b w:val="false"/>
          <w:color w:val="000000"/>
          <w:sz w:val="17"/>
        </w:rPr>
        <w:t>Level 2: inputs other than quoted prices included in Level 1 that are observable for the asset or liability, either directly (i.e. as prices) or indirectly (i.e. derived from prices).</w:t>
      </w:r>
    </w:p>
    <w:p>
      <w:pPr>
        <w:pStyle w:val="TextBody"/>
        <w:spacing w:lineRule="auto" w:line="288" w:before="0" w:after="100"/>
        <w:ind w:left="0" w:right="0" w:hanging="227"/>
        <w:rPr/>
      </w:pPr>
      <w:r>
        <w:rPr>
          <w:color w:val="000000"/>
        </w:rPr>
        <w:t>•</w:t>
      </w:r>
      <w:r>
        <w:rPr>
          <w:rFonts w:ascii="Avenir LT Pro 45 Book;sans-serif" w:hAnsi="Avenir LT Pro 45 Book;sans-serif"/>
          <w:b w:val="false"/>
          <w:color w:val="000000"/>
          <w:sz w:val="17"/>
        </w:rPr>
        <w:t>Level 3: inputs for the asset or liability that are not based on observable market data (unobservable inputs).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recognizes transfers between levels of the fair value hierarchy at the end of the reporting period during which the change has occurred.</w:t>
      </w:r>
    </w:p>
    <w:p>
      <w:pPr>
        <w:pStyle w:val="HorizontalLine"/>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25730"/>
                <wp:effectExtent l="0" t="0" r="0" b="0"/>
                <wp:wrapNone/>
                <wp:docPr id="89" name="Frame8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F-16</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carrying amount of cash and cash equivalents, accounts receivable, restricted cash, deposits, accounts payable, accrued expenses and other current liabilities in the Group’s Consolidated Statements of Financial Position approximates their fair value because of the short maturities of these instruments.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Operating Segments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segments are reported in a manner that is consistent with the internal reporting provided to the chief operating decision maker (“CODM”). The CODM reviews discrete financial information for the operating segments in order to assess their performance and is responsible for making decisions about resources allocated to the segments. The CODM has been identified as the Group’s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25730"/>
                <wp:effectExtent l="0" t="0" r="0" b="0"/>
                <wp:wrapNone/>
                <wp:docPr id="90" name="Frame8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F-17</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     New Standards and Interpretations Not Yet Adopted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number of new standards, interpretations, and amendments to existing standards are effective for annual periods commencing on or after January 1, 2023 and have not been applied in preparing the consolidated financial information. The Company’s assessment of the impact of these new standards and interpretations is set out below.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Effective January 1, 2023, the definition of accounting estimates has been amended as an amendment to IAS 8 Accounting Policies, Changes in Accounting Estimates and Errors. The amendments clarify how companies should distinguish changes in accounting policies from changes in accounting estimates. The distinction is important because changes in accounting estimates are applied prospectively only to future transactions and future events, but changes in accounting policies are generally also applied retrospectively to past transactions and other past events. This amendment is not expected to have an impact on the Group's financial statements.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Effective January 1, 2023, IAS 1 has been amended to clarify that liabilities are classified as either current or non-current, depending on the rights that exist at the end of the reporting period. Classification is unaffected by the expectations of the entity or events after the reporting date. The Company does not expect this amendment will have a material impact on its financial statements.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Effective January 1, 2023, IAS 12 is amended to narrow the scope of the initial recognition exemption (IRE) so that it does not apply to transactions that give rise to equal and offsetting temporary differences. As a result, companies will need to recognise a deferred tax asset and a deferred tax liability for temporary differences arising on initial recognition of a lease and a decommissioning provision. The amendment is not expected to have an impact on the Group's financial statements as the Group has already recognized a deferred tax asset and deferred tax liability that arose on initial recognition of its leases (the Group does not have decommissioning provisions).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None of the other new standards, interpretations, and amendments are applicable to the Company’s financial statements and therefore will not have an impact on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3.     Revenue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recorded in the Consolidated Statement of Comprehensive Income/(Loss) consists of the following:</w:t>
      </w:r>
    </w:p>
    <w:tbl>
      <w:tblPr>
        <w:tblW w:w="5483" w:type="dxa"/>
        <w:jc w:val="left"/>
        <w:tblInd w:w="0" w:type="dxa"/>
        <w:tblCellMar>
          <w:top w:w="28" w:type="dxa"/>
          <w:left w:w="28" w:type="dxa"/>
          <w:bottom w:w="28" w:type="dxa"/>
          <w:right w:w="28" w:type="dxa"/>
        </w:tblCellMar>
      </w:tblPr>
      <w:tblGrid>
        <w:gridCol w:w="945"/>
        <w:gridCol w:w="829"/>
        <w:gridCol w:w="835"/>
        <w:gridCol w:w="413"/>
        <w:gridCol w:w="413"/>
        <w:gridCol w:w="181"/>
        <w:gridCol w:w="360"/>
        <w:gridCol w:w="361"/>
        <w:gridCol w:w="181"/>
        <w:gridCol w:w="360"/>
        <w:gridCol w:w="361"/>
        <w:gridCol w:w="244"/>
      </w:tblGrid>
      <w:tr>
        <w:trPr/>
        <w:tc>
          <w:tcPr>
            <w:tcW w:w="94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6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2,090</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8,341 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income</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13,528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3,427 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15,618</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11,768 </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amounts recorded in contract revenue were generated in the United States. For the years ended December 31, 2022, 2021 and 2020 contract revenue includes royalties received from an associate in the amount of $509 thousand, $231 thousand, and $54 thousand,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Primarily all of the Company’s other contracts for the years ended December 31, 2022, 2021 and 2020 were determined to have a single performance obligation which consists of a combined deliverable of license to intellectual property and research and development services (not including the license acquired by Imbrium upon option exercise – see below). Therefore, for such contracts, revenue is recognized over time based on the input method which the Company believes is a faithful depiction of the transfer of goods and services. Progress is measured based on costs incurred to date as compared to total projected costs. Payments for such contracts are primarily made up front on a periodic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2021, the company received a $6.5 million payment from Imbrium Therapeutics, Inc. following the exercise of the option to acquire an exclusive license for the Initial Product Candidate, as defined in the agreement. Since the license transferred was a functional license, revenue from the option exercise was recognized at a point in time upon transfer of the license, which occurred during the year ended December 31,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2020, the Company received a $2.0 million milestone payment from Karuna Therapeutics, Inc. following initiation of its KarXT Phase 3 clinical study pursuant to the Exclusive Patent License Agreement between PureTech and Karuna. This milestone was recognized as revenue during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25730"/>
                <wp:effectExtent l="0" t="0" r="0" b="0"/>
                <wp:wrapNone/>
                <wp:docPr id="91" name="Frame9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F-18</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Disaggregated Revenue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disaggregates contract revenue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w:t>
      </w:r>
    </w:p>
    <w:tbl>
      <w:tblPr>
        <w:tblW w:w="6789" w:type="dxa"/>
        <w:jc w:val="left"/>
        <w:tblInd w:w="0" w:type="dxa"/>
        <w:tblCellMar>
          <w:top w:w="28" w:type="dxa"/>
          <w:left w:w="28" w:type="dxa"/>
          <w:bottom w:w="28" w:type="dxa"/>
          <w:right w:w="28" w:type="dxa"/>
        </w:tblCellMar>
      </w:tblPr>
      <w:tblGrid>
        <w:gridCol w:w="1534"/>
        <w:gridCol w:w="1351"/>
        <w:gridCol w:w="1360"/>
        <w:gridCol w:w="353"/>
        <w:gridCol w:w="353"/>
        <w:gridCol w:w="181"/>
        <w:gridCol w:w="308"/>
        <w:gridCol w:w="308"/>
        <w:gridCol w:w="181"/>
        <w:gridCol w:w="308"/>
        <w:gridCol w:w="308"/>
        <w:gridCol w:w="244"/>
      </w:tblGrid>
      <w:tr>
        <w:trPr/>
        <w:tc>
          <w:tcPr>
            <w:tcW w:w="1534"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Timing of contract revenue recognition</w:t>
            </w:r>
          </w:p>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424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Transferred at a point in time – Licensing Income</w:t>
            </w:r>
            <w:r>
              <w:rPr>
                <w:rFonts w:ascii="Avenir LT Pro 45 Book;sans-serif" w:hAnsi="Avenir LT Pro 45 Book;sans-serif"/>
                <w:b w:val="false"/>
                <w:color w:val="000000"/>
                <w:sz w:val="11"/>
              </w:rPr>
              <w:t>1</w:t>
            </w:r>
          </w:p>
        </w:tc>
        <w:tc>
          <w:tcPr>
            <w:tcW w:w="70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527</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6,809 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2,054 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Transferred over time</w:t>
            </w:r>
            <w:r>
              <w:rPr>
                <w:rFonts w:ascii="Avenir LT Pro 45 Book;sans-serif" w:hAnsi="Avenir LT Pro 45 Book;sans-serif"/>
                <w:b w:val="false"/>
                <w:color w:val="000000"/>
                <w:sz w:val="11"/>
              </w:rPr>
              <w:t>2</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1,563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6,286 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00"/>
              <w:rPr/>
            </w:pPr>
            <w:r>
              <w:rPr/>
            </w:r>
          </w:p>
        </w:tc>
        <w:tc>
          <w:tcPr>
            <w:tcW w:w="7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2,090</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8,341 </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7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1    2022 – Attributed to Non-Controlled Founded Entities segment ( $19 thousand) and to Parent Company and Other ($509 thousand); 2021 – Attributed to the Internal segment ($6,500 thousand), Non-Controlled Founded Entities segment ($74 thousand), and to Parent Company and Other ($235 thousand); 2020 – Attributed to Parent Company and Other. See note 4, Segment information. </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2022 – Attributed to Controlled Founded Entities segment ($1,500 thousand) and to Non-Controlled Founded Entities segment ($63 thousand ); 2021 – Attributed to Internal segment ($1,629 thousand), Non-Controlled Founded Entities segment ($41 thousand), and to Controlled Founded Entities segment ($1,500 thousand). 2020 – Attributed to Internal segment ($5,297 thousand), Controlled Founded Entities segment ($896 thousand), and to Non-Controlled Founded Entities segment ($93 thousand). See Note 4, Segment Information.</w:t>
      </w:r>
    </w:p>
    <w:p>
      <w:pPr>
        <w:pStyle w:val="TextBody"/>
        <w:spacing w:before="0" w:after="40"/>
        <w:rPr/>
      </w:pPr>
      <w:r>
        <w:rPr/>
      </w:r>
    </w:p>
    <w:tbl>
      <w:tblPr>
        <w:tblW w:w="4958" w:type="dxa"/>
        <w:jc w:val="left"/>
        <w:tblInd w:w="0" w:type="dxa"/>
        <w:tblCellMar>
          <w:top w:w="28" w:type="dxa"/>
          <w:left w:w="28" w:type="dxa"/>
          <w:bottom w:w="28" w:type="dxa"/>
          <w:right w:w="28" w:type="dxa"/>
        </w:tblCellMar>
      </w:tblPr>
      <w:tblGrid>
        <w:gridCol w:w="875"/>
        <w:gridCol w:w="768"/>
        <w:gridCol w:w="771"/>
        <w:gridCol w:w="353"/>
        <w:gridCol w:w="353"/>
        <w:gridCol w:w="181"/>
        <w:gridCol w:w="308"/>
        <w:gridCol w:w="308"/>
        <w:gridCol w:w="181"/>
        <w:gridCol w:w="308"/>
        <w:gridCol w:w="308"/>
        <w:gridCol w:w="244"/>
      </w:tblGrid>
      <w:tr>
        <w:trPr/>
        <w:tc>
          <w:tcPr>
            <w:tcW w:w="87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Customers over 10% of revenue</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A</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1,518 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B</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1,500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896 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C</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2,043 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D</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7,250 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1,736 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E</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2,000 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F</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509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2,009</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8,750 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8,193 </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Accounts receivables represent rights to consideration in exchange for products or services that have been transferred by the Group, when payment is unconditional and only the passage of time is required before payment is due. Accounts receivables do not bear interest and are recorded at the invoiced amount. Accounts receivable are included within Trade and other receivables on the Consolidated Statement of Financial Position.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liabilities represent the Group’s obligation to transfer products or services to a customer for which consideration has been received, or for which an amount of consideration is due from the customer. Contract liabilities are included within deferred revenue on the Consolidated Statement of Financial Position.</w:t>
      </w:r>
    </w:p>
    <w:tbl>
      <w:tblPr>
        <w:tblW w:w="4192" w:type="dxa"/>
        <w:jc w:val="left"/>
        <w:tblInd w:w="0" w:type="dxa"/>
        <w:tblCellMar>
          <w:top w:w="28" w:type="dxa"/>
          <w:left w:w="28" w:type="dxa"/>
          <w:bottom w:w="28" w:type="dxa"/>
          <w:right w:w="28" w:type="dxa"/>
        </w:tblCellMar>
      </w:tblPr>
      <w:tblGrid>
        <w:gridCol w:w="970"/>
        <w:gridCol w:w="855"/>
        <w:gridCol w:w="859"/>
        <w:gridCol w:w="263"/>
        <w:gridCol w:w="263"/>
        <w:gridCol w:w="181"/>
        <w:gridCol w:w="233"/>
        <w:gridCol w:w="233"/>
        <w:gridCol w:w="181"/>
        <w:gridCol w:w="154"/>
      </w:tblGrid>
      <w:tr>
        <w:trPr/>
        <w:tc>
          <w:tcPr>
            <w:tcW w:w="97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Contract Balances</w:t>
            </w:r>
          </w:p>
        </w:tc>
        <w:tc>
          <w:tcPr>
            <w:tcW w:w="70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Accounts receivable</w:t>
            </w:r>
          </w:p>
        </w:tc>
        <w:tc>
          <w:tcPr>
            <w:tcW w:w="5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606</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704 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revenue – short term</w:t>
            </w:r>
          </w:p>
        </w:tc>
        <w:tc>
          <w:tcPr>
            <w:tcW w:w="52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6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65 </w:t>
            </w:r>
          </w:p>
        </w:tc>
        <w:tc>
          <w:tcPr>
            <w:tcW w:w="18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2022, $65 thousand of revenue was recognized from deferred revenue outstanding at December 31, 2021.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Remaining performance obligations represent the transaction price of unsatisfied or partially satisfied performance obligations within contracts with an original expected contract term that is greater than one year and for which fulfillment of the contract has started as of the end of the reporting period. The aggregate amount of transaction consideration allocated to remaining performance obligations as of December 31, 2022, was nil.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the deferred revenue balance related entirely to deferred grant income.</w:t>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25730"/>
                <wp:effectExtent l="0" t="0" r="0" b="0"/>
                <wp:wrapNone/>
                <wp:docPr id="92" name="Frame9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F-19</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4.    Segment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Basis for Segmentation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Directors are the Group’s strategic decision-makers. The Group’s operating segments are reported based on the financial information provided to the Directors periodically for the purposes of allocating resources and assessing performance. The Group has determined that each entity is representative of a single operating segment as the Directors monitor the financial results at this level. When identifying the reportable segments the Group has determined that it is appropriate to aggregate multiple operating segments into a single reportable segment given the high level of operational and financial similarities across the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has identified multiple reportable segments as presented below. There was no change to reportable segments in 2022, except for the transfer of Sonde Health, Inc. to the Non-Controlled Founded Entities segment due to the deconsolidation of Sonde Health, Inc (Sonde) on May 25, 2022.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Non-Controlled Founded Entities segment includes Sonde Health, Inc. which was deconsolidated on May 25, 2022. Segment results incorporate the operational results of Sonde Health, Inc. to the date of deconsolidation. Following the date of deconsolidation, the Company accounts for its investment in Sonde Health, Inc. at the parent level, and therefore the results associated with investment activity following the date of deconsolidation (including the Group's share in Sonde losses) is included in the Parent Company and Other section.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has revised in these financial statements the prior year financial information to conform to the presentation as of and for the year ending December 31, 2022 to include Sonde in the Non-Controlled Founded Entities segment. The change in segments reflects how the Company’s Board of Directors reviews the Group’s results, allocates resources and assesses performance of the Group at this time.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Virtually all of the revenue and profit generating activities of the Group are generated within the United States and accordingly, no geographical disclosures are provided.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Internal</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Internal segment (the “Internal segment”), is advancing Wholly Owned Programs which are focused on treatments for patients with devastating diseases. The Internal segment is comprised of the technologies that are wholly owned and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2022, this segment included PureTech LYT, PureTech LYT-100 and Alivio Therapeutics, Inc.</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Controlled Founded Entities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Controlled Founded Entity segment (the “Controlled Founded Entity segment”) is comprised of the Group’s subsidiaries that are currently consolidated operational subsidiaries that either have, or have plans to hire, independent management teams and currently have already raised third-party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company. As of December 31, 2022, this segment included Entrega Inc., Follica Incorporated, and Vedanta Biosciences, Inc.</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Non-Controlled Founded Entities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Non-Controlled Founded Entities segment (the “Non-Controlled Founded Entities segment”) is comprised of the entities in respect of which PureTech Health no longer has control over the entity. Upon deconsolidation of an entity the segment disclosure is restated to reflect the change on a retrospective basis, as this constitutes a change in the composition of its reportable segments. The Non-Controlled Founded Entities segment includes Sonde Health Inc. which was deconsolidated on May 25, 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Non-Controlled Founded Entities segment incorporates the operational results of the aforementioned entity to the date of deconsolidation. Following the date of deconsolidation, the Company accounts for its investment in each entity at the parent level, and therefore the results associated with investment activity (including the recognition of equity method income/ (losses)) following the date of deconsolidation is included in the Parent Company and Other section.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Parent Company and Other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Parent Company and Other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Intercompany transactions between segments consist primarily of management fees charged from the Parent Company to the other segments. This section also captures the accounting for the Company’s holdings in entities for which control has been lost, which is inclusive of the following items: gain on deconsolidation, gain or loss on investments held at fair value, realized loss on sale of investments, the share of net income/ (loss) of associates accounted for using the equity method, gain on dilution of ownership interest in associate, impairment of investment in associate. As of December 31, 2022, this segment included PureTech Health plc, PureTech Health LLC, PureTech Management, Inc., PureTech Securities Corp. and PureTech Securities II Corp., as well as certain other dormant, inactive and shell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25730"/>
                <wp:effectExtent l="0" t="0" r="0" b="0"/>
                <wp:wrapNone/>
                <wp:docPr id="93" name="Frame9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F-20</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Information About Reportable Segments: </w:t>
      </w:r>
    </w:p>
    <w:tbl>
      <w:tblPr>
        <w:tblW w:w="10205" w:type="dxa"/>
        <w:jc w:val="left"/>
        <w:tblInd w:w="0" w:type="dxa"/>
        <w:tblCellMar>
          <w:top w:w="28" w:type="dxa"/>
          <w:left w:w="28" w:type="dxa"/>
          <w:bottom w:w="28" w:type="dxa"/>
          <w:right w:w="28" w:type="dxa"/>
        </w:tblCellMar>
      </w:tblPr>
      <w:tblGrid>
        <w:gridCol w:w="1301"/>
        <w:gridCol w:w="1143"/>
        <w:gridCol w:w="1148"/>
        <w:gridCol w:w="484"/>
        <w:gridCol w:w="487"/>
        <w:gridCol w:w="226"/>
        <w:gridCol w:w="664"/>
        <w:gridCol w:w="353"/>
        <w:gridCol w:w="354"/>
        <w:gridCol w:w="443"/>
        <w:gridCol w:w="443"/>
        <w:gridCol w:w="444"/>
        <w:gridCol w:w="514"/>
        <w:gridCol w:w="457"/>
        <w:gridCol w:w="303"/>
        <w:gridCol w:w="484"/>
        <w:gridCol w:w="487"/>
        <w:gridCol w:w="470"/>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3"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r>
      <w:tr>
        <w:trPr/>
        <w:tc>
          <w:tcPr>
            <w:tcW w:w="3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Internal</w:t>
              <w:br/>
              <w:t>$000s</w:t>
            </w:r>
          </w:p>
        </w:tc>
        <w:tc>
          <w:tcPr>
            <w:tcW w:w="137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Controlled Founded Entities</w:t>
              <w:br/>
              <w:t>$000s</w:t>
            </w:r>
          </w:p>
        </w:tc>
        <w:tc>
          <w:tcPr>
            <w:tcW w:w="133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Non-Controlled Founded</w:t>
              <w:br/>
              <w:t>Entities</w:t>
              <w:br/>
              <w:t>$000s</w:t>
            </w:r>
          </w:p>
        </w:tc>
        <w:tc>
          <w:tcPr>
            <w:tcW w:w="127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 xml:space="preserve">Parent Company &amp; </w:t>
              <w:br/>
              <w:t>Other</w:t>
              <w:br/>
              <w:t>$000s</w:t>
            </w:r>
          </w:p>
        </w:tc>
        <w:tc>
          <w:tcPr>
            <w:tcW w:w="144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Consolidated</w:t>
              <w:br/>
              <w:t>$000s</w:t>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Consolidated Statements of Comprehensive Income/(Loss)</w:t>
            </w:r>
          </w:p>
        </w:tc>
        <w:tc>
          <w:tcPr>
            <w:tcW w:w="119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1,500</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81</w:t>
            </w: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509</w:t>
            </w: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2,090</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2,826</w:t>
            </w: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10,702</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13,528</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2,826</w:t>
            </w:r>
            <w:r>
              <w:rPr>
                <w:color w:val="000000"/>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12,202</w:t>
            </w:r>
            <w:r>
              <w:rPr>
                <w:color w:val="000000"/>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81</w:t>
            </w:r>
            <w:r>
              <w:rPr>
                <w:color w:val="000000"/>
              </w:rPr>
              <w:t> </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509</w:t>
            </w:r>
            <w:r>
              <w:rPr>
                <w:color w:val="000000"/>
              </w:rPr>
              <w:t> </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15,618</w:t>
            </w:r>
            <w:r>
              <w:rPr>
                <w:color w:val="000000"/>
              </w:rPr>
              <w:t> </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(8,301)</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(16,462)</w:t>
            </w:r>
          </w:p>
        </w:tc>
        <w:tc>
          <w:tcPr>
            <w:tcW w:w="35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(1,296)</w:t>
            </w:r>
          </w:p>
        </w:tc>
        <w:tc>
          <w:tcPr>
            <w:tcW w:w="4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(34,933)</w:t>
            </w:r>
          </w:p>
        </w:tc>
        <w:tc>
          <w:tcPr>
            <w:tcW w:w="30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(60,991)</w:t>
            </w:r>
          </w:p>
        </w:tc>
        <w:tc>
          <w:tcPr>
            <w:tcW w:w="470"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(116,054)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(34,668)</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(826)</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(885)</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(152,433)</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val="false"/>
                <w:color w:val="000000"/>
                <w:sz w:val="17"/>
              </w:rPr>
            </w:pPr>
            <w:r>
              <w:rPr>
                <w:rFonts w:ascii="Avenir LT Pro 85 Heavy;sans-serif" w:hAnsi="Avenir LT Pro 85 Heavy;sans-serif"/>
                <w:b w:val="false"/>
                <w:color w:val="000000"/>
                <w:sz w:val="17"/>
              </w:rPr>
              <w:t>Total operating expense</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(124,355)</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(51,130)</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(2,122)</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(35,817)</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(213,425)</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19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deconsolidation of subsidiary</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27,251</w:t>
            </w: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27,251</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(32,060)</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(32,060)</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(29,303)</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(29,303)</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8,338</w:t>
            </w: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8,131</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income/(expense)</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(204)</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(25,775)</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(25,981)</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615</w:t>
            </w: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138,006</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(3,045)</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3,348</w:t>
            </w: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138,924</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associates accounted for using the equity method</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(27,749)</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(27,749)</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dilution of ownership interest in associate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28,220</w:t>
            </w: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28,220</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 of investment in associate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(8,390)</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(8,390)</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(121,118)</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99,075</w:t>
            </w:r>
            <w:r>
              <w:rPr>
                <w:color w:val="000000"/>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(5,085)</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(65,655)</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(92,783)</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183964"/>
              <w:left w:val="single" w:sz="2" w:space="0" w:color="183964"/>
            </w:tcBorders>
            <w:shd w:fill="auto" w:val="clear"/>
            <w:tcMar>
              <w:top w:w="3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 pre IFRS 9 fair value accounting, share-based payment expense, depreciation of tangible assets and amortization of intangible assets</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(114,255)</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(32,468)</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(2,079)</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(57,452)</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(206,254)</w:t>
            </w:r>
          </w:p>
        </w:tc>
        <w:tc>
          <w:tcPr>
            <w:tcW w:w="470" w:type="dxa"/>
            <w:tcBorders>
              <w:top w:val="single" w:sz="2" w:space="0" w:color="000000"/>
              <w:right w:val="single" w:sz="2"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IFRS 9 fair value accounting</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140,056</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(2,993)</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137,063</w:t>
            </w:r>
            <w:r>
              <w:rPr>
                <w:color w:val="000000"/>
              </w:rPr>
              <w:t> </w:t>
            </w:r>
          </w:p>
        </w:tc>
        <w:tc>
          <w:tcPr>
            <w:tcW w:w="470"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expense</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(5,136)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(4,703)</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(4,852)</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(14,699)</w:t>
            </w:r>
          </w:p>
        </w:tc>
        <w:tc>
          <w:tcPr>
            <w:tcW w:w="470"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tangible assets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(1,727)</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(2,526)</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(1,588)</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(5,845)</w:t>
            </w:r>
          </w:p>
        </w:tc>
        <w:tc>
          <w:tcPr>
            <w:tcW w:w="470"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ROU assets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(1,283)</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(1,764)</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(3,047)</w:t>
            </w:r>
          </w:p>
        </w:tc>
        <w:tc>
          <w:tcPr>
            <w:tcW w:w="470"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intangible assets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w:t>
            </w:r>
          </w:p>
        </w:tc>
        <w:tc>
          <w:tcPr>
            <w:tcW w:w="470"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Taxation</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55,719</w:t>
            </w:r>
            <w:r>
              <w:rPr>
                <w:color w:val="000000"/>
              </w:rPr>
              <w:t> </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55,719</w:t>
            </w:r>
            <w:r>
              <w:rPr>
                <w:color w:val="000000"/>
              </w:rPr>
              <w:t> </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for the year</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(121,118)</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99,075</w:t>
            </w:r>
            <w:r>
              <w:rPr>
                <w:color w:val="000000"/>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(5,085)</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(9,936)</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(37,065)</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comprehensive income/(loss)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(379)</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(379)</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comprehensive income/(loss) for the year</w:t>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(121,118)</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99,075</w:t>
            </w:r>
            <w:r>
              <w:rPr>
                <w:color w:val="000000"/>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(5,085)</w:t>
            </w:r>
          </w:p>
        </w:tc>
        <w:tc>
          <w:tcPr>
            <w:tcW w:w="4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(10,316)</w:t>
            </w:r>
          </w:p>
        </w:tc>
        <w:tc>
          <w:tcPr>
            <w:tcW w:w="30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(37,444)</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Total comprehensive income/(loss) attributable to:</w:t>
            </w:r>
          </w:p>
        </w:tc>
        <w:tc>
          <w:tcPr>
            <w:tcW w:w="119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Company</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(121,118)</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85,471</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(4,755)</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(10,331)</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(50,733)</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13,604</w:t>
            </w:r>
            <w:r>
              <w:rPr>
                <w:color w:val="000000"/>
              </w:rPr>
              <w:t> </w:t>
            </w:r>
          </w:p>
        </w:tc>
        <w:tc>
          <w:tcPr>
            <w:tcW w:w="354"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8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(330)</w:t>
            </w:r>
          </w:p>
        </w:tc>
        <w:tc>
          <w:tcPr>
            <w:tcW w:w="444"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71"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w:t>
            </w:r>
            <w:r>
              <w:rPr>
                <w:color w:val="000000"/>
              </w:rPr>
              <w:t> </w:t>
            </w:r>
          </w:p>
        </w:tc>
        <w:tc>
          <w:tcPr>
            <w:tcW w:w="303"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71"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13,290</w:t>
            </w:r>
            <w:r>
              <w:rPr>
                <w:color w:val="000000"/>
              </w:rPr>
              <w:t> </w:t>
            </w:r>
          </w:p>
        </w:tc>
        <w:tc>
          <w:tcPr>
            <w:tcW w:w="470"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3" w:type="dxa"/>
            <w:gridSpan w:val="15"/>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December 31, 2022 $000s</w:t>
            </w:r>
          </w:p>
        </w:tc>
      </w:tr>
      <w:tr>
        <w:trPr/>
        <w:tc>
          <w:tcPr>
            <w:tcW w:w="3592"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Consolidated Statements of Financial Position:</w:t>
            </w:r>
          </w:p>
        </w:tc>
        <w:tc>
          <w:tcPr>
            <w:tcW w:w="1197"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assets</w:t>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51,599</w:t>
            </w:r>
            <w:r>
              <w:rPr>
                <w:color w:val="000000"/>
              </w:rPr>
              <w:t> </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35,341</w:t>
            </w:r>
            <w:r>
              <w:rPr>
                <w:color w:val="000000"/>
              </w:rPr>
              <w:t> </w:t>
            </w:r>
          </w:p>
        </w:tc>
        <w:tc>
          <w:tcPr>
            <w:tcW w:w="35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615,707</w:t>
            </w:r>
            <w:r>
              <w:rPr>
                <w:color w:val="000000"/>
              </w:rPr>
              <w:t> </w:t>
            </w:r>
          </w:p>
        </w:tc>
        <w:tc>
          <w:tcPr>
            <w:tcW w:w="30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702,647</w:t>
            </w:r>
            <w:r>
              <w:rPr>
                <w:color w:val="000000"/>
              </w:rPr>
              <w:t> </w:t>
            </w:r>
          </w:p>
        </w:tc>
        <w:tc>
          <w:tcPr>
            <w:tcW w:w="470"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Total liabilities</w:t>
            </w:r>
            <w:r>
              <w:rPr>
                <w:rFonts w:ascii="Avenir LT Pro 45 Book;sans-serif" w:hAnsi="Avenir LT Pro 45 Book;sans-serif"/>
                <w:b w:val="false"/>
                <w:color w:val="000000"/>
                <w:sz w:val="11"/>
              </w:rPr>
              <w:t>1</w:t>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271,186</w:t>
            </w: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76,635</w:t>
            </w:r>
            <w:r>
              <w:rPr>
                <w:color w:val="000000"/>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(192,763)</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155,057</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2"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Net assets/(liabilities)</w:t>
            </w:r>
          </w:p>
        </w:tc>
        <w:tc>
          <w:tcPr>
            <w:tcW w:w="97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(219,587)</w:t>
            </w:r>
          </w:p>
        </w:tc>
        <w:tc>
          <w:tcPr>
            <w:tcW w:w="22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(41,294)</w:t>
            </w:r>
          </w:p>
        </w:tc>
        <w:tc>
          <w:tcPr>
            <w:tcW w:w="35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4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808,470</w:t>
            </w:r>
            <w:r>
              <w:rPr>
                <w:color w:val="000000"/>
              </w:rPr>
              <w:t> </w:t>
            </w:r>
          </w:p>
        </w:tc>
        <w:tc>
          <w:tcPr>
            <w:tcW w:w="303"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547,589</w:t>
            </w:r>
            <w:r>
              <w:rPr>
                <w:color w:val="000000"/>
              </w:rPr>
              <w:t> </w:t>
            </w:r>
          </w:p>
        </w:tc>
        <w:tc>
          <w:tcPr>
            <w:tcW w:w="470"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Parent Company and Other Includes eliminations of intercompany liabilities between the Parent Company and the reportable segments in the amount of $255.5 million.</w:t>
      </w:r>
    </w:p>
    <w:p>
      <w:pPr>
        <w:pStyle w:val="TextBody"/>
        <w:spacing w:before="0" w:after="40"/>
        <w:rPr/>
      </w:pPr>
      <w:r>
        <w:rPr/>
      </w:r>
    </w:p>
    <w:p>
      <w:pPr>
        <w:pStyle w:val="HorizontalLine"/>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25730"/>
                <wp:effectExtent l="0" t="0" r="0" b="0"/>
                <wp:wrapNone/>
                <wp:docPr id="94" name="Frame9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F-21</w:t>
                      </w:r>
                    </w:p>
                  </w:txbxContent>
                </v:textbox>
              </v:rect>
            </w:pict>
          </mc:Fallback>
        </mc:AlternateContent>
      </w:r>
    </w:p>
    <w:p>
      <w:pPr>
        <w:pStyle w:val="TextBody"/>
        <w:spacing w:before="0" w:after="105"/>
        <w:rPr/>
      </w:pPr>
      <w:r>
        <w:rPr/>
      </w:r>
    </w:p>
    <w:tbl>
      <w:tblPr>
        <w:tblW w:w="10205" w:type="dxa"/>
        <w:jc w:val="left"/>
        <w:tblInd w:w="0" w:type="dxa"/>
        <w:tblCellMar>
          <w:top w:w="28" w:type="dxa"/>
          <w:left w:w="28" w:type="dxa"/>
          <w:bottom w:w="28" w:type="dxa"/>
          <w:right w:w="28" w:type="dxa"/>
        </w:tblCellMar>
      </w:tblPr>
      <w:tblGrid>
        <w:gridCol w:w="1534"/>
        <w:gridCol w:w="1284"/>
        <w:gridCol w:w="1287"/>
        <w:gridCol w:w="422"/>
        <w:gridCol w:w="427"/>
        <w:gridCol w:w="226"/>
        <w:gridCol w:w="580"/>
        <w:gridCol w:w="353"/>
        <w:gridCol w:w="354"/>
        <w:gridCol w:w="430"/>
        <w:gridCol w:w="430"/>
        <w:gridCol w:w="431"/>
        <w:gridCol w:w="474"/>
        <w:gridCol w:w="371"/>
        <w:gridCol w:w="291"/>
        <w:gridCol w:w="423"/>
        <w:gridCol w:w="426"/>
        <w:gridCol w:w="462"/>
      </w:tblGrid>
      <w:tr>
        <w:trPr/>
        <w:tc>
          <w:tcPr>
            <w:tcW w:w="1534"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0"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Internal</w:t>
              <w:br/>
              <w:t>$000s</w:t>
            </w:r>
          </w:p>
        </w:tc>
        <w:tc>
          <w:tcPr>
            <w:tcW w:w="128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br/>
              <w:t>$000s</w:t>
            </w:r>
          </w:p>
        </w:tc>
        <w:tc>
          <w:tcPr>
            <w:tcW w:w="129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Non-Controlled Founded</w:t>
              <w:br/>
              <w:t>Entities</w:t>
              <w:br/>
              <w:t>$000s</w:t>
            </w:r>
          </w:p>
        </w:tc>
        <w:tc>
          <w:tcPr>
            <w:tcW w:w="113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Parent Company &amp;</w:t>
              <w:br/>
              <w:t>Other</w:t>
              <w:br/>
              <w:t>$000s</w:t>
            </w:r>
          </w:p>
        </w:tc>
        <w:tc>
          <w:tcPr>
            <w:tcW w:w="131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Consolidated</w:t>
              <w:br/>
              <w:t>$000s</w:t>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Consolidated Statements of Comprehensive Income/(Loss)</w:t>
            </w:r>
          </w:p>
        </w:tc>
        <w:tc>
          <w:tcPr>
            <w:tcW w:w="1075"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8,129 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235 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1,253 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6,156 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9,382 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7,656 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115 </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235 </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(8,673)</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(17,504)</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(3,225)</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(27,797)</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(65,444)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(40,667)</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(3,116)</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(1,244)</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expenses</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(74,118)</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(58,171)</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(6,341)</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(29,041)</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075"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179,316 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179,316 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1,523 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1,593 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income/(expense)</w:t>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70 </w:t>
            </w:r>
          </w:p>
        </w:tc>
        <w:tc>
          <w:tcPr>
            <w:tcW w:w="35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159,914 </w:t>
            </w:r>
          </w:p>
        </w:tc>
        <w:tc>
          <w:tcPr>
            <w:tcW w:w="2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159,983 </w:t>
            </w:r>
          </w:p>
        </w:tc>
        <w:tc>
          <w:tcPr>
            <w:tcW w:w="462"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7,528 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(784)</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(1,679)</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 accounted for using the equity method</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Income/(loss) before taxes </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(64,753)</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(42,917)</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(7,010)</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55,727 </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183964"/>
              <w:left w:val="single" w:sz="2" w:space="0" w:color="000000"/>
            </w:tcBorders>
            <w:shd w:fill="auto" w:val="clear"/>
            <w:tcMar>
              <w:top w:w="3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(Loss)/income before taxes pre IFRS 9 fair value accounting, finance costs – subsidiary preferred shares, share-based payment expense, depreciation of tangible assets and amortization of intangible assets</w:t>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(60,368)</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(44,335)</w:t>
            </w:r>
          </w:p>
        </w:tc>
        <w:tc>
          <w:tcPr>
            <w:tcW w:w="35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(6,248)</w:t>
            </w:r>
          </w:p>
        </w:tc>
        <w:tc>
          <w:tcPr>
            <w:tcW w:w="43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63,628 </w:t>
            </w:r>
          </w:p>
        </w:tc>
        <w:tc>
          <w:tcPr>
            <w:tcW w:w="2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(47,323)</w:t>
            </w:r>
          </w:p>
        </w:tc>
        <w:tc>
          <w:tcPr>
            <w:tcW w:w="462" w:type="dxa"/>
            <w:tcBorders>
              <w:top w:val="single" w:sz="2" w:space="0" w:color="183964"/>
              <w:right w:val="single" w:sz="2"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75" w:type="dxa"/>
            <w:gridSpan w:val="3"/>
            <w:tcBorders/>
            <w:shd w:fill="auto" w:val="clear"/>
            <w:vAlign w:val="center"/>
          </w:tcPr>
          <w:p>
            <w:pPr>
              <w:pStyle w:val="TableContents"/>
              <w:spacing w:before="0" w:after="283"/>
              <w:rPr>
                <w:sz w:val="4"/>
                <w:szCs w:val="4"/>
              </w:rPr>
            </w:pPr>
            <w:r>
              <w:rPr>
                <w:sz w:val="4"/>
                <w:szCs w:val="4"/>
              </w:rPr>
            </w:r>
          </w:p>
        </w:tc>
        <w:tc>
          <w:tcPr>
            <w:tcW w:w="1287" w:type="dxa"/>
            <w:gridSpan w:val="3"/>
            <w:tcBorders/>
            <w:shd w:fill="auto" w:val="clear"/>
            <w:vAlign w:val="center"/>
          </w:tcPr>
          <w:p>
            <w:pPr>
              <w:pStyle w:val="TableContents"/>
              <w:spacing w:before="0" w:after="283"/>
              <w:rPr>
                <w:sz w:val="4"/>
                <w:szCs w:val="4"/>
              </w:rPr>
            </w:pPr>
            <w:r>
              <w:rPr>
                <w:sz w:val="4"/>
                <w:szCs w:val="4"/>
              </w:rPr>
            </w:r>
          </w:p>
        </w:tc>
        <w:tc>
          <w:tcPr>
            <w:tcW w:w="1291"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IFRS 9 fair value accounting</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10,322 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(716)</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9,606 </w:t>
            </w:r>
          </w:p>
        </w:tc>
        <w:tc>
          <w:tcPr>
            <w:tcW w:w="462"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expense</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(3,066)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(6,224)</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(4,628)</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(13,950)</w:t>
            </w:r>
          </w:p>
        </w:tc>
        <w:tc>
          <w:tcPr>
            <w:tcW w:w="462"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tangible assets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(1,319)</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(1,506)</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(1,510)</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(4,347)</w:t>
            </w:r>
          </w:p>
        </w:tc>
        <w:tc>
          <w:tcPr>
            <w:tcW w:w="462"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ROU assets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(1,174)</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(1,764)</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(2,938)</w:t>
            </w:r>
          </w:p>
        </w:tc>
        <w:tc>
          <w:tcPr>
            <w:tcW w:w="462"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intangible assets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w:t>
            </w:r>
          </w:p>
        </w:tc>
        <w:tc>
          <w:tcPr>
            <w:tcW w:w="462"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Taxation</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(64,753)</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(42,917)</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(7,010)</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51,971 </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comprehensive income/(loss)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for the year</w:t>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(64,753)</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(42,917)</w:t>
            </w:r>
          </w:p>
        </w:tc>
        <w:tc>
          <w:tcPr>
            <w:tcW w:w="35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(7,010)</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51,971 </w:t>
            </w:r>
          </w:p>
        </w:tc>
        <w:tc>
          <w:tcPr>
            <w:tcW w:w="2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attributable to:</w:t>
            </w:r>
          </w:p>
        </w:tc>
        <w:tc>
          <w:tcPr>
            <w:tcW w:w="1075"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Company</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(64,657)</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(41,283)</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(6,574)</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51,956 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(1,634)</w:t>
            </w:r>
          </w:p>
        </w:tc>
        <w:tc>
          <w:tcPr>
            <w:tcW w:w="354"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60"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(436)</w:t>
            </w:r>
          </w:p>
        </w:tc>
        <w:tc>
          <w:tcPr>
            <w:tcW w:w="431"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5"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15 </w:t>
            </w:r>
          </w:p>
        </w:tc>
        <w:tc>
          <w:tcPr>
            <w:tcW w:w="291"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9"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462"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00" w:type="dxa"/>
            <w:gridSpan w:val="15"/>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December 31, 2021 $000s</w:t>
            </w:r>
          </w:p>
        </w:tc>
      </w:tr>
      <w:tr>
        <w:trPr/>
        <w:tc>
          <w:tcPr>
            <w:tcW w:w="4105"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Consolidated Statements of Financial Position:</w:t>
            </w:r>
          </w:p>
        </w:tc>
        <w:tc>
          <w:tcPr>
            <w:tcW w:w="1075"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2" w:space="0" w:color="00154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assets</w:t>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125,726 </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64,508 </w:t>
            </w:r>
          </w:p>
        </w:tc>
        <w:tc>
          <w:tcPr>
            <w:tcW w:w="35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1,765 </w:t>
            </w:r>
          </w:p>
        </w:tc>
        <w:tc>
          <w:tcPr>
            <w:tcW w:w="43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754,007 </w:t>
            </w:r>
          </w:p>
        </w:tc>
        <w:tc>
          <w:tcPr>
            <w:tcW w:w="29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946,006 </w:t>
            </w:r>
          </w:p>
        </w:tc>
        <w:tc>
          <w:tcPr>
            <w:tcW w:w="462"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Total liabilities</w:t>
            </w:r>
            <w:r>
              <w:rPr>
                <w:rFonts w:ascii="Avenir LT Pro 45 Book;sans-serif" w:hAnsi="Avenir LT Pro 45 Book;sans-serif"/>
                <w:b w:val="false"/>
                <w:color w:val="000000"/>
                <w:sz w:val="11"/>
              </w:rPr>
              <w:t>1</w:t>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228,789 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209,212 </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19,645 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(95,787)</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361,859 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(liabilities)/assets</w:t>
            </w:r>
          </w:p>
        </w:tc>
        <w:tc>
          <w:tcPr>
            <w:tcW w:w="84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(103,063)</w:t>
            </w:r>
          </w:p>
        </w:tc>
        <w:tc>
          <w:tcPr>
            <w:tcW w:w="22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(144,704)</w:t>
            </w:r>
          </w:p>
        </w:tc>
        <w:tc>
          <w:tcPr>
            <w:tcW w:w="35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(17,880)</w:t>
            </w:r>
          </w:p>
        </w:tc>
        <w:tc>
          <w:tcPr>
            <w:tcW w:w="43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849,794 </w:t>
            </w:r>
          </w:p>
        </w:tc>
        <w:tc>
          <w:tcPr>
            <w:tcW w:w="29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584,147 </w:t>
            </w:r>
          </w:p>
        </w:tc>
        <w:tc>
          <w:tcPr>
            <w:tcW w:w="462"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Parent Company and Other Includes eliminations of intercompany liabilities between the Parent Company and the reportable segments in the amount of $233.3 million.</w:t>
      </w:r>
    </w:p>
    <w:p>
      <w:pPr>
        <w:pStyle w:val="TextBody"/>
        <w:spacing w:before="0" w:after="4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proportion of net assets shown above that is attributable to non-controlling interest is disclosed in Note 18.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25730"/>
                <wp:effectExtent l="0" t="0" r="0" b="0"/>
                <wp:wrapNone/>
                <wp:docPr id="95" name="Frame9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F-22</w:t>
                      </w:r>
                    </w:p>
                  </w:txbxContent>
                </v:textbox>
              </v:rect>
            </w:pict>
          </mc:Fallback>
        </mc:AlternateContent>
      </w:r>
    </w:p>
    <w:p>
      <w:pPr>
        <w:pStyle w:val="TextBody"/>
        <w:spacing w:before="0" w:after="105"/>
        <w:rPr/>
      </w:pPr>
      <w:r>
        <w:rPr/>
      </w:r>
    </w:p>
    <w:tbl>
      <w:tblPr>
        <w:tblW w:w="10205" w:type="dxa"/>
        <w:jc w:val="left"/>
        <w:tblInd w:w="0" w:type="dxa"/>
        <w:tblCellMar>
          <w:top w:w="28" w:type="dxa"/>
          <w:left w:w="28" w:type="dxa"/>
          <w:bottom w:w="28" w:type="dxa"/>
          <w:right w:w="28" w:type="dxa"/>
        </w:tblCellMar>
      </w:tblPr>
      <w:tblGrid>
        <w:gridCol w:w="1594"/>
        <w:gridCol w:w="1338"/>
        <w:gridCol w:w="1341"/>
        <w:gridCol w:w="372"/>
        <w:gridCol w:w="374"/>
        <w:gridCol w:w="226"/>
        <w:gridCol w:w="494"/>
        <w:gridCol w:w="357"/>
        <w:gridCol w:w="358"/>
        <w:gridCol w:w="432"/>
        <w:gridCol w:w="432"/>
        <w:gridCol w:w="434"/>
        <w:gridCol w:w="474"/>
        <w:gridCol w:w="373"/>
        <w:gridCol w:w="294"/>
        <w:gridCol w:w="424"/>
        <w:gridCol w:w="427"/>
        <w:gridCol w:w="461"/>
      </w:tblGrid>
      <w:tr>
        <w:trPr/>
        <w:tc>
          <w:tcPr>
            <w:tcW w:w="1594"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2"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4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Internal</w:t>
              <w:br/>
              <w:t>$000s</w:t>
            </w:r>
          </w:p>
        </w:tc>
        <w:tc>
          <w:tcPr>
            <w:tcW w:w="12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br/>
              <w:t>$000s</w:t>
            </w:r>
          </w:p>
        </w:tc>
        <w:tc>
          <w:tcPr>
            <w:tcW w:w="129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Non-Controlled Founded</w:t>
              <w:br/>
              <w:t>Entities</w:t>
              <w:br/>
              <w:t>$000s</w:t>
            </w:r>
          </w:p>
        </w:tc>
        <w:tc>
          <w:tcPr>
            <w:tcW w:w="114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Parent Company &amp;</w:t>
              <w:br/>
              <w:t>Other</w:t>
              <w:br/>
              <w:t>$000s</w:t>
            </w:r>
          </w:p>
        </w:tc>
        <w:tc>
          <w:tcPr>
            <w:tcW w:w="131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Consolidated</w:t>
              <w:br/>
              <w:t>$000s</w:t>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Consolidated Statements of Comprehensive Loss</w:t>
            </w:r>
          </w:p>
        </w:tc>
        <w:tc>
          <w:tcPr>
            <w:tcW w:w="97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5,297 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896 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2,054 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8,341 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1,563 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1,864 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3,427 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6,860 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2,760 </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93 </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2,054 </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11,768 </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(3,482)</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(10,752)</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(2,939)</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(32,267)</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(49,440)</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(45,346)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(33,152)</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(3,128)</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(81,859)</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(48,828)</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(43,904)</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(6,067)</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(32,500)</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(131,299)</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97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232,674 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232,674 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(54,976)</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(54,976)</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disposal of assets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965 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1,065 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85 </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178,662 </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178,732 </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(4,352)</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(852)</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(930)</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(6,115)</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 accounted for using the equity method</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(34,117)</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(34,117)</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before taxes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(41,964)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(45,410)</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(6,826)</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113,170 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18,969 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(Loss)/income before taxes pre IAS 39 fair value accounting, finance costs – subsidiary preferred shares, share-based payment expense, depreciation of tangible assets and amortization of intangible assets</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(38,349)</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(36,736)</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(5,866)</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121,644 </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40,694 </w:t>
            </w:r>
          </w:p>
        </w:tc>
        <w:tc>
          <w:tcPr>
            <w:tcW w:w="461" w:type="dxa"/>
            <w:tcBorders>
              <w:top w:val="single" w:sz="2" w:space="0" w:color="000000"/>
              <w:right w:val="single" w:sz="2"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IFRS 9 fair value accounting</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(3,492)</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(859)</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(4,351)</w:t>
            </w:r>
          </w:p>
        </w:tc>
        <w:tc>
          <w:tcPr>
            <w:tcW w:w="461"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expense</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(2,762)</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(2,469)</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(5,405)</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(10,718)</w:t>
            </w:r>
          </w:p>
        </w:tc>
        <w:tc>
          <w:tcPr>
            <w:tcW w:w="461"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tangible assets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(1,528)</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(1,547)</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(3,945)</w:t>
            </w:r>
          </w:p>
        </w:tc>
        <w:tc>
          <w:tcPr>
            <w:tcW w:w="461"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left w:val="single" w:sz="2" w:space="0" w:color="000000"/>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ROU assets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(1,523)</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(2,709)</w:t>
            </w:r>
          </w:p>
        </w:tc>
        <w:tc>
          <w:tcPr>
            <w:tcW w:w="461" w:type="dxa"/>
            <w:tcBorders>
              <w:right w:val="single" w:sz="2"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left w:val="single" w:sz="2" w:space="0" w:color="183964"/>
            </w:tcBorders>
            <w:shd w:fill="auto" w:val="clear"/>
            <w:tcMar>
              <w:top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 of intangible assets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461" w:type="dxa"/>
            <w:tcBorders>
              <w:right w:val="single" w:sz="2" w:space="0" w:color="183964"/>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Taxation</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(14,400)</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(41,964)</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(45,411)</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(6,826)</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98,769 </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4,568 </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comprehensive income/(loss)</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for the year</w:t>
            </w:r>
          </w:p>
        </w:tc>
        <w:tc>
          <w:tcPr>
            <w:tcW w:w="7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(41,964)</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(45,411)</w:t>
            </w:r>
          </w:p>
        </w:tc>
        <w:tc>
          <w:tcPr>
            <w:tcW w:w="3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(6,826)</w:t>
            </w:r>
          </w:p>
        </w:tc>
        <w:tc>
          <w:tcPr>
            <w:tcW w:w="4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99,238 </w:t>
            </w:r>
          </w:p>
        </w:tc>
        <w:tc>
          <w:tcPr>
            <w:tcW w:w="29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5,037 </w:t>
            </w:r>
          </w:p>
        </w:tc>
        <w:tc>
          <w:tcPr>
            <w:tcW w:w="4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attributable to:</w:t>
            </w:r>
          </w:p>
        </w:tc>
        <w:tc>
          <w:tcPr>
            <w:tcW w:w="97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Company</w:t>
            </w:r>
          </w:p>
        </w:tc>
        <w:tc>
          <w:tcPr>
            <w:tcW w:w="7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(41,773)</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(44,506)</w:t>
            </w:r>
          </w:p>
        </w:tc>
        <w:tc>
          <w:tcPr>
            <w:tcW w:w="3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(6,519)</w:t>
            </w:r>
          </w:p>
        </w:tc>
        <w:tc>
          <w:tcPr>
            <w:tcW w:w="4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99,253 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6,454 </w:t>
            </w:r>
          </w:p>
        </w:tc>
        <w:tc>
          <w:tcPr>
            <w:tcW w:w="4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74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(191)</w:t>
            </w:r>
          </w:p>
        </w:tc>
        <w:tc>
          <w:tcPr>
            <w:tcW w:w="226"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1"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(905)</w:t>
            </w:r>
          </w:p>
        </w:tc>
        <w:tc>
          <w:tcPr>
            <w:tcW w:w="358"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64"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(306)</w:t>
            </w:r>
          </w:p>
        </w:tc>
        <w:tc>
          <w:tcPr>
            <w:tcW w:w="434"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7"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294"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51"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(1,417)</w:t>
            </w:r>
          </w:p>
        </w:tc>
        <w:tc>
          <w:tcPr>
            <w:tcW w:w="461"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960" w:type="dxa"/>
            <w:gridSpan w:val="12"/>
            <w:tcBorders/>
            <w:shd w:fill="auto" w:val="clea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r>
        <w:trPr/>
        <w:tc>
          <w:tcPr>
            <w:tcW w:w="4273"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1209" w:type="dxa"/>
            <w:gridSpan w:val="3"/>
            <w:tcBorders/>
            <w:shd w:fill="auto" w:val="clear"/>
            <w:vAlign w:val="center"/>
          </w:tcPr>
          <w:p>
            <w:pPr>
              <w:pStyle w:val="TableContents"/>
              <w:spacing w:before="0" w:after="283"/>
              <w:rPr>
                <w:sz w:val="4"/>
                <w:szCs w:val="4"/>
              </w:rPr>
            </w:pPr>
            <w:r>
              <w:rPr>
                <w:sz w:val="4"/>
                <w:szCs w:val="4"/>
              </w:rPr>
            </w:r>
          </w:p>
        </w:tc>
        <w:tc>
          <w:tcPr>
            <w:tcW w:w="1298"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31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25730"/>
                <wp:effectExtent l="0" t="0" r="0" b="0"/>
                <wp:wrapNone/>
                <wp:docPr id="96" name="Frame9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F-23</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5.     Investments held at fair value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 include both unlisted and listed securities held by PureTech. These investments, which include interests in Akili, Vor, Karuna, Gelesis (preferred shares until exchanged for common stock, accounted for under the equity method, and Earn-out shares following exchange), Sonde and other insignificant investments, are initially measured at fair value and are subsequently re-measured at fair value at each reporting date with changes in the fair value recorded through profit and loss. Interests in these investments were accounted for as shown below:</w:t>
      </w:r>
    </w:p>
    <w:tbl>
      <w:tblPr>
        <w:tblW w:w="10205" w:type="dxa"/>
        <w:jc w:val="left"/>
        <w:tblInd w:w="0" w:type="dxa"/>
        <w:tblCellMar>
          <w:top w:w="28" w:type="dxa"/>
          <w:left w:w="28" w:type="dxa"/>
          <w:bottom w:w="28" w:type="dxa"/>
          <w:right w:w="28" w:type="dxa"/>
        </w:tblCellMar>
      </w:tblPr>
      <w:tblGrid>
        <w:gridCol w:w="3299"/>
        <w:gridCol w:w="2842"/>
        <w:gridCol w:w="2865"/>
        <w:gridCol w:w="472"/>
        <w:gridCol w:w="474"/>
        <w:gridCol w:w="253"/>
      </w:tblGrid>
      <w:tr>
        <w:trPr/>
        <w:tc>
          <w:tcPr>
            <w:tcW w:w="3299"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Investments held at fair value</w:t>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553,167 </w:t>
            </w:r>
          </w:p>
        </w:tc>
        <w:tc>
          <w:tcPr>
            <w:tcW w:w="25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Sale of Karuna shares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(218,125)</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realised on sale of investments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purchase of Vor preferred shares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500 </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 change in fair value through profit and loss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179,271 </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 and January 1, 2022 before allocation of share in associate loss to long-term interest (*)</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493,888 </w:t>
            </w:r>
          </w:p>
        </w:tc>
        <w:tc>
          <w:tcPr>
            <w:tcW w:w="25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Sonde Preferred shares – Sonde deconsolidation</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11,168 </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Sale of Karuna and Vor shares </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(118,710)</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realised on sale of investments as a result of written call option</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(29,303)</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Investment (Akili)</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5,000 </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Earn out shares received in SPAC exchange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14,214 </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Exchange of Gelesis preferred shares to Gelesis common shares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(92,303)</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 change in fair value through profit and loss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(32,060)</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top w:val="single" w:sz="2" w:space="0" w:color="000000"/>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 xml:space="preserve">Balance as of December 31, 2022 </w:t>
            </w:r>
          </w:p>
        </w:tc>
        <w:tc>
          <w:tcPr>
            <w:tcW w:w="946"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45 Book;sans-serif" w:hAnsi="Avenir LT Pro 45 Book;sans-serif"/>
                <w:b/>
                <w:color w:val="183964"/>
                <w:sz w:val="17"/>
              </w:rPr>
              <w:t>251,892</w:t>
            </w:r>
            <w:r>
              <w:rPr>
                <w:color w:val="183964"/>
              </w:rPr>
              <w:t> </w:t>
            </w:r>
          </w:p>
        </w:tc>
        <w:tc>
          <w:tcPr>
            <w:tcW w:w="253"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r>
        <w:trPr/>
        <w:tc>
          <w:tcPr>
            <w:tcW w:w="9006"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Share in associate losses allocated to long-term interest amounted to $96.7 million as of December 31, 2021 and January 1, 2022</w:t>
      </w:r>
    </w:p>
    <w:p>
      <w:pPr>
        <w:pStyle w:val="TextBody"/>
        <w:spacing w:before="0" w:after="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Vor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Vor was deconsolidated in February 2019. As PureTech did not hold common shares in Vor upon deconsolidation and the preferred shares it held did not have equity-like features, PureTech had no basis to account for its investment in Vor under IAS 28. The preferred shares held by PureTech fell under the guidance of IFRS 9 and were treated as a financial asset held at fair value with changes in fair value recorded in the Consolidated Statement of Comprehensive Income/(Loss).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February 12, 2020, PureTech participated in the second closing of Vor’s Series A-2 Preferred Share financing. For consideration of $0.7 million, PureTech received 1,625,000 A-2 shares. On June 30, 2020, PureTech participated in the first closing of Vor’s Series B Preferred Share financing. For consideration of $0.5 million, PureTech received 961,538 shares. Upon the conclusion of such Vor financings PureTech no longer had significant influence over Vor. </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January 8, 2021, PureTech participated in the second closing of Vor’s Series B Preferred Share financing. For consideration of $0.5 million, PureTech received an additional 961,538 B Preferred shares.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9, 2021, Vor closed its initial public offering (IPO) of 9,828,017 shares of its common stock at a price to the public of $18.00 per share. Subsequent to the closing, PureTech held 3,207,200 shares of Vor common stock, representing 8.6 percent of Vor common stock. Following its IPO, the valuation of Vor common stock is based on level 1 inputs in the fair value hierarchy. See Note 16.</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August and December 2022, PureTech sold an aggregate of 535,400 shares of Vor common shares for aggregate proceeds of $3.3 million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2022, 2021 and 2020, the Company recognized a loss of $16.2 million, a gain of $3.9 million, and a gain of $19.1 million, respectively for the changes in the fair value of the investment that were recorded in the line item Gain/(loss) on investments held at fair value within the Consolidated Statement of Comprehensive Income/(Loss). Please refer to Note 16 for information regarding the valuation of these instruments.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was deconsolidated in July 2019. The common stock held in Gelesis is accounted for under the equity method, while the preferred shares and warrants held by PureTech fell under the guidance of IFRS 9 and were treated as financial assets held at fair value, where changes to the fair value of the preferred shares and warrant were recorded through the Consolidated Statement of Income/(Loss). Please refer to Note 6 for information regarding the Company's investment in Gelesis as an associate.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1, 2020, PureTech participated in the 2nd closing of Gelesis’s Series 3 Growth Preferred Share financing. For consideration of $10.0 million, PureTech received 579,038 Series 3 Growth shares.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2020 and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2021 and 2020, due to the equity method based investment in Gelesis being reduced to zero, the Group allocated a portion of its share in the net loss in Gelesis in the years ended December 31, 2021 and 2020, totaling $73.7 million, and $23.0 million, respectively, to its preferred share and warrant investments in Gelesis, which were considered to be long-term interests in Gelesis.</w:t>
      </w:r>
    </w:p>
    <w:p>
      <w:pPr>
        <w:pStyle w:val="HorizontalLine"/>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25730"/>
                <wp:effectExtent l="0" t="0" r="0" b="0"/>
                <wp:wrapNone/>
                <wp:docPr id="97" name="Frame9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F-24</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January 13, 2022, Gelesis completed its business combination with Capstar Special Purpose Acquisition Corp ("Capstar"). As part of the business combination, all shares in Gelesis, common and preferred, including the shares held by PureTech, were exchanged for common shares of the merged entity and unvested common shares that will vest upon the stock price of the new combined entity reaching certain target prices (hereinafter "Earn-out shares"). In addition, PureTech invested $15.0 million in the class A common shares of Capstar as part of the Private Investment in Public Equity ("PIPE") transaction that took place immediately prior to the closing of the business combination and an additional approximately $5.0 million, as part of the Backstop agreement signed with Capstar on December 30, 2021 (See Note 6). Pursuant to the business combination, Gelesis became a wholly-owned subsidiary of Capstar and Capstar changed its name to Gelesis Holdings, Inc., which began trading on the New York Stock Exchange under the ticker symbol "GLS" on January 14, 2022. The exchange of the preferred stock (including warrants) for common stock (including common stock warrants) represents an additional investment in Gelesis equity investment. The Group recorded the changes in fair value of the preferred stock (including warrant) through the date of the exchange upon which the preferred stock were derecognized and recorded as an additional investment in Gelesis equity interest – See Note 6 for the net gain on the dilution of the equity interest in Gelesis, resulting from the exchange of all preferred stock in Gelesis to common stock of Gelesis Holdings Inc, the PIPE transaction and the closing of the merger. All equity method losses allocated in prior periods against the investment in Gelesis held at fair value are now included within the equity method investment in Gelesis and were offset against the gain on dilution of interest – see Note 6.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part of the aforementioned exchange PureTech received 4,526,622 Earn-out shares, which were valued on the date of the exchange at $14.2 million. The Group accounts for such Earn-out shares under IFRS 9 as investments held at fair value with changes in fair value recorded through profit and 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years ended December 31, 2022, 2021 and 2020, the Company recognized a loss of $4.4 million, a gain of $34.6 million, and a gain of $7.1 million, respectively related to the change in the fair value of the preferred shares and warrants that was recorded in the line item Gain/(loss) on investments held at fair value within the Consolidated Statement of Comprehensive Income/(Loss).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the Company recognized a loss of $14.1 million during the year ended December 31, 2022 in respect of the Earn-out shares, for the change in the fair value related to such investment during the period. As of December 31, 2022 the value of such earn-out shares amounted to $0.1 million.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Karuna</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Karuna was deconsolidated in March 2019. During 2019 Karuna completed its IPO and PureTech lost its significant influence in Karuna. The shares held in Karuna are accounted for as an investment held at fair value.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22, 2020, PureTech sold 2,100,000 shares of Karuna common shares for aggregate proceeds of $200.9 million. On May 26, 2020, PureTech sold an additional 555,500 Karuna common shares for aggregate proceeds of $45.0 million. On August 26, 2020, PureTech sold 1,333,333 common shares of Karuna for aggregate proceeds of $101.6 million. As a result of the sales, Puretech recorded a loss of $54.8 million attributable to blockage discount included in the sales price, to the line item Loss Realized on Sale of Investment within the Consolidated Statement of Comprehensive Income/(Loss). See below for gain recorded in respect of the change in fair value of the Karuna investment.</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9, 2021, the Group sold 1,000,000 common shares of Karuna for $118.0 million. Following the sale the Group held 2,406,564 common shares of Karuna, which represented 8.2 percent of Karuna common stock at the time of sale. On November 9, 2021, the group sold an additional 750,000 common shares of Karuna for $100.1 million. Following the sale the group holds 1,656,564 common shares of Karuna, which represented 5.6 percent at time of sale. As a result of the aforementioned sales, the Company recorded a loss of $20.9 million, attributable to blockage discount included in the sales price, to the line item Loss Realised on Sale of Investment within the Consolidated Statement of Comprehensive Income/ (Loss). See below for gain recorded in respect of the change in fair value of the Karuna investment.</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August 8, 2022, the Company sold 125,000 shares of Karuna common stock. In addition, the Company wrote a series of call options entitling the holders thereof to purchase up to 477,100 Karuna common stock at a set price, which were exercised in full in August and September 2022. Aggregate proceeds to the Company from all aforementioned transactions amounted to $115.5 million, net of transaction fees. As a result of the aforementioned sales, the Company recorded a loss of $29.3 million, attributable to the exercise of the aforementioned call options, to the line item Realized Loss on Sale of Investment within the Consolidated Statement of Comprehensive Income/ (Loss).See below for gain recorded in respect of the change in fair value of the Karuna investment.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2022, 2021, and 2020 the Company recognized gains of $135.0 million, $110.0 million and $191.2 million, respectively for the changes in the fair value of the Karuna investment that were recorded in the line item Gain/(loss) on investments held at fair value within the Consolidated Statement of Comprehensive Income/(Loss). As of December 31, 2022, PureTech continued to hold Karuna common shares or 3.1 percent of total outstanding Karuna common shares. Please refer to Note 16 for information regarding the valuation of these instruments.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Akili</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Akili was deconsolidated in 2018. As PureTech did not hold common shares in Akili and the preferred shares it held did not have equity-like features, PureTech had no basis to account for its investment in Akili under IAS 28. The preferred shares held by PureTech Health fell under the guidance of IFRS 9 and were treated as a financial asset held at fair value and all movements to the value of the preferred shares were recorded through the Consolidated Statements of Comprehensive Income/(Loss), in accordance with IFRS 9. </w:t>
      </w:r>
    </w:p>
    <w:p>
      <w:pPr>
        <w:pStyle w:val="HorizontalLine"/>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25730"/>
                <wp:effectExtent l="0" t="0" r="0" b="0"/>
                <wp:wrapNone/>
                <wp:docPr id="98" name="Frame9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F-25</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2021, Akili completed its Series D financing for gross proceeds of $110.0 million in which Akili issued 13,053,508 Series D preferred shares. The Group did not participate in this round of financing and as a result, the Group's interest in Akili was reduced from 41.9 percent to 27.5 percent.</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26, 2022, Akili Interactive and Social Capital Suvretta Holdings Corp. I, a special purpose acquisition company, announced they had entered into a definitive business combination agreement. The transaction closed on August 19, 2022 and the combined company's securities began trading on August 22, 2022 on the Nasdaq Stock Market under the ticker symbol "AKLI". As part of this transaction the Akili Interactive shares held by the Company were exchanged for the common stock of the combined company's securities as well as unvested common stock ("Akili Earnout Shares") that will vest when the share price exceeds certain thresholds. In addition, as part of a PIPE transaction that took place concurrently with the closing of the transaction, the Company purchased 500,000 shares in consideration for $5.0 million. Following the closing of the aforementioned transactions, the Company holds 12,527,477 shares of the combined entity (excluding the Akili Earnout Shares), which represents 14.7 percent of its outstanding common stock. The Company also holds 1,433,914 Akili Earn-out Shares, which fair value amounted to $1.0 million as of December 31, 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years ended December 31, 2022, 2021 and 2020, the Company recognized a loss of $131.4 million, a gain of $32.2 million, and a gain of $14.4 million, respectively for the changes in the fair value of the investment in Akili that was recorded on the line item Gain/(loss) on investments held at fair value within the Consolidated Statement of Comprehensive Income/(Loss). Please refer to Note 16 for information regarding the valuation of these instruments.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resTORbio</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April 30, 2020, PureTech sold its remaining 2,119,696 resTORbio common shares, for aggregate proceeds of $3.0 million. As a result of the sale, the Company recorded a loss of $0.2 million attributable to blockage discount included in the sales price, to the line item Loss realized on sale of investments within the Consolidated Statement of Comprehensive Income/(Loss). Additionally, during the year ended December 31, 2020, the Company recognized a gain of $0.1 million that was recorded on the line item Gain/(loss) on investments held at fair value within the Consolidated Statement of Comprehensive Income/(Loss).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 – Investment and gain on deconsolidation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2022, Sonde completed a Series B Preferred Share financing. As part of the financing a new investor invested $3.5 million in cash in exchange for 1,125,401 shares and all convertible notes, including the convertible notes held by PureTech, converted into Preferred B shares at the price per share paid by the investor minus a 20% discount. As a result of the aforementioned financing, the Group's voting interest was reduced below 50% and the Group no longer controls Sonde's Board of Directors, which is the governance body that has the power to direct the relevant activities of Sonde. Consequently, the Group concluded it lost control over Sonde and as such it should cease to consolidate Sonde on the date the round of financing was completed. Therefore, the results of operations of Sonde are included in the consolidated financial statements through the date of deconsolidation.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Following deconsolidation, the Group still has significant influence in Sonde through its voting interest in Sonde and its remaining representation on Sonde's Board of Directors.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 with changes in fair value recorded in profit and loss.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Upon deconsolidation, the Group derecognized its assets and liabilities and non controlling interest in respect of Sonde and recorded its aforementioned investments in Sonde at fair value. The deconsolidation resulted in a gain of $27.3 million. As of the date of deconsolidation, the investment in Sonde preferred shares held at fair value amounted to $11.2 million.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2022, the Company recognized a gain of $0.2 million for the changes in the fair value of the investment in Sonde that was recorded on the line item Gain/(loss) on investments held at fair value within the Consolidated Statement of Comprehensive Income/(Loss). Please refer to Note 16 for information regarding the valuation of these instruments.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25730"/>
                <wp:effectExtent l="0" t="0" r="0" b="0"/>
                <wp:wrapNone/>
                <wp:docPr id="99" name="Frame9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F-26</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6.     Investments in Associates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was founded by PureTech and raised funding through preferred shares financings as well as issuances of warrants and loans. As of July 1, 2019, Gelesis was deconsolidated from the Group’s financial statements. While the Group no longer controls Gelesis, it was concluded that PureTech still has significant influence over Gelesis and as such Gelesis is accounted for as an associate under IAS 28 in the consolidated financial statements.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Upon the date of deconsolidation, PureTech held preferred shares and common shares of Gelesis and warrants issued by Gelesis to PureTech. PureTech’s investment in common shares of Gelesis is subject to equity method accounting. See table below for the Group's share in the profits and losses of Gelesis for the periods presented.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preferred shares and warrants held by PureTech fell under the guidance of IFRS 9 and were treated as financial assets held at fair value, where changes to the fair value of the preferred shares and warrants were recorded through the Consolidated Statement of Comprehensive Income/(Loss). See Note 5 above.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Years ended December 31, 2020 and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2021 and 2020, the Group recorded its share in the losses of Gelesis. In 2020 the Group's investment in associates accounted for under the equity method was reduced to zero. Since the Group had investments in Gelesis warrants and preferred shares that were deemed to be Long-term interests, the Company continued recognizing its share in Gelesis losses while applying such losses to its preferred share and warrant investment in Gelesis accounted for as an investment held at fair value. In 2021, the total investment in Gelesis, including the Long-term interests, was reduced to zero. Since the Group did not incur legal or constructive obligations or made payments on behalf of Gelesis, the Group discontinued recognizing equity method losses in 2021. As of December 31, 2021, unrecognized equity method losses amounted to $38.1 million, which included $0.7 million of unrecognized other comprehensive 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2021, due to exercise of stock options into common shares in Gelesis the Group's equity interest in Gelesis was reduced from 47.9 percent at December 31, 2020 to 42.0 percent as of December 31, 2021. The gain resulting from the issuance of shares to third parties and the resulting reduction in the Group's share in the accumulated deficit of Gelesis under the equity method was fully offset by the unrecognized equity method losses.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Backstop agreement – 2022 and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30, 2021, PureTech signed a Backstop agreement with Capstar according to which PureTech had committed to acquire Capstar class A common shares immediately prior to the closing of the business combination between Gelesis and Capstar, in case subsequent to the redemptions of Capstar shares being completed, the Available Funds, as defined in the agreement, were less than$15.0 million. PureTech had committed to acquire two thirds of the necessary shares at $10 per share so that the Available Funds increase to $15.0 million. According to the Backstop agreement, in case PureTech were required to acquire any shares under the agreement, PureTech would receive an additional 1,322,500 class A common shares of Capstar (immediately prior to the closing of the business combination) at no additional consideration.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determined that such agreement meets the definition of a derivative under IFRS 9 and as such should be recorded at fair value with changes in fair value recorded through profit and loss. The derivative was initially recorded at fair value adjusted to defer the day 1 gain equal to the difference between the fair value of $11.2 million and transaction price of zero on the effective date and as such was initially recorded at zero. The deferred gain was amortized to Other income (expense) in the Consolidated Statement of Income (loss) over the period from the effective date until settlement date, January 13, 2022. During the years ended December 31, 2022 and 2021, the Group recognized income of $10.4 million and $0.8 million, respectively for the amortization of the deferred gain. During the year ended December 31, 2022 the Group recognized a loss of $2.8 million in respect of the decrease in the fair value of the derivative until date of settlement, resulting in a net gain of $7.6 million recorded during the year ended December 31, 2022 in respect of the Backstop agreement. The gain was recorded in the line item Other Income/(expense) in the Consolidated Statements of Comprehensive Income/(Loss). The fair value of the derivative on the date of settlement in the amount of $8.4 million represents an additional investment in Gelesis as part of the SPAC transaction described below.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as part of the conclusion of the aforementioned Backstop agreement, the Group acquired 496,145 class A common shares of Capstar for $5.0 million and received an additional 1,322,500 common A shares of Capstar for no additional consideration.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2022</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Share exchange – Capstar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Gelesis completed its business combination with Capstar Special Purpose Acquisition Corp ("Capstar"). As part of the business combination, all shares in Gelesis, common and preferred, including the shares held by PureTech, were exchanged for common shares of the merged entity and unvested common shares that will vest upon the stock price of the new combined entity reaching certain target prices (hereinafter "Earn-out shares"). In addition, PureTech invested $15.0 million in the class A common shares of Capstar as part of the PIPE transaction that took place immediately prior to the closing of the business combination and an additional $5.0 million, as part of the Backstop agreement described above. Pursuant to the business combination, Gelesis became a wholly-owned subsidiary of Capstar and Capstar changed its name to Gelesis Holdings, Inc., which began trading on the New York Stock Exchange under the ticker symbol "GLS" on January 14, 2022. Following the closing of the business combination, the PIPE transaction, the settlement of the aforementioned Backstop agreement with Capstar, and the exchange of all preferred shares in Gelesis to common shares in the new combined entity, PureTech holds 16,727,582 common shares of Gelesis Holdings Inc., which was equal to approximately 23.2% of Gelesis Holdings Inc's outstanding common shares at the time of the exchange. Due to PureTech's significant equity holding and voting interest in Gelesis, PureTech continues to maintain significant influence in Gelesis and as such continues to account for its Gelesis equity investment under the equity method.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Gelesis was deemed to be the acquirer in Gelesis Holdings Inc. and the financial assets and financial liabilities in Capstar were deemed to be acquired by Gelesis in consideration for the shares held by Capstar legacy shareholders. As such, the Group did </w:t>
      </w:r>
    </w:p>
    <w:p>
      <w:pPr>
        <w:pStyle w:val="HorizontalLine"/>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25730"/>
                <wp:effectExtent l="0" t="0" r="0" b="0"/>
                <wp:wrapNone/>
                <wp:docPr id="100" name="Frame9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F-27</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revalue the retained investment in Gelesis but rather treated the exchange as a dilution of its equity interest in Gelesis from 42.0 percent as of December 31, 2021 to 22.8 percent as of January 13, 2022 (including warrants that provide its holders access to returns associated with equity holders). After considering the aforementioned additional investments, the exchange of the preferred stock, previously accounted for as an investment held at fair value, to common stock (and representing an additional equity investment in Gelesis – See Note 5), the Earn-out shares received in Gelesis (see Note 5) and the offset of previously unrecognized equity method losses, the net gain recorded on the dilution of interest amounted to $28.3 million.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Impairment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Gelesis’s decline in its market price in 2022 and its lack of liquidity, the Group recorded an impairment loss of $8.4 million as of December 31, 2022 in respect of its investment in Gelesis. The recoverable amount of the investment in Gelesis was $4.9 million as of December 31, 2022, which was determined based on fair value less costs to sell (costs to sell were estimated to be insignificant). Fair value was determined based on level 1 of the fair value hierarchy as Gelesis shares were traded on an active market as of December 31, 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impairment loss was presented separately in the Consolidated Statement of Comprehensive Income/ (loss) for the year ended December 31, 2022 in the line item Impairment of investment in associate.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May 25, 2022, Sonde completed a Series B Preferred Share financing. As a result of the aforementioned financing, the Group's voting interest was reduced below 50% and the Group lost its control over Sonde and as such ceased to consolidate Sonde on the date the round of financing was completed. See Note 5 above for further details.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deconsolidation, the Group has significant influence in Sonde through its voting interest in Sonde and its remaining representation on Sonde's Board of Directors. The Group's voting interest at date of deconsolidation and as of December 31, 2022 was 48.2% and 40.17%, respectively.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 See Note 5.</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fair value of the Preferred A-1 shares on the date of deconsolidation amounted to $7.7 million, which is the initial value of the equity method investment in Sonde. When applying the equity method, the Group records its share of the losses in Sonde based on its equity interest in Sonde. Since only the common shares and Preferred A-1 shares in Sonde represent a residual equity interest and PureTech is the sole holder of the Preferred A-1 shares, the Group's share in Sonde's equity is 93.6%.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2022 the Company recorded $3.4 million of equity method losses in respect of Sonde.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activity related to the investment in associates balance for the years ended December 31, 2022 and 2021.</w:t>
      </w:r>
    </w:p>
    <w:tbl>
      <w:tblPr>
        <w:tblW w:w="8641" w:type="dxa"/>
        <w:jc w:val="left"/>
        <w:tblInd w:w="0" w:type="dxa"/>
        <w:tblCellMar>
          <w:top w:w="28" w:type="dxa"/>
          <w:left w:w="28" w:type="dxa"/>
          <w:bottom w:w="28" w:type="dxa"/>
          <w:right w:w="28" w:type="dxa"/>
        </w:tblCellMar>
      </w:tblPr>
      <w:tblGrid>
        <w:gridCol w:w="2749"/>
        <w:gridCol w:w="2413"/>
        <w:gridCol w:w="2427"/>
        <w:gridCol w:w="398"/>
        <w:gridCol w:w="398"/>
        <w:gridCol w:w="256"/>
      </w:tblGrid>
      <w:tr>
        <w:trPr/>
        <w:tc>
          <w:tcPr>
            <w:tcW w:w="2749"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Investment in Associates</w:t>
            </w:r>
          </w:p>
        </w:tc>
        <w:tc>
          <w:tcPr>
            <w:tcW w:w="105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January 1, 2021</w:t>
            </w:r>
          </w:p>
        </w:tc>
        <w:tc>
          <w:tcPr>
            <w:tcW w:w="79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loss in Gelesis - limited to net investment amount</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losses recorded against Long Term Interests (LTIs)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December 31, 2021 and January 1, 2022</w:t>
            </w:r>
          </w:p>
        </w:tc>
        <w:tc>
          <w:tcPr>
            <w:tcW w:w="79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investment in associate</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19,961 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Additional investment as a result of backstop settlement (see above)</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8,424 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dilution of interest in associate (*)</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13,793 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Sonde - deconsolidation</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7,680 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net loss of associates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(27,749)</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Reversal of equity method losses recorded against LTIs (due to decrease in LTI fair value)</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(4,406)</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other comprehensive loss of associates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(166)</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(8,390)</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December 31, 2022</w:t>
            </w:r>
          </w:p>
        </w:tc>
        <w:tc>
          <w:tcPr>
            <w:tcW w:w="796"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45 Book;sans-serif" w:hAnsi="Avenir LT Pro 45 Book;sans-serif"/>
                <w:b/>
                <w:color w:val="183964"/>
                <w:sz w:val="17"/>
              </w:rPr>
              <w:t>9,147</w:t>
            </w:r>
            <w:r>
              <w:rPr>
                <w:color w:val="183964"/>
              </w:rPr>
              <w:t> </w:t>
            </w:r>
          </w:p>
        </w:tc>
        <w:tc>
          <w:tcPr>
            <w:tcW w:w="256"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Gain on dilution of interest was further increased due to the receipt of Gelesis earn out shares accounted for as investments held at fair value (see above).</w:t>
      </w:r>
    </w:p>
    <w:p>
      <w:pPr>
        <w:pStyle w:val="TextBody"/>
        <w:spacing w:before="0" w:after="40"/>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Summarized financial information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table summarizes the financial information of Gelesis as included in its own financial statements, adjusted for fair value adjustments at deconsolidation and differences in accounting policies. The table also reconciles the summarized financial information to the carrying amount of the Company’s interest in Gelesis. </w:t>
      </w:r>
    </w:p>
    <w:p>
      <w:pPr>
        <w:pStyle w:val="HorizontalLine"/>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25730"/>
                <wp:effectExtent l="0" t="0" r="0" b="0"/>
                <wp:wrapNone/>
                <wp:docPr id="101" name="Frame10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F-28</w:t>
                      </w:r>
                    </w:p>
                  </w:txbxContent>
                </v:textbox>
              </v:rect>
            </w:pict>
          </mc:Fallback>
        </mc:AlternateContent>
      </w:r>
    </w:p>
    <w:p>
      <w:pPr>
        <w:pStyle w:val="TextBody"/>
        <w:spacing w:before="0" w:after="105"/>
        <w:rPr/>
      </w:pPr>
      <w:r>
        <w:rPr/>
      </w:r>
    </w:p>
    <w:tbl>
      <w:tblPr>
        <w:tblW w:w="10205" w:type="dxa"/>
        <w:jc w:val="left"/>
        <w:tblInd w:w="0" w:type="dxa"/>
        <w:tblCellMar>
          <w:top w:w="28" w:type="dxa"/>
          <w:left w:w="28" w:type="dxa"/>
          <w:bottom w:w="28" w:type="dxa"/>
          <w:right w:w="28" w:type="dxa"/>
        </w:tblCellMar>
      </w:tblPr>
      <w:tblGrid>
        <w:gridCol w:w="2466"/>
        <w:gridCol w:w="2089"/>
        <w:gridCol w:w="2105"/>
        <w:gridCol w:w="512"/>
        <w:gridCol w:w="513"/>
        <w:gridCol w:w="301"/>
        <w:gridCol w:w="444"/>
        <w:gridCol w:w="448"/>
        <w:gridCol w:w="293"/>
        <w:gridCol w:w="392"/>
        <w:gridCol w:w="395"/>
        <w:gridCol w:w="247"/>
      </w:tblGrid>
      <w:tr>
        <w:trPr/>
        <w:tc>
          <w:tcPr>
            <w:tcW w:w="2466"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18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and for the year ended December 31,</w:t>
            </w:r>
          </w:p>
        </w:tc>
        <w:tc>
          <w:tcPr>
            <w:tcW w:w="1326" w:type="dxa"/>
            <w:gridSpan w:val="3"/>
            <w:vMerge w:val="continue"/>
            <w:tcBorders/>
            <w:shd w:fill="auto" w:val="clear"/>
            <w:tcMar>
              <w:top w:w="0" w:type="dxa"/>
              <w:left w:w="0" w:type="dxa"/>
              <w:bottom w:w="0" w:type="dxa"/>
              <w:right w:w="0" w:type="dxa"/>
            </w:tcMar>
            <w:vAlign w:val="center"/>
          </w:tcPr>
          <w:p>
            <w:pPr>
              <w:pStyle w:val="Normal"/>
              <w:rPr/>
            </w:pPr>
            <w:r>
              <w:rPr/>
            </w:r>
          </w:p>
        </w:tc>
        <w:tc>
          <w:tcPr>
            <w:tcW w:w="1185" w:type="dxa"/>
            <w:gridSpan w:val="3"/>
            <w:vMerge w:val="continue"/>
            <w:tcBorders/>
            <w:shd w:fill="auto" w:val="clear"/>
            <w:tcMar>
              <w:top w:w="0" w:type="dxa"/>
              <w:left w:w="0" w:type="dxa"/>
              <w:bottom w:w="0" w:type="dxa"/>
              <w:right w:w="0" w:type="dxa"/>
            </w:tcMar>
            <w:vAlign w:val="center"/>
          </w:tcPr>
          <w:p>
            <w:pPr>
              <w:pStyle w:val="Normal"/>
              <w:rPr/>
            </w:pPr>
            <w:r>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Percentage ownership interest</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22.5</w:t>
            </w:r>
            <w:r>
              <w:rPr>
                <w:color w:val="000000"/>
              </w:rPr>
              <w:t> </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42.0 </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Non-current assets</w:t>
            </w:r>
          </w:p>
        </w:tc>
        <w:tc>
          <w:tcPr>
            <w:tcW w:w="1025"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333,040</w:t>
            </w:r>
            <w:r>
              <w:rPr>
                <w:color w:val="000000"/>
              </w:rPr>
              <w:t> </w:t>
            </w:r>
          </w:p>
        </w:tc>
        <w:tc>
          <w:tcPr>
            <w:tcW w:w="30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357,508 </w:t>
            </w:r>
          </w:p>
        </w:tc>
        <w:tc>
          <w:tcPr>
            <w:tcW w:w="293"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assets</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23,495</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66,092 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Non-current liabilities</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(99,053)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(120,786)</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liabilities</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(80,010)</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(537,432)</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 controlling interests and options issued to third parties</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(46,204)</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(14,216)</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assets (deficit) attributable to shareholders of Gelesis Inc.</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131,268</w:t>
            </w:r>
            <w:r>
              <w:rPr>
                <w:color w:val="000000"/>
              </w:rPr>
              <w:t> </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(248,834)</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Group's share of net assets (net deficit)</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29,504</w:t>
            </w:r>
            <w:r>
              <w:rPr>
                <w:color w:val="000000"/>
              </w:rPr>
              <w:t> </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(104,527)</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Goodwill</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3,858</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7,211 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Impairment </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(28,452)</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(37,495)</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method losses recorded against Long-term Interests</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96,709 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Unrecognized equity method losses (*)</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38,101 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Investment in associate</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4,910</w:t>
            </w:r>
            <w:r>
              <w:rPr>
                <w:color w:val="000000"/>
              </w:rPr>
              <w:t> </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vMerge w:val="restart"/>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185" w:type="dxa"/>
            <w:gridSpan w:val="3"/>
            <w:vMerge w:val="restart"/>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03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6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vMerge w:val="continue"/>
            <w:tcBorders>
              <w:top w:val="single" w:sz="4" w:space="0" w:color="183964"/>
            </w:tcBorders>
            <w:shd w:fill="auto" w:val="clear"/>
            <w:tcMar>
              <w:top w:w="30" w:type="dxa"/>
              <w:left w:w="0" w:type="dxa"/>
              <w:bottom w:w="0" w:type="dxa"/>
              <w:right w:w="0" w:type="dxa"/>
            </w:tcMar>
            <w:vAlign w:val="center"/>
          </w:tcPr>
          <w:p>
            <w:pPr>
              <w:pStyle w:val="Normal"/>
              <w:rPr/>
            </w:pPr>
            <w:r>
              <w:rPr/>
            </w:r>
          </w:p>
        </w:tc>
        <w:tc>
          <w:tcPr>
            <w:tcW w:w="1185" w:type="dxa"/>
            <w:gridSpan w:val="3"/>
            <w:vMerge w:val="continue"/>
            <w:tcBorders>
              <w:top w:val="single" w:sz="4" w:space="0" w:color="183964"/>
            </w:tcBorders>
            <w:shd w:fill="auto" w:val="clear"/>
            <w:tcMar>
              <w:top w:w="30" w:type="dxa"/>
              <w:left w:w="0" w:type="dxa"/>
              <w:bottom w:w="0" w:type="dxa"/>
              <w:right w:w="0" w:type="dxa"/>
            </w:tcMar>
            <w:vAlign w:val="center"/>
          </w:tcPr>
          <w:p>
            <w:pPr>
              <w:pStyle w:val="Normal"/>
              <w:rPr/>
            </w:pPr>
            <w:r>
              <w:rPr/>
            </w:r>
          </w:p>
        </w:tc>
        <w:tc>
          <w:tcPr>
            <w:tcW w:w="10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25,767</w:t>
            </w:r>
            <w:r>
              <w:rPr>
                <w:color w:val="000000"/>
              </w:rPr>
              <w:t> </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11,185 </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21,442 </w:t>
            </w:r>
          </w:p>
        </w:tc>
        <w:tc>
          <w:tcPr>
            <w:tcW w:w="247"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from continuing operations (100%)</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(111,567)</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(271,430)</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(71,157)</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loss (100%)</w:t>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(112,285)</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(273,005)</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(70,178)</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Group's share in net losses - limited to net investment amount (**)</w:t>
            </w:r>
          </w:p>
        </w:tc>
        <w:tc>
          <w:tcPr>
            <w:tcW w:w="102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(24,306)</w:t>
            </w:r>
          </w:p>
        </w:tc>
        <w:tc>
          <w:tcPr>
            <w:tcW w:w="3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9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(34,117)</w:t>
            </w:r>
          </w:p>
        </w:tc>
        <w:tc>
          <w:tcPr>
            <w:tcW w:w="247"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Group's share of total comprehensive loss - limited to net investment amount</w:t>
            </w:r>
          </w:p>
        </w:tc>
        <w:tc>
          <w:tcPr>
            <w:tcW w:w="102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(24,472)</w:t>
            </w:r>
          </w:p>
        </w:tc>
        <w:tc>
          <w:tcPr>
            <w:tcW w:w="30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93"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87"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(33,648)</w:t>
            </w:r>
          </w:p>
        </w:tc>
        <w:tc>
          <w:tcPr>
            <w:tcW w:w="247"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Unrecognized equity method losses includes unrecognized other comprehensive loss of $0.7 million for the year ended December 31, 2021.</w:t>
      </w:r>
    </w:p>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For the year ended December 31, 2022 includes $4.4 million reversal of equity method losses recorded against Long-Term Interest (LTI) due to the decrease in fair value of such LTI.</w:t>
      </w:r>
    </w:p>
    <w:p>
      <w:pPr>
        <w:pStyle w:val="TextBody"/>
        <w:spacing w:before="0" w:after="4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in April 2023 (subsequent to balance sheet date)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See note 16 for the note issued to the Group by Gelesis and see Note 26 for additional details, including information related to an additional note issued by Gelesis to the Group subsequent to balance sheet date.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0" w:after="100"/>
        <w:rPr/>
      </w:pPr>
      <w:r>
        <w:rPr/>
      </w:r>
    </w:p>
    <w:p>
      <w:pPr>
        <w:pStyle w:val="HorizontalLine"/>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25730"/>
                <wp:effectExtent l="0" t="0" r="0" b="0"/>
                <wp:wrapNone/>
                <wp:docPr id="102" name="Frame10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F-29</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7.     Operating Expenses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expenses were as follows:</w:t>
      </w:r>
    </w:p>
    <w:tbl>
      <w:tblPr>
        <w:tblW w:w="5858" w:type="dxa"/>
        <w:jc w:val="left"/>
        <w:tblInd w:w="0" w:type="dxa"/>
        <w:tblCellMar>
          <w:top w:w="28" w:type="dxa"/>
          <w:left w:w="28" w:type="dxa"/>
          <w:bottom w:w="28" w:type="dxa"/>
          <w:right w:w="28" w:type="dxa"/>
        </w:tblCellMar>
      </w:tblPr>
      <w:tblGrid>
        <w:gridCol w:w="961"/>
        <w:gridCol w:w="843"/>
        <w:gridCol w:w="850"/>
        <w:gridCol w:w="473"/>
        <w:gridCol w:w="473"/>
        <w:gridCol w:w="181"/>
        <w:gridCol w:w="412"/>
        <w:gridCol w:w="414"/>
        <w:gridCol w:w="181"/>
        <w:gridCol w:w="412"/>
        <w:gridCol w:w="414"/>
        <w:gridCol w:w="244"/>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112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07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6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60,991</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49,440 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152,433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81,859 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operating expenses</w:t>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213,425</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131,299 </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average number of persons employed by the Group during the year, analyzed by category, was as follows:</w:t>
      </w:r>
    </w:p>
    <w:tbl>
      <w:tblPr>
        <w:tblW w:w="4637" w:type="dxa"/>
        <w:jc w:val="left"/>
        <w:tblInd w:w="0" w:type="dxa"/>
        <w:tblCellMar>
          <w:top w:w="28" w:type="dxa"/>
          <w:left w:w="28" w:type="dxa"/>
          <w:bottom w:w="28" w:type="dxa"/>
          <w:right w:w="28" w:type="dxa"/>
        </w:tblCellMar>
      </w:tblPr>
      <w:tblGrid>
        <w:gridCol w:w="961"/>
        <w:gridCol w:w="843"/>
        <w:gridCol w:w="850"/>
        <w:gridCol w:w="263"/>
        <w:gridCol w:w="263"/>
        <w:gridCol w:w="156"/>
        <w:gridCol w:w="232"/>
        <w:gridCol w:w="234"/>
        <w:gridCol w:w="156"/>
        <w:gridCol w:w="232"/>
        <w:gridCol w:w="234"/>
        <w:gridCol w:w="213"/>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68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62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67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26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5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w:t>
            </w:r>
            <w:r>
              <w:rPr>
                <w:color w:val="000000"/>
              </w:rPr>
              <w:t> </w:t>
            </w:r>
          </w:p>
        </w:tc>
        <w:tc>
          <w:tcPr>
            <w:tcW w:w="15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52 </w:t>
            </w:r>
          </w:p>
        </w:tc>
        <w:tc>
          <w:tcPr>
            <w:tcW w:w="15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43 </w:t>
            </w:r>
          </w:p>
        </w:tc>
        <w:tc>
          <w:tcPr>
            <w:tcW w:w="21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5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144</w:t>
            </w: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5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201</w:t>
            </w:r>
            <w:r>
              <w:rPr>
                <w:color w:val="000000"/>
              </w:rPr>
              <w:t> </w:t>
            </w:r>
          </w:p>
        </w:tc>
        <w:tc>
          <w:tcPr>
            <w:tcW w:w="15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171 </w:t>
            </w:r>
          </w:p>
        </w:tc>
        <w:tc>
          <w:tcPr>
            <w:tcW w:w="15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138 </w:t>
            </w:r>
          </w:p>
        </w:tc>
        <w:tc>
          <w:tcPr>
            <w:tcW w:w="213"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aggregate payroll costs of these persons were as follows:</w:t>
      </w:r>
    </w:p>
    <w:tbl>
      <w:tblPr>
        <w:tblW w:w="5528" w:type="dxa"/>
        <w:jc w:val="left"/>
        <w:tblInd w:w="0" w:type="dxa"/>
        <w:tblCellMar>
          <w:top w:w="28" w:type="dxa"/>
          <w:left w:w="28" w:type="dxa"/>
          <w:bottom w:w="28" w:type="dxa"/>
          <w:right w:w="28" w:type="dxa"/>
        </w:tblCellMar>
      </w:tblPr>
      <w:tblGrid>
        <w:gridCol w:w="961"/>
        <w:gridCol w:w="843"/>
        <w:gridCol w:w="850"/>
        <w:gridCol w:w="413"/>
        <w:gridCol w:w="413"/>
        <w:gridCol w:w="181"/>
        <w:gridCol w:w="360"/>
        <w:gridCol w:w="361"/>
        <w:gridCol w:w="181"/>
        <w:gridCol w:w="360"/>
        <w:gridCol w:w="361"/>
        <w:gridCol w:w="244"/>
      </w:tblGrid>
      <w:tr>
        <w:trPr/>
        <w:tc>
          <w:tcPr>
            <w:tcW w:w="96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0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902" w:type="dxa"/>
            <w:gridSpan w:val="3"/>
            <w:vMerge w:val="continue"/>
            <w:tcBorders/>
            <w:shd w:fill="auto" w:val="clear"/>
            <w:tcMar>
              <w:top w:w="0" w:type="dxa"/>
              <w:left w:w="0" w:type="dxa"/>
              <w:bottom w:w="0" w:type="dxa"/>
              <w:right w:w="0" w:type="dxa"/>
            </w:tcMar>
            <w:vAlign w:val="center"/>
          </w:tcPr>
          <w:p>
            <w:pPr>
              <w:pStyle w:val="Normal"/>
              <w:rPr/>
            </w:pPr>
            <w:r>
              <w:rPr/>
            </w:r>
          </w:p>
        </w:tc>
        <w:tc>
          <w:tcPr>
            <w:tcW w:w="96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25,322</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26,438 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22,943 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36,321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28,950 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20,674 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61,643</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55,388 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43,616 </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Detailed operating expenses were as follows:</w:t>
      </w:r>
    </w:p>
    <w:tbl>
      <w:tblPr>
        <w:tblW w:w="6969" w:type="dxa"/>
        <w:jc w:val="left"/>
        <w:tblInd w:w="0" w:type="dxa"/>
        <w:tblCellMar>
          <w:top w:w="28" w:type="dxa"/>
          <w:left w:w="28" w:type="dxa"/>
          <w:bottom w:w="28" w:type="dxa"/>
          <w:right w:w="28" w:type="dxa"/>
        </w:tblCellMar>
      </w:tblPr>
      <w:tblGrid>
        <w:gridCol w:w="1363"/>
        <w:gridCol w:w="1196"/>
        <w:gridCol w:w="1206"/>
        <w:gridCol w:w="473"/>
        <w:gridCol w:w="473"/>
        <w:gridCol w:w="181"/>
        <w:gridCol w:w="412"/>
        <w:gridCol w:w="414"/>
        <w:gridCol w:w="181"/>
        <w:gridCol w:w="412"/>
        <w:gridCol w:w="414"/>
        <w:gridCol w:w="244"/>
      </w:tblGrid>
      <w:tr>
        <w:trPr/>
        <w:tc>
          <w:tcPr>
            <w:tcW w:w="1363"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07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07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76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Salaries and wages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41,750</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36,792 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29,403 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Healthcare benefits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2,908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2,563 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1,866 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Payroll taxes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2,286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2,084 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1,629 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14,699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13,950 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10,718 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payroll costs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61,643</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55,388 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43,616 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general and administrative expenses</w:t>
            </w:r>
          </w:p>
        </w:tc>
        <w:tc>
          <w:tcPr>
            <w:tcW w:w="94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35,669</w:t>
            </w:r>
            <w:r>
              <w:rPr>
                <w:color w:val="000000"/>
              </w:rPr>
              <w:t>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30,761 </w:t>
            </w:r>
          </w:p>
        </w:tc>
        <w:tc>
          <w:tcPr>
            <w:tcW w:w="181"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26,497 </w:t>
            </w:r>
          </w:p>
        </w:tc>
        <w:tc>
          <w:tcPr>
            <w:tcW w:w="244" w:type="dxa"/>
            <w:tcBorders>
              <w:top w:val="single" w:sz="4"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research and development expenses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116,113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81,521 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61,186 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other operating expenses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151,782</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112,282 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87,683 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operating expenses</w:t>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213,425</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131,299 </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Auditor's remuneration:</w:t>
      </w:r>
    </w:p>
    <w:tbl>
      <w:tblPr>
        <w:tblW w:w="6623" w:type="dxa"/>
        <w:jc w:val="left"/>
        <w:tblInd w:w="0" w:type="dxa"/>
        <w:tblCellMar>
          <w:top w:w="28" w:type="dxa"/>
          <w:left w:w="28" w:type="dxa"/>
          <w:bottom w:w="28" w:type="dxa"/>
          <w:right w:w="28" w:type="dxa"/>
        </w:tblCellMar>
      </w:tblPr>
      <w:tblGrid>
        <w:gridCol w:w="1478"/>
        <w:gridCol w:w="1295"/>
        <w:gridCol w:w="1306"/>
        <w:gridCol w:w="353"/>
        <w:gridCol w:w="353"/>
        <w:gridCol w:w="181"/>
        <w:gridCol w:w="308"/>
        <w:gridCol w:w="308"/>
        <w:gridCol w:w="181"/>
        <w:gridCol w:w="308"/>
        <w:gridCol w:w="308"/>
        <w:gridCol w:w="244"/>
      </w:tblGrid>
      <w:tr>
        <w:trPr/>
        <w:tc>
          <w:tcPr>
            <w:tcW w:w="1478"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6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40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of these financial statements</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1,716</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1,183 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1,145 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of the financial statements of subsidiaries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132</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291 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of the financial statements of associate**</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814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350 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Audit-related assurance services*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1,157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1,868 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490 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Non-audit related services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r>
      <w:tr>
        <w:trPr/>
        <w:tc>
          <w:tcPr>
            <w:tcW w:w="4079"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7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3,819</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3,934 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2,449 </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2021 – $468.2 thousand represents prepaid expenses related to an expected initial public offering of a subsidiary.</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Audit fees of $720.0 thousand, $500.0 thousand and $350.0 thousand in respect of financial statements of associates for the years ended December 31, 2022, 2021, and 2020 respectively, are not included within the consolidated financial statements. Fees related to the audit of the financial statements of associates have been disclosed in respect of 2022, 2021, and 2020 as these fees went towards supporting the audit opinion on the Group accounts. Such amounts were not previously disclosed in the 2020 financial statements.</w:t>
      </w:r>
    </w:p>
    <w:p>
      <w:pPr>
        <w:pStyle w:val="TextBody"/>
        <w:spacing w:before="0" w:after="4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Please refer to Note 8 for further disclosures related to share-based payments and Note 24 for management’s remuneration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25730"/>
                <wp:effectExtent l="0" t="0" r="0" b="0"/>
                <wp:wrapNone/>
                <wp:docPr id="103" name="Frame10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F-30</w:t>
                      </w:r>
                    </w:p>
                  </w:txbxContent>
                </v:textbox>
              </v:rect>
            </w:pict>
          </mc:Fallback>
        </mc:AlternateContent>
      </w:r>
    </w:p>
    <w:p>
      <w:pPr>
        <w:pStyle w:val="TextBody"/>
        <w:spacing w:before="0" w:after="105"/>
        <w:rPr/>
      </w:pPr>
      <w:r>
        <w:rPr/>
      </w:r>
    </w:p>
    <w:p>
      <w:pPr>
        <w:pStyle w:val="TextBody"/>
        <w:spacing w:lineRule="auto" w:line="288" w:before="100" w:after="100"/>
        <w:rPr/>
      </w:pPr>
      <w:r>
        <w:rPr>
          <w:rFonts w:ascii="Avenir LT Pro 85 Heavy;sans-serif" w:hAnsi="Avenir LT Pro 85 Heavy;sans-serif"/>
          <w:b/>
          <w:color w:val="183964"/>
          <w:sz w:val="17"/>
        </w:rPr>
        <w:t>8.</w:t>
      </w:r>
      <w:r>
        <w:rPr>
          <w:color w:val="000000"/>
        </w:rPr>
        <w:t>    </w:t>
      </w:r>
      <w:r>
        <w:rPr>
          <w:rFonts w:ascii="Avenir LT Pro 85 Heavy;sans-serif" w:hAnsi="Avenir LT Pro 85 Heavy;sans-serif"/>
          <w:b/>
          <w:color w:val="183964"/>
          <w:sz w:val="17"/>
        </w:rPr>
        <w:t>Share-based Payments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 includes stock options, restricted stock units (“RSUs”) and performance-based RSUs in which the expense is recognized based on the grant date fair value of these awards, except for performance based RSUs to executives that are treated as liability awards where expense is recognized based on reporting date fair value up until settlement date.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Share-based Payment Expense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share-based payment expense for the years ended December 31, 2022, 2021 and 2020, were comprised of charges related to the PureTech Health plc incentive stock and stock option issuances and subsidiary stock plans.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provides the classification of the Group’s consolidated share-based payment expense as reflected in the Consolidated Statement of Income/(Loss):</w:t>
      </w:r>
    </w:p>
    <w:tbl>
      <w:tblPr>
        <w:tblW w:w="5304" w:type="dxa"/>
        <w:jc w:val="left"/>
        <w:tblInd w:w="0" w:type="dxa"/>
        <w:tblCellMar>
          <w:top w:w="28" w:type="dxa"/>
          <w:left w:w="28" w:type="dxa"/>
          <w:bottom w:w="28" w:type="dxa"/>
          <w:right w:w="28" w:type="dxa"/>
        </w:tblCellMar>
      </w:tblPr>
      <w:tblGrid>
        <w:gridCol w:w="880"/>
        <w:gridCol w:w="772"/>
        <w:gridCol w:w="778"/>
        <w:gridCol w:w="413"/>
        <w:gridCol w:w="413"/>
        <w:gridCol w:w="181"/>
        <w:gridCol w:w="360"/>
        <w:gridCol w:w="361"/>
        <w:gridCol w:w="181"/>
        <w:gridCol w:w="360"/>
        <w:gridCol w:w="361"/>
        <w:gridCol w:w="244"/>
      </w:tblGrid>
      <w:tr>
        <w:trPr/>
        <w:tc>
          <w:tcPr>
            <w:tcW w:w="880"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Year ended December 31,</w:t>
            </w:r>
          </w:p>
        </w:tc>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0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43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8,862</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9,310 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7,650 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5,837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3,068 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14,699</w:t>
            </w:r>
            <w:r>
              <w:rPr>
                <w:color w:val="000000"/>
              </w:rPr>
              <w:t> </w:t>
            </w:r>
          </w:p>
        </w:tc>
        <w:tc>
          <w:tcPr>
            <w:tcW w:w="181"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13,950 </w:t>
            </w:r>
          </w:p>
        </w:tc>
        <w:tc>
          <w:tcPr>
            <w:tcW w:w="181"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10,718 </w:t>
            </w:r>
          </w:p>
        </w:tc>
        <w:tc>
          <w:tcPr>
            <w:tcW w:w="244"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The Performance Share Plan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June 2015, the Group adopted the Performance Stock Plan (“PSP”). Under the PSP and subsequent amendments, awards of ordinary shares may be made to the Directors, senior managers and employees of, and other individuals providing services to the Company and its subsidiaries up to a maximum authorized amount of 10.0 percent of the total ordinary shares outstanding. The shares have various vesting terms over a period of service between two and four years, provided the recipient remains continuously engaged as a service provider.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share-based awards granted under the PSP are generally equity settled (see cash settlements below) and expire 10 years from the grant date. As of December 31, 2022, the Company had issued share-based awards to purchase an aggregate of 24,889,462 shares under this plan.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RSUs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 activity for the years ended December 31, 2022, 2021 and 2020 is detailed as follows:</w:t>
      </w:r>
    </w:p>
    <w:tbl>
      <w:tblPr>
        <w:tblW w:w="10205" w:type="dxa"/>
        <w:jc w:val="left"/>
        <w:tblInd w:w="0" w:type="dxa"/>
        <w:tblCellMar>
          <w:top w:w="28" w:type="dxa"/>
          <w:left w:w="28" w:type="dxa"/>
          <w:bottom w:w="28" w:type="dxa"/>
          <w:right w:w="28" w:type="dxa"/>
        </w:tblCellMar>
      </w:tblPr>
      <w:tblGrid>
        <w:gridCol w:w="2096"/>
        <w:gridCol w:w="1840"/>
        <w:gridCol w:w="1849"/>
        <w:gridCol w:w="604"/>
        <w:gridCol w:w="591"/>
        <w:gridCol w:w="548"/>
        <w:gridCol w:w="807"/>
        <w:gridCol w:w="767"/>
        <w:gridCol w:w="1103"/>
      </w:tblGrid>
      <w:tr>
        <w:trPr/>
        <w:tc>
          <w:tcPr>
            <w:tcW w:w="2096"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Number of Shares/Units</w:t>
            </w:r>
          </w:p>
        </w:tc>
        <w:tc>
          <w:tcPr>
            <w:tcW w:w="26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Avg Grant Date Fair Value (GBP) (*)</w:t>
            </w:r>
          </w:p>
        </w:tc>
      </w:tr>
      <w:tr>
        <w:trPr/>
        <w:tc>
          <w:tcPr>
            <w:tcW w:w="578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January 1, 2020</w:t>
            </w:r>
          </w:p>
        </w:tc>
        <w:tc>
          <w:tcPr>
            <w:tcW w:w="11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4,636,347</w:t>
            </w:r>
            <w:r>
              <w:rPr>
                <w:color w:val="000000"/>
              </w:rPr>
              <w:t> </w:t>
            </w:r>
          </w:p>
        </w:tc>
        <w:tc>
          <w:tcPr>
            <w:tcW w:w="54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2.08</w:t>
            </w:r>
            <w:r>
              <w:rPr>
                <w:color w:val="000000"/>
              </w:rPr>
              <w:t> </w:t>
            </w:r>
          </w:p>
        </w:tc>
        <w:tc>
          <w:tcPr>
            <w:tcW w:w="110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1,759,011 </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1.80 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(2,781,687)</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(191,089)</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2.37 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2020 and January 1, 2021</w:t>
            </w:r>
          </w:p>
        </w:tc>
        <w:tc>
          <w:tcPr>
            <w:tcW w:w="11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3,422,582</w:t>
            </w:r>
            <w:r>
              <w:rPr>
                <w:color w:val="000000"/>
              </w:rPr>
              <w:t> </w:t>
            </w:r>
          </w:p>
        </w:tc>
        <w:tc>
          <w:tcPr>
            <w:tcW w:w="54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2.46</w:t>
            </w:r>
            <w:r>
              <w:rPr>
                <w:color w:val="000000"/>
              </w:rPr>
              <w:t> </w:t>
            </w:r>
          </w:p>
        </w:tc>
        <w:tc>
          <w:tcPr>
            <w:tcW w:w="110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2,195,133 </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(1,176,695)</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(808,305)</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2.25 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2021 and January 1, 2022</w:t>
            </w:r>
          </w:p>
        </w:tc>
        <w:tc>
          <w:tcPr>
            <w:tcW w:w="11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3,632,715</w:t>
            </w:r>
            <w:r>
              <w:rPr>
                <w:color w:val="000000"/>
              </w:rPr>
              <w:t> </w:t>
            </w:r>
          </w:p>
        </w:tc>
        <w:tc>
          <w:tcPr>
            <w:tcW w:w="54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1.91</w:t>
            </w:r>
            <w:r>
              <w:rPr>
                <w:color w:val="000000"/>
              </w:rPr>
              <w:t> </w:t>
            </w:r>
          </w:p>
        </w:tc>
        <w:tc>
          <w:tcPr>
            <w:tcW w:w="110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4,309,883 </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1.76 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(696,398)</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2.80 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(1,155,420)</w:t>
            </w:r>
          </w:p>
        </w:tc>
        <w:tc>
          <w:tcPr>
            <w:tcW w:w="5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2.67 </w:t>
            </w:r>
          </w:p>
        </w:tc>
        <w:tc>
          <w:tcPr>
            <w:tcW w:w="11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5"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2022</w:t>
            </w:r>
          </w:p>
        </w:tc>
        <w:tc>
          <w:tcPr>
            <w:tcW w:w="1195"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6,090,780</w:t>
            </w:r>
            <w:r>
              <w:rPr>
                <w:color w:val="000000"/>
              </w:rPr>
              <w:t> </w:t>
            </w:r>
          </w:p>
        </w:tc>
        <w:tc>
          <w:tcPr>
            <w:tcW w:w="548"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4" w:type="dxa"/>
            <w:gridSpan w:val="2"/>
            <w:tcBorders>
              <w:top w:val="single" w:sz="2" w:space="0" w:color="183964"/>
              <w:bottom w:val="single" w:sz="2"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1.74</w:t>
            </w:r>
            <w:r>
              <w:rPr>
                <w:color w:val="000000"/>
              </w:rPr>
              <w:t> </w:t>
            </w:r>
          </w:p>
        </w:tc>
        <w:tc>
          <w:tcPr>
            <w:tcW w:w="1103" w:type="dxa"/>
            <w:tcBorders>
              <w:top w:val="single" w:sz="2" w:space="0" w:color="183964"/>
              <w:bottom w:val="single" w:sz="2"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2021 – for liability awards based on fair value at reporting date.</w:t>
      </w:r>
    </w:p>
    <w:p>
      <w:pPr>
        <w:pStyle w:val="TextBody"/>
        <w:spacing w:before="0" w:after="40"/>
        <w:ind w:left="0" w:right="0" w:hanging="283"/>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Each RSU entitles the holder to one ordinary share on vesting and the RSU awards are generally based on a cliff vesting schedule over a one to three-year requisite service period in which the Company recognizes compensation expense for the RSUs. Following vesting, each recipient will be required to make a payment of one pence per ordinary share on settlement of the RSUs. Vesting of the majority of the RSUs is subject to the satisfaction of performance and market conditions. The grant date fair value of market condition awards that were treated as equity settled awards were measured to reflect such conditions and there was no true-up for differences between expected and actual outcomes. For liability settled awards, see below.</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recognizes the estimated fair value of performance-based awards as share-based compensation expense over the performance period based upon its determination of whether it is probable that the performance targets will be achieved. The Company assesses the probability of achieving the performance targets at each reporting period. Cumulative adjustments, if any, are recorded to reflect subsequent changes in the estimated outcome of performance-related conditions.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market and performance-based awards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performance and market conditions attached to the RSU awards are based on the achievement of total shareholder return (“TSR”), based on the achievement of absolute TSR targets, and to a lesser extent based on TSR as compared to the FTSE 250 Index, and the MSCI Europe Health Care Index. The remaining portion is based on the achievement of strategic targets. The RSU award performance criteria have changed over time as the criteria is continually evaluated by the Group’s Remuneration Committee.</w:t>
      </w:r>
    </w:p>
    <w:p>
      <w:pPr>
        <w:pStyle w:val="HorizontalLine"/>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25730"/>
                <wp:effectExtent l="0" t="0" r="0" b="0"/>
                <wp:wrapNone/>
                <wp:docPr id="104" name="Frame10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F-31</w:t>
                      </w:r>
                    </w:p>
                  </w:txbxContent>
                </v:textbox>
              </v:rect>
            </w:pict>
          </mc:Fallback>
        </mc:AlternateContent>
      </w:r>
    </w:p>
    <w:p>
      <w:pPr>
        <w:pStyle w:val="TextBody"/>
        <w:spacing w:before="0" w:after="105"/>
        <w:rPr/>
      </w:pPr>
      <w:r>
        <w:rPr/>
      </w:r>
    </w:p>
    <w:p>
      <w:pPr>
        <w:pStyle w:val="TextBody"/>
        <w:spacing w:lineRule="auto" w:line="276" w:before="0" w:after="100"/>
        <w:rPr/>
      </w:pPr>
      <w:r>
        <w:rPr>
          <w:rFonts w:ascii="Avenir LT Pro 45 Book;sans-serif" w:hAnsi="Avenir LT Pro 45 Book;sans-serif"/>
          <w:b w:val="false"/>
          <w:color w:val="000000"/>
          <w:sz w:val="17"/>
        </w:rPr>
        <w:t xml:space="preserve">In 2017, the Company granted certain executives RSUs that vested based on the service, market and performance conditions, as described above. The vesting of all RSUs was achieved by December 31, 2019 where all service, market and performance conditions were met. The remuneration committee of PureTech's Board of Directors approved the achievement of the vesting conditions as of December 31, 2019 and reached the decision during the year ended December 31, 2020 to cash settle the 2017 RSUs. The settlement value was determined based on the 3 day average closing price of the shares. The settlement value was $12.5 million </w:t>
      </w:r>
      <w:r>
        <w:rPr>
          <w:rFonts w:ascii="Avenir LT Pro 45 Book;sans-serif" w:hAnsi="Avenir LT Pro 45 Book;sans-serif"/>
          <w:b w:val="false"/>
          <w:color w:val="000000"/>
          <w:sz w:val="17"/>
          <w:highlight w:val="white"/>
        </w:rPr>
        <w:t xml:space="preserve">(which after deducting tax withheld on behalf of recipients amounted to </w:t>
      </w:r>
      <w:r>
        <w:rPr>
          <w:rFonts w:ascii="Avenir LT Pro 45 Book;sans-serif" w:hAnsi="Avenir LT Pro 45 Book;sans-serif"/>
          <w:b w:val="false"/>
          <w:color w:val="000000"/>
          <w:sz w:val="17"/>
        </w:rPr>
        <w:t>$7.2 million</w:t>
      </w:r>
      <w:r>
        <w:rPr>
          <w:rFonts w:ascii="Avenir LT Pro 45 Book;sans-serif" w:hAnsi="Avenir LT Pro 45 Book;sans-serif"/>
          <w:b w:val="false"/>
          <w:color w:val="000000"/>
          <w:sz w:val="17"/>
          <w:highlight w:val="white"/>
        </w:rPr>
        <w:t>)</w:t>
      </w:r>
      <w:r>
        <w:rPr>
          <w:rFonts w:ascii="Avenir LT Pro 45 Book;sans-serif" w:hAnsi="Avenir LT Pro 45 Book;sans-serif"/>
          <w:b w:val="false"/>
          <w:color w:val="000000"/>
          <w:sz w:val="17"/>
        </w:rPr>
        <w:t>. The settlement value did not exceed the fair value at settlement date and as such the cash settlement was treated as an equity transaction in the financial statements for the year ended December 31, 2020, whereby the full repurchase cash settlement amount was charged to equity in Other reserves.</w:t>
      </w:r>
    </w:p>
    <w:p>
      <w:pPr>
        <w:pStyle w:val="TextBody"/>
        <w:spacing w:lineRule="auto" w:line="288" w:before="0" w:after="100"/>
        <w:rPr/>
      </w:pPr>
      <w:r>
        <w:rPr>
          <w:rFonts w:ascii="Avenir LT Pro 45 Book;sans-serif" w:hAnsi="Avenir LT Pro 45 Book;sans-serif"/>
          <w:b w:val="false"/>
          <w:color w:val="000000"/>
          <w:sz w:val="17"/>
          <w:highlight w:val="white"/>
        </w:rPr>
        <w:t xml:space="preserve">Similarly in 2018, the Company granted certain executives RSUs that vested based on service, market and performance conditions, as described above. The vesting of all RSUs was achieved by </w:t>
      </w:r>
      <w:r>
        <w:rPr>
          <w:rFonts w:ascii="Avenir LT Pro 45 Book;sans-serif" w:hAnsi="Avenir LT Pro 45 Book;sans-serif"/>
          <w:b w:val="false"/>
          <w:color w:val="000000"/>
          <w:sz w:val="17"/>
        </w:rPr>
        <w:t>December 31, 2020</w:t>
      </w:r>
      <w:r>
        <w:rPr>
          <w:color w:val="000000"/>
          <w:highlight w:val="white"/>
        </w:rPr>
        <w:t xml:space="preserve"> </w:t>
      </w:r>
      <w:r>
        <w:rPr>
          <w:rFonts w:ascii="Avenir LT Pro 45 Book;sans-serif" w:hAnsi="Avenir LT Pro 45 Book;sans-serif"/>
          <w:b w:val="false"/>
          <w:color w:val="000000"/>
          <w:sz w:val="17"/>
          <w:highlight w:val="white"/>
        </w:rPr>
        <w:t xml:space="preserve">where all service, market and performance conditions were met. In February 2021 the remuneration committee of PureTech's board of directors approved the achievement of the vesting conditions as of </w:t>
      </w:r>
      <w:r>
        <w:rPr>
          <w:rFonts w:ascii="Avenir LT Pro 45 Book;sans-serif" w:hAnsi="Avenir LT Pro 45 Book;sans-serif"/>
          <w:b w:val="false"/>
          <w:color w:val="000000"/>
          <w:sz w:val="17"/>
        </w:rPr>
        <w:t xml:space="preserve">December 31, 2020 </w:t>
      </w:r>
      <w:r>
        <w:rPr>
          <w:rFonts w:ascii="Avenir LT Pro 45 Book;sans-serif" w:hAnsi="Avenir LT Pro 45 Book;sans-serif"/>
          <w:b w:val="false"/>
          <w:color w:val="000000"/>
          <w:sz w:val="17"/>
          <w:highlight w:val="white"/>
        </w:rPr>
        <w:t>and on May 28, 2021 reached the decision to cash settle RSUs to certain employees while others were issued shares. The settlement value was determined based on the three day average closing price of the shares. The settlement va</w:t>
      </w:r>
      <w:r>
        <w:rPr>
          <w:rFonts w:ascii="Avenir LT Pro 45 Book;sans-serif" w:hAnsi="Avenir LT Pro 45 Book;sans-serif"/>
          <w:b w:val="false"/>
          <w:color w:val="000000"/>
          <w:sz w:val="17"/>
        </w:rPr>
        <w:t xml:space="preserve">lue was $10.7 million (which </w:t>
      </w:r>
      <w:r>
        <w:rPr>
          <w:rFonts w:ascii="Avenir LT Pro 45 Book;sans-serif" w:hAnsi="Avenir LT Pro 45 Book;sans-serif"/>
          <w:b w:val="false"/>
          <w:color w:val="000000"/>
          <w:sz w:val="17"/>
          <w:highlight w:val="white"/>
        </w:rPr>
        <w:t xml:space="preserve">after deducting tax withheld on behalf of recipients amounted to $6.4 million). The settlement value did not exceed the fair value at settlement date and as such the cash settlement was treated as an equity transaction, whereby the full repurchase cash settlement amount was charged to equity in Other reserves in the financial statements as of and for the </w:t>
      </w:r>
      <w:r>
        <w:rPr>
          <w:rFonts w:ascii="Avenir LT Pro 45 Book;sans-serif" w:hAnsi="Avenir LT Pro 45 Book;sans-serif"/>
          <w:b w:val="false"/>
          <w:color w:val="000000"/>
          <w:sz w:val="17"/>
        </w:rPr>
        <w:t>year ended December 31, 2021.</w:t>
      </w:r>
    </w:p>
    <w:p>
      <w:pPr>
        <w:pStyle w:val="TextBody"/>
        <w:spacing w:lineRule="auto" w:line="288" w:before="0" w:after="100"/>
        <w:rPr>
          <w:rFonts w:ascii="Avenir LT Pro 45 Book;sans-serif" w:hAnsi="Avenir LT Pro 45 Book;sans-serif"/>
          <w:b w:val="false"/>
          <w:color w:val="000000"/>
          <w:sz w:val="17"/>
          <w:highlight w:val="white"/>
        </w:rPr>
      </w:pPr>
      <w:r>
        <w:rPr>
          <w:rFonts w:ascii="Avenir LT Pro 45 Book;sans-serif" w:hAnsi="Avenir LT Pro 45 Book;sans-serif"/>
          <w:b w:val="false"/>
          <w:color w:val="000000"/>
          <w:sz w:val="17"/>
          <w:highlight w:val="white"/>
        </w:rPr>
        <w:t>Following the different cash settlements, the Company concluded that although the remaining RSUs are to be settled by shares according to their respective agreements, and any cash settlement is at the Company's discretion, due to past practice of cash settlement to multiple employees, some for multiple years, these RSUs to the company executives should be treated as liability awards and as such adjusted to fair value at every reporting date with changes in fair value recorded in earnings as stock based compensation expense.</w:t>
      </w:r>
    </w:p>
    <w:p>
      <w:pPr>
        <w:pStyle w:val="TextBody"/>
        <w:spacing w:lineRule="auto" w:line="288" w:before="0" w:after="100"/>
        <w:rPr>
          <w:rFonts w:ascii="Avenir LT Pro 45 Book;sans-serif" w:hAnsi="Avenir LT Pro 45 Book;sans-serif"/>
          <w:b w:val="false"/>
          <w:color w:val="000000"/>
          <w:sz w:val="17"/>
          <w:highlight w:val="white"/>
        </w:rPr>
      </w:pPr>
      <w:r>
        <w:rPr>
          <w:rFonts w:ascii="Avenir LT Pro 45 Book;sans-serif" w:hAnsi="Avenir LT Pro 45 Book;sans-serif"/>
          <w:b w:val="false"/>
          <w:color w:val="000000"/>
          <w:sz w:val="17"/>
          <w:highlight w:val="white"/>
        </w:rPr>
        <w:t xml:space="preserve">Consequently, the Company reclassified during the year ended December 31, 2021 $1.9 million from equity to other non-current liabilities and $4.8 million from equity to other payables equal to the fair value of the awards at the date of reclassification. The Company treated the excess of the fair value at the reclassification date over the grant date fair value of the RSUs (for the portion of the vesting period that has already elapsed) in the amount of $2.9 million as an equity transaction. Therefore the full amount of the liability at reclassification was recorded as a charge to equity. The changes in fair value of the liability from reclassification date to balance sheet date or settlement date are recorded as stock-based compensation expense in the Consolidated Statement of Comprehensive Income (loss).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Company incurred share-based payment expenses for performance, market and service based RSUs of $1.6 million (including $1.1 million expense in respect of RSU liability awards), $1.5 million (including $0.6 million expense in respect of RSU liability awards), and $5.7 million for the years ended December 31, 2022, 2021 and 2020, respectively. The decrease in the share based compensation expense in respect of the RSUs for the year ended December 31, 2021, as compared to the year ended December 31, 2020 is due to reduction in the fair value of the liability awards as compared to their value at the date the awards were reclassified from equity awards to liability awards, as well as forfeitures of certain awards due to unexpected terminations of RSU holders.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the carrying amount of the RSU liability awards was $5.9 million, $1.8 million current; $4.1 million non current, out of which $1.8 million related to awards that have met all their performance and market conditions.</w:t>
      </w:r>
    </w:p>
    <w:p>
      <w:pPr>
        <w:pStyle w:val="HorizontalLine"/>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25730"/>
                <wp:effectExtent l="0" t="0" r="0" b="0"/>
                <wp:wrapNone/>
                <wp:docPr id="105" name="Frame10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F-32</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Stock Options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Stock option activity for the years ended December 31, 2022, 2021 and 2020, is detailed as follows:</w:t>
      </w:r>
    </w:p>
    <w:tbl>
      <w:tblPr>
        <w:tblW w:w="10205" w:type="dxa"/>
        <w:jc w:val="left"/>
        <w:tblInd w:w="0" w:type="dxa"/>
        <w:tblCellMar>
          <w:top w:w="28" w:type="dxa"/>
          <w:left w:w="28" w:type="dxa"/>
          <w:bottom w:w="28" w:type="dxa"/>
          <w:right w:w="28" w:type="dxa"/>
        </w:tblCellMar>
      </w:tblPr>
      <w:tblGrid>
        <w:gridCol w:w="1325"/>
        <w:gridCol w:w="1165"/>
        <w:gridCol w:w="1170"/>
        <w:gridCol w:w="623"/>
        <w:gridCol w:w="623"/>
        <w:gridCol w:w="356"/>
        <w:gridCol w:w="590"/>
        <w:gridCol w:w="532"/>
        <w:gridCol w:w="534"/>
        <w:gridCol w:w="439"/>
        <w:gridCol w:w="439"/>
        <w:gridCol w:w="441"/>
        <w:gridCol w:w="574"/>
        <w:gridCol w:w="574"/>
        <w:gridCol w:w="820"/>
      </w:tblGrid>
      <w:tr>
        <w:trPr/>
        <w:tc>
          <w:tcPr>
            <w:tcW w:w="1325"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Number of Options</w:t>
            </w:r>
          </w:p>
        </w:tc>
        <w:tc>
          <w:tcPr>
            <w:tcW w:w="165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Exercise Price (GBP)</w:t>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of</w:t>
              <w:br/>
              <w:t>remaining contractual</w:t>
              <w:br/>
              <w:t>term (in years)</w:t>
            </w:r>
          </w:p>
        </w:tc>
        <w:tc>
          <w:tcPr>
            <w:tcW w:w="196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Stock Price at Exercise (GBP)</w:t>
            </w:r>
          </w:p>
        </w:tc>
      </w:tr>
      <w:tr>
        <w:trPr/>
        <w:tc>
          <w:tcPr>
            <w:tcW w:w="3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January 1, 2020</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8,472,827</w:t>
            </w:r>
            <w:r>
              <w:rPr>
                <w:color w:val="000000"/>
              </w:rPr>
              <w:t> </w:t>
            </w:r>
          </w:p>
        </w:tc>
        <w:tc>
          <w:tcPr>
            <w:tcW w:w="3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1.16</w:t>
            </w:r>
            <w:r>
              <w:rPr>
                <w:color w:val="000000"/>
              </w:rPr>
              <w:t> </w:t>
            </w:r>
          </w:p>
        </w:tc>
        <w:tc>
          <w:tcPr>
            <w:tcW w:w="53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8.55</w:t>
            </w:r>
          </w:p>
        </w:tc>
        <w:tc>
          <w:tcPr>
            <w:tcW w:w="1968"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4,076,982 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3.14 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(514,410)</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2.88</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(1,119,313)</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1.88 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Options Exercisable at December 31, 2020 and January 1, 2021</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5,447,405</w:t>
            </w:r>
            <w:r>
              <w:rPr>
                <w:color w:val="000000"/>
              </w:rPr>
              <w:t>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0.98</w:t>
            </w:r>
            <w:r>
              <w:rPr>
                <w:color w:val="000000"/>
              </w:rPr>
              <w:t>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7.46</w:t>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2020 and January 1, 2021</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10,916,086</w:t>
            </w:r>
            <w:r>
              <w:rPr>
                <w:color w:val="000000"/>
              </w:rPr>
              <w:t> </w:t>
            </w:r>
          </w:p>
        </w:tc>
        <w:tc>
          <w:tcPr>
            <w:tcW w:w="3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1.81</w:t>
            </w:r>
            <w:r>
              <w:rPr>
                <w:color w:val="000000"/>
              </w:rPr>
              <w:t> </w:t>
            </w:r>
          </w:p>
        </w:tc>
        <w:tc>
          <w:tcPr>
            <w:tcW w:w="53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8.38</w:t>
            </w:r>
          </w:p>
        </w:tc>
        <w:tc>
          <w:tcPr>
            <w:tcW w:w="1968"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5,424,000 </w:t>
            </w:r>
          </w:p>
        </w:tc>
        <w:tc>
          <w:tcPr>
            <w:tcW w:w="3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3.34 </w:t>
            </w:r>
          </w:p>
        </w:tc>
        <w:tc>
          <w:tcPr>
            <w:tcW w:w="53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(2,238,187)</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0.70 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(687,781)</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2.53 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Options Exercisable at December 31, 2021 and January 1, 2022</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4,773,873</w:t>
            </w:r>
            <w:r>
              <w:rPr>
                <w:color w:val="000000"/>
              </w:rPr>
              <w:t>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1.42</w:t>
            </w:r>
            <w:r>
              <w:rPr>
                <w:color w:val="000000"/>
              </w:rPr>
              <w:t>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6.50</w:t>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2021 and January 1, 2022</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13,414,118</w:t>
            </w:r>
            <w:r>
              <w:rPr>
                <w:color w:val="000000"/>
              </w:rPr>
              <w:t> </w:t>
            </w:r>
          </w:p>
        </w:tc>
        <w:tc>
          <w:tcPr>
            <w:tcW w:w="3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2.58</w:t>
            </w:r>
            <w:r>
              <w:rPr>
                <w:color w:val="000000"/>
              </w:rPr>
              <w:t> </w:t>
            </w:r>
          </w:p>
        </w:tc>
        <w:tc>
          <w:tcPr>
            <w:tcW w:w="53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8.29</w:t>
            </w:r>
          </w:p>
        </w:tc>
        <w:tc>
          <w:tcPr>
            <w:tcW w:w="1968"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8,881,000 </w:t>
            </w:r>
          </w:p>
        </w:tc>
        <w:tc>
          <w:tcPr>
            <w:tcW w:w="3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2.04 </w:t>
            </w:r>
          </w:p>
        </w:tc>
        <w:tc>
          <w:tcPr>
            <w:tcW w:w="53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(577,022)</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0.50 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2.43</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(3,924,215)</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Options Exercisable at December 31, 2022</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6,185,216</w:t>
            </w:r>
            <w:r>
              <w:rPr>
                <w:color w:val="000000"/>
              </w:rPr>
              <w:t>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2.03</w:t>
            </w:r>
            <w:r>
              <w:rPr>
                <w:color w:val="000000"/>
              </w:rPr>
              <w:t> </w:t>
            </w:r>
          </w:p>
        </w:tc>
        <w:tc>
          <w:tcPr>
            <w:tcW w:w="5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6.21</w:t>
            </w:r>
          </w:p>
        </w:tc>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2022</w:t>
            </w:r>
          </w:p>
        </w:tc>
        <w:tc>
          <w:tcPr>
            <w:tcW w:w="1246"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17,793,881</w:t>
            </w:r>
            <w:r>
              <w:rPr>
                <w:color w:val="000000"/>
              </w:rPr>
              <w:t> </w:t>
            </w:r>
          </w:p>
        </w:tc>
        <w:tc>
          <w:tcPr>
            <w:tcW w:w="356"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2.31</w:t>
            </w:r>
            <w:r>
              <w:rPr>
                <w:color w:val="000000"/>
              </w:rPr>
              <w:t> </w:t>
            </w:r>
          </w:p>
        </w:tc>
        <w:tc>
          <w:tcPr>
            <w:tcW w:w="534"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8.03</w:t>
            </w:r>
          </w:p>
        </w:tc>
        <w:tc>
          <w:tcPr>
            <w:tcW w:w="1968" w:type="dxa"/>
            <w:gridSpan w:val="3"/>
            <w:tcBorders>
              <w:top w:val="single" w:sz="2" w:space="0" w:color="183964"/>
              <w:bottom w:val="single" w:sz="2"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stock options awarded by the Company was estimated at the grant date using the Black-Scholes option valuation model, considering the terms and conditions upon which options were granted, with the following weighted-average assumptions:</w:t>
      </w:r>
    </w:p>
    <w:tbl>
      <w:tblPr>
        <w:tblW w:w="5046" w:type="dxa"/>
        <w:jc w:val="left"/>
        <w:tblInd w:w="0" w:type="dxa"/>
        <w:tblCellMar>
          <w:top w:w="28" w:type="dxa"/>
          <w:left w:w="28" w:type="dxa"/>
          <w:bottom w:w="28" w:type="dxa"/>
          <w:right w:w="28" w:type="dxa"/>
        </w:tblCellMar>
      </w:tblPr>
      <w:tblGrid>
        <w:gridCol w:w="826"/>
        <w:gridCol w:w="724"/>
        <w:gridCol w:w="730"/>
        <w:gridCol w:w="353"/>
        <w:gridCol w:w="353"/>
        <w:gridCol w:w="271"/>
        <w:gridCol w:w="308"/>
        <w:gridCol w:w="308"/>
        <w:gridCol w:w="256"/>
        <w:gridCol w:w="308"/>
        <w:gridCol w:w="308"/>
        <w:gridCol w:w="301"/>
      </w:tblGrid>
      <w:tr>
        <w:trPr/>
        <w:tc>
          <w:tcPr>
            <w:tcW w:w="82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At December 31,</w:t>
            </w:r>
          </w:p>
        </w:tc>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8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228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volatility</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41.70</w:t>
            </w:r>
            <w:r>
              <w:rPr>
                <w:color w:val="000000"/>
              </w:rPr>
              <w:t> </w:t>
            </w:r>
          </w:p>
        </w:tc>
        <w:tc>
          <w:tcPr>
            <w:tcW w:w="271" w:type="dxa"/>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41.05 </w:t>
            </w:r>
          </w:p>
        </w:tc>
        <w:tc>
          <w:tcPr>
            <w:tcW w:w="256" w:type="dxa"/>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41.25 </w:t>
            </w:r>
          </w:p>
        </w:tc>
        <w:tc>
          <w:tcPr>
            <w:tcW w:w="301" w:type="dxa"/>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terms (in years)</w:t>
            </w:r>
          </w:p>
        </w:tc>
        <w:tc>
          <w:tcPr>
            <w:tcW w:w="9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6.11</w:t>
            </w:r>
          </w:p>
        </w:tc>
        <w:tc>
          <w:tcPr>
            <w:tcW w:w="8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6.16</w:t>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Risk-free interest rate</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2.13</w:t>
            </w:r>
            <w:r>
              <w:rPr>
                <w:color w:val="000000"/>
              </w:rPr>
              <w:t> </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1.06 </w:t>
            </w:r>
          </w:p>
        </w:tc>
        <w:tc>
          <w:tcPr>
            <w:tcW w:w="2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0.53 </w:t>
            </w:r>
          </w:p>
        </w:tc>
        <w:tc>
          <w:tcPr>
            <w:tcW w:w="30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dividend yield</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date fair value</w:t>
            </w:r>
          </w:p>
        </w:tc>
        <w:tc>
          <w:tcPr>
            <w:tcW w:w="70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$1.15</w:t>
            </w:r>
            <w:r>
              <w:rPr>
                <w:color w:val="000000"/>
              </w:rPr>
              <w:t> </w:t>
            </w:r>
          </w:p>
        </w:tc>
        <w:tc>
          <w:tcPr>
            <w:tcW w:w="271"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$1.87 </w:t>
            </w:r>
          </w:p>
        </w:tc>
        <w:tc>
          <w:tcPr>
            <w:tcW w:w="256"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$1.72 </w:t>
            </w:r>
          </w:p>
        </w:tc>
        <w:tc>
          <w:tcPr>
            <w:tcW w:w="301"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incurred share-based payment expense for the stock options of $8.4 million, $6.2 million and $2.1 million for the years ended December 31, 2022, 2021 and 2020, respectively. The increase in expense for the year ended December 31, 2022, as compared to the year ended December 31, 2021, is due to the new grants granted in 2022. The increase in expense for the year ended December 31, 2021, as compared to the year ended December 31, 2020, is due to new grants granted in 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shares outstanding as of December 31, 2022, the range of exercise prices is detailed as follows:</w:t>
      </w:r>
    </w:p>
    <w:tbl>
      <w:tblPr>
        <w:tblW w:w="6630" w:type="dxa"/>
        <w:jc w:val="left"/>
        <w:tblInd w:w="0" w:type="dxa"/>
        <w:tblCellMar>
          <w:top w:w="28" w:type="dxa"/>
          <w:left w:w="28" w:type="dxa"/>
          <w:bottom w:w="28" w:type="dxa"/>
          <w:right w:w="28" w:type="dxa"/>
        </w:tblCellMar>
      </w:tblPr>
      <w:tblGrid>
        <w:gridCol w:w="873"/>
        <w:gridCol w:w="768"/>
        <w:gridCol w:w="774"/>
        <w:gridCol w:w="623"/>
        <w:gridCol w:w="623"/>
        <w:gridCol w:w="331"/>
        <w:gridCol w:w="294"/>
        <w:gridCol w:w="294"/>
        <w:gridCol w:w="296"/>
        <w:gridCol w:w="512"/>
        <w:gridCol w:w="512"/>
        <w:gridCol w:w="730"/>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Range of Exercise Prices (GBP)</w:t>
            </w:r>
          </w:p>
        </w:tc>
        <w:tc>
          <w:tcPr>
            <w:tcW w:w="15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Options</w:t>
              <w:br/>
              <w:t>Outstanding</w:t>
            </w:r>
          </w:p>
        </w:tc>
        <w:tc>
          <w:tcPr>
            <w:tcW w:w="88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w:t>
              <w:br/>
              <w:t>Average</w:t>
              <w:br/>
              <w:t>Exercise</w:t>
              <w:br/>
              <w:t>Price (GBP)</w:t>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of</w:t>
              <w:br/>
              <w:t>remaining contractual</w:t>
              <w:br/>
              <w:t>term (in years)</w:t>
            </w:r>
          </w:p>
        </w:tc>
      </w:tr>
      <w:tr>
        <w:trPr/>
        <w:tc>
          <w:tcPr>
            <w:tcW w:w="241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w:t>
            </w:r>
          </w:p>
        </w:tc>
        <w:tc>
          <w:tcPr>
            <w:tcW w:w="12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439,490 </w:t>
            </w:r>
          </w:p>
        </w:tc>
        <w:tc>
          <w:tcPr>
            <w:tcW w:w="33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6.76</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1.00 to 2.00</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6,276,391 </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7.00</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2.00 to 3.00</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5,375,750 </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2.26 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8.92</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3.00 to 4.00</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5,702,250 </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3.34 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8.40</w:t>
            </w:r>
          </w:p>
        </w:tc>
      </w:tr>
      <w:tr>
        <w:trPr/>
        <w:tc>
          <w:tcPr>
            <w:tcW w:w="2415"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124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17,793,881</w:t>
            </w:r>
            <w:r>
              <w:rPr>
                <w:color w:val="000000"/>
              </w:rPr>
              <w:t> </w:t>
            </w:r>
          </w:p>
        </w:tc>
        <w:tc>
          <w:tcPr>
            <w:tcW w:w="33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2.31</w:t>
            </w:r>
            <w:r>
              <w:rPr>
                <w:color w:val="000000"/>
              </w:rPr>
              <w:t> </w:t>
            </w:r>
          </w:p>
        </w:tc>
        <w:tc>
          <w:tcPr>
            <w:tcW w:w="29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8.03</w:t>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Subsidiary Plans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Certain subsidiaries of the Group have adopted stock option plans. A summary of stock option activity by number of shares in these subsidiaries is presented in the following table:</w:t>
      </w:r>
    </w:p>
    <w:tbl>
      <w:tblPr>
        <w:tblW w:w="10205" w:type="dxa"/>
        <w:jc w:val="left"/>
        <w:tblInd w:w="0" w:type="dxa"/>
        <w:tblCellMar>
          <w:top w:w="28" w:type="dxa"/>
          <w:left w:w="28" w:type="dxa"/>
          <w:bottom w:w="28" w:type="dxa"/>
          <w:right w:w="28" w:type="dxa"/>
        </w:tblCellMar>
      </w:tblPr>
      <w:tblGrid>
        <w:gridCol w:w="299"/>
        <w:gridCol w:w="262"/>
        <w:gridCol w:w="265"/>
        <w:gridCol w:w="792"/>
        <w:gridCol w:w="342"/>
        <w:gridCol w:w="343"/>
        <w:gridCol w:w="629"/>
        <w:gridCol w:w="321"/>
        <w:gridCol w:w="236"/>
        <w:gridCol w:w="669"/>
        <w:gridCol w:w="297"/>
        <w:gridCol w:w="276"/>
        <w:gridCol w:w="619"/>
        <w:gridCol w:w="227"/>
        <w:gridCol w:w="226"/>
        <w:gridCol w:w="659"/>
        <w:gridCol w:w="307"/>
        <w:gridCol w:w="266"/>
        <w:gridCol w:w="717"/>
        <w:gridCol w:w="430"/>
        <w:gridCol w:w="431"/>
        <w:gridCol w:w="819"/>
        <w:gridCol w:w="314"/>
        <w:gridCol w:w="459"/>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Outstanding as of January 1, 2022</w:t>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Granted During the Year</w:t>
            </w:r>
          </w:p>
        </w:tc>
        <w:tc>
          <w:tcPr>
            <w:tcW w:w="12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Exercised During the Year</w:t>
            </w:r>
          </w:p>
        </w:tc>
        <w:tc>
          <w:tcPr>
            <w:tcW w:w="10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Expired During the Year</w:t>
            </w:r>
          </w:p>
        </w:tc>
        <w:tc>
          <w:tcPr>
            <w:tcW w:w="12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Forfeited During the Year</w:t>
            </w:r>
          </w:p>
        </w:tc>
        <w:tc>
          <w:tcPr>
            <w:tcW w:w="157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Deconsolidation During the Year</w:t>
            </w:r>
          </w:p>
        </w:tc>
        <w:tc>
          <w:tcPr>
            <w:tcW w:w="159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Outstanding as of December 31, 2022</w:t>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13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349,500</w:t>
            </w:r>
            <w:r>
              <w:rPr>
                <w:color w:val="000000"/>
              </w:rPr>
              <w:t> </w:t>
            </w:r>
          </w:p>
        </w:tc>
        <w:tc>
          <w:tcPr>
            <w:tcW w:w="34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45,000</w:t>
            </w:r>
            <w:r>
              <w:rPr>
                <w:color w:val="000000"/>
              </w:rPr>
              <w:t> </w:t>
            </w:r>
          </w:p>
        </w:tc>
        <w:tc>
          <w:tcPr>
            <w:tcW w:w="23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(50,000)</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3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459"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1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2,686,120</w:t>
            </w:r>
            <w:r>
              <w:rPr>
                <w:color w:val="000000"/>
              </w:rPr>
              <w:t>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90,000</w:t>
            </w:r>
            <w:r>
              <w:rPr>
                <w:color w:val="000000"/>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2,776,120</w:t>
            </w:r>
            <w:r>
              <w:rPr>
                <w:color w:val="000000"/>
              </w:rPr>
              <w:t> </w:t>
            </w:r>
          </w:p>
        </w:tc>
        <w:tc>
          <w:tcPr>
            <w:tcW w:w="4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11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2,049,004</w:t>
            </w:r>
            <w:r>
              <w:rPr>
                <w:color w:val="000000"/>
              </w:rPr>
              <w:t> </w:t>
            </w:r>
          </w:p>
        </w:tc>
        <w:tc>
          <w:tcPr>
            <w:tcW w:w="3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(2,049,004)</w:t>
            </w:r>
          </w:p>
        </w:tc>
        <w:tc>
          <w:tcPr>
            <w:tcW w:w="4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578" w:type="dxa"/>
            <w:gridSpan w:val="3"/>
            <w:tcBorders/>
            <w:shd w:fill="auto" w:val="clear"/>
            <w:vAlign w:val="center"/>
          </w:tcPr>
          <w:p>
            <w:pPr>
              <w:pStyle w:val="TableContents"/>
              <w:spacing w:before="0" w:after="283"/>
              <w:rPr>
                <w:sz w:val="4"/>
                <w:szCs w:val="4"/>
              </w:rPr>
            </w:pPr>
            <w:r>
              <w:rPr>
                <w:sz w:val="4"/>
                <w:szCs w:val="4"/>
              </w:rPr>
            </w:r>
          </w:p>
        </w:tc>
        <w:tc>
          <w:tcPr>
            <w:tcW w:w="1592"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134"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1,991,637</w:t>
            </w:r>
            <w:r>
              <w:rPr>
                <w:color w:val="000000"/>
              </w:rPr>
              <w:t> </w:t>
            </w:r>
          </w:p>
        </w:tc>
        <w:tc>
          <w:tcPr>
            <w:tcW w:w="343"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5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490,506</w:t>
            </w:r>
            <w:r>
              <w:rPr>
                <w:color w:val="000000"/>
              </w:rPr>
              <w:t> </w:t>
            </w:r>
          </w:p>
        </w:tc>
        <w:tc>
          <w:tcPr>
            <w:tcW w:w="23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6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(400,000)</w:t>
            </w:r>
          </w:p>
        </w:tc>
        <w:tc>
          <w:tcPr>
            <w:tcW w:w="27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(65,235)</w:t>
            </w:r>
          </w:p>
        </w:tc>
        <w:tc>
          <w:tcPr>
            <w:tcW w:w="22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6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(192,332)</w:t>
            </w:r>
          </w:p>
        </w:tc>
        <w:tc>
          <w:tcPr>
            <w:tcW w:w="26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47"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431"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33"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1,824,576</w:t>
            </w:r>
            <w:r>
              <w:rPr>
                <w:color w:val="000000"/>
              </w:rPr>
              <w:t> </w:t>
            </w:r>
          </w:p>
        </w:tc>
        <w:tc>
          <w:tcPr>
            <w:tcW w:w="459"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25730"/>
                <wp:effectExtent l="0" t="0" r="0" b="0"/>
                <wp:wrapNone/>
                <wp:docPr id="106" name="Frame10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F-33</w:t>
                      </w:r>
                    </w:p>
                  </w:txbxContent>
                </v:textbox>
              </v:rect>
            </w:pict>
          </mc:Fallback>
        </mc:AlternateContent>
      </w:r>
    </w:p>
    <w:p>
      <w:pPr>
        <w:pStyle w:val="TextBody"/>
        <w:spacing w:before="0" w:after="105"/>
        <w:rPr/>
      </w:pPr>
      <w:r>
        <w:rPr/>
      </w:r>
    </w:p>
    <w:tbl>
      <w:tblPr>
        <w:tblW w:w="10205" w:type="dxa"/>
        <w:jc w:val="left"/>
        <w:tblInd w:w="0" w:type="dxa"/>
        <w:tblCellMar>
          <w:top w:w="28" w:type="dxa"/>
          <w:left w:w="28" w:type="dxa"/>
          <w:bottom w:w="28" w:type="dxa"/>
          <w:right w:w="28" w:type="dxa"/>
        </w:tblCellMar>
      </w:tblPr>
      <w:tblGrid>
        <w:gridCol w:w="298"/>
        <w:gridCol w:w="261"/>
        <w:gridCol w:w="267"/>
        <w:gridCol w:w="665"/>
        <w:gridCol w:w="378"/>
        <w:gridCol w:w="379"/>
        <w:gridCol w:w="619"/>
        <w:gridCol w:w="381"/>
        <w:gridCol w:w="267"/>
        <w:gridCol w:w="654"/>
        <w:gridCol w:w="366"/>
        <w:gridCol w:w="302"/>
        <w:gridCol w:w="604"/>
        <w:gridCol w:w="271"/>
        <w:gridCol w:w="252"/>
        <w:gridCol w:w="639"/>
        <w:gridCol w:w="378"/>
        <w:gridCol w:w="287"/>
        <w:gridCol w:w="461"/>
        <w:gridCol w:w="461"/>
        <w:gridCol w:w="462"/>
        <w:gridCol w:w="688"/>
        <w:gridCol w:w="353"/>
        <w:gridCol w:w="512"/>
      </w:tblGrid>
      <w:tr>
        <w:trPr/>
        <w:tc>
          <w:tcPr>
            <w:tcW w:w="29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January 1, 2021</w:t>
            </w:r>
          </w:p>
        </w:tc>
        <w:tc>
          <w:tcPr>
            <w:tcW w:w="126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Granted During the Year</w:t>
            </w:r>
          </w:p>
        </w:tc>
        <w:tc>
          <w:tcPr>
            <w:tcW w:w="132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Exercised During the Year</w:t>
            </w:r>
          </w:p>
        </w:tc>
        <w:tc>
          <w:tcPr>
            <w:tcW w:w="11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Expired During the Year</w:t>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Forfeited During the Year</w:t>
            </w:r>
          </w:p>
        </w:tc>
        <w:tc>
          <w:tcPr>
            <w:tcW w:w="138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Deconsolidation During the Year</w:t>
            </w:r>
          </w:p>
        </w:tc>
        <w:tc>
          <w:tcPr>
            <w:tcW w:w="155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December 31, 2021</w:t>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Alivio</w:t>
            </w:r>
          </w:p>
        </w:tc>
        <w:tc>
          <w:tcPr>
            <w:tcW w:w="104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3,888,168 </w:t>
            </w:r>
          </w:p>
        </w:tc>
        <w:tc>
          <w:tcPr>
            <w:tcW w:w="379"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197,398 </w:t>
            </w:r>
          </w:p>
        </w:tc>
        <w:tc>
          <w:tcPr>
            <w:tcW w:w="26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(2,373,750)</w:t>
            </w:r>
          </w:p>
        </w:tc>
        <w:tc>
          <w:tcPr>
            <w:tcW w:w="30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(506,260)</w:t>
            </w:r>
          </w:p>
        </w:tc>
        <w:tc>
          <w:tcPr>
            <w:tcW w:w="25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(1,205,556)</w:t>
            </w:r>
          </w:p>
        </w:tc>
        <w:tc>
          <w:tcPr>
            <w:tcW w:w="28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0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962,000 </w:t>
            </w:r>
          </w:p>
        </w:tc>
        <w:tc>
          <w:tcPr>
            <w:tcW w:w="3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(525,000)</w:t>
            </w:r>
          </w:p>
        </w:tc>
        <w:tc>
          <w:tcPr>
            <w:tcW w:w="3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(87,500)</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349,500 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0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1,309,040 </w:t>
            </w:r>
          </w:p>
        </w:tc>
        <w:tc>
          <w:tcPr>
            <w:tcW w:w="3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1,383,080 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(6,000)</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2,686,120 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10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2,192,834 </w:t>
            </w:r>
          </w:p>
        </w:tc>
        <w:tc>
          <w:tcPr>
            <w:tcW w:w="3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(51,507)</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(92,323)</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2,049,004 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422"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043"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1,741,888 </w:t>
            </w:r>
          </w:p>
        </w:tc>
        <w:tc>
          <w:tcPr>
            <w:tcW w:w="379"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0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451,532 </w:t>
            </w:r>
          </w:p>
        </w:tc>
        <w:tc>
          <w:tcPr>
            <w:tcW w:w="267"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2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(52,938)</w:t>
            </w:r>
          </w:p>
        </w:tc>
        <w:tc>
          <w:tcPr>
            <w:tcW w:w="302"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75"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(76,491)</w:t>
            </w:r>
          </w:p>
        </w:tc>
        <w:tc>
          <w:tcPr>
            <w:tcW w:w="252"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17"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(72,354)</w:t>
            </w:r>
          </w:p>
        </w:tc>
        <w:tc>
          <w:tcPr>
            <w:tcW w:w="287"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22"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462"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41"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1,991,637 </w:t>
            </w:r>
          </w:p>
        </w:tc>
        <w:tc>
          <w:tcPr>
            <w:tcW w:w="512"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98"/>
        <w:gridCol w:w="261"/>
        <w:gridCol w:w="267"/>
        <w:gridCol w:w="692"/>
        <w:gridCol w:w="448"/>
        <w:gridCol w:w="450"/>
        <w:gridCol w:w="601"/>
        <w:gridCol w:w="319"/>
        <w:gridCol w:w="320"/>
        <w:gridCol w:w="354"/>
        <w:gridCol w:w="354"/>
        <w:gridCol w:w="355"/>
        <w:gridCol w:w="304"/>
        <w:gridCol w:w="304"/>
        <w:gridCol w:w="305"/>
        <w:gridCol w:w="601"/>
        <w:gridCol w:w="339"/>
        <w:gridCol w:w="340"/>
        <w:gridCol w:w="514"/>
        <w:gridCol w:w="514"/>
        <w:gridCol w:w="515"/>
        <w:gridCol w:w="711"/>
        <w:gridCol w:w="426"/>
        <w:gridCol w:w="613"/>
      </w:tblGrid>
      <w:tr>
        <w:trPr/>
        <w:tc>
          <w:tcPr>
            <w:tcW w:w="29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January 1, 2020</w:t>
            </w:r>
          </w:p>
        </w:tc>
        <w:tc>
          <w:tcPr>
            <w:tcW w:w="124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Granted During the Year</w:t>
            </w:r>
          </w:p>
        </w:tc>
        <w:tc>
          <w:tcPr>
            <w:tcW w:w="106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Exercised During the Year</w:t>
            </w:r>
          </w:p>
        </w:tc>
        <w:tc>
          <w:tcPr>
            <w:tcW w:w="91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Expired During the Year</w:t>
            </w:r>
          </w:p>
        </w:tc>
        <w:tc>
          <w:tcPr>
            <w:tcW w:w="128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Forfeited During the Year</w:t>
            </w:r>
          </w:p>
        </w:tc>
        <w:tc>
          <w:tcPr>
            <w:tcW w:w="15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Deconsolidation During the Year</w:t>
            </w:r>
          </w:p>
        </w:tc>
        <w:tc>
          <w:tcPr>
            <w:tcW w:w="175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December 31, 2020</w:t>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Alivio</w:t>
            </w:r>
          </w:p>
        </w:tc>
        <w:tc>
          <w:tcPr>
            <w:tcW w:w="114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3,698,244 </w:t>
            </w:r>
          </w:p>
        </w:tc>
        <w:tc>
          <w:tcPr>
            <w:tcW w:w="45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189,924 </w:t>
            </w:r>
          </w:p>
        </w:tc>
        <w:tc>
          <w:tcPr>
            <w:tcW w:w="32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3,888,168 </w:t>
            </w:r>
          </w:p>
        </w:tc>
        <w:tc>
          <w:tcPr>
            <w:tcW w:w="61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1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972,000 </w:t>
            </w:r>
          </w:p>
        </w:tc>
        <w:tc>
          <w:tcPr>
            <w:tcW w:w="4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(10,000)</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962,000 </w:t>
            </w:r>
          </w:p>
        </w:tc>
        <w:tc>
          <w:tcPr>
            <w:tcW w:w="6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1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1,309,040 </w:t>
            </w:r>
          </w:p>
        </w:tc>
        <w:tc>
          <w:tcPr>
            <w:tcW w:w="4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1,309,040 </w:t>
            </w:r>
          </w:p>
        </w:tc>
        <w:tc>
          <w:tcPr>
            <w:tcW w:w="6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11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1,829,004 </w:t>
            </w:r>
          </w:p>
        </w:tc>
        <w:tc>
          <w:tcPr>
            <w:tcW w:w="4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363,830 </w:t>
            </w:r>
          </w:p>
        </w:tc>
        <w:tc>
          <w:tcPr>
            <w:tcW w:w="3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2,192,834 </w:t>
            </w:r>
          </w:p>
        </w:tc>
        <w:tc>
          <w:tcPr>
            <w:tcW w:w="6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14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1,450,100 </w:t>
            </w:r>
          </w:p>
        </w:tc>
        <w:tc>
          <w:tcPr>
            <w:tcW w:w="450"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2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493,951 </w:t>
            </w:r>
          </w:p>
        </w:tc>
        <w:tc>
          <w:tcPr>
            <w:tcW w:w="320"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08"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(813)</w:t>
            </w:r>
          </w:p>
        </w:tc>
        <w:tc>
          <w:tcPr>
            <w:tcW w:w="355"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08"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305"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4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(201,350)</w:t>
            </w:r>
          </w:p>
        </w:tc>
        <w:tc>
          <w:tcPr>
            <w:tcW w:w="340"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28"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515"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37"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1,741,888 </w:t>
            </w:r>
          </w:p>
        </w:tc>
        <w:tc>
          <w:tcPr>
            <w:tcW w:w="613"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40"/>
        <w:ind w:left="0" w:right="0" w:hanging="284"/>
        <w:rPr/>
      </w:pPr>
      <w:r>
        <w:rPr/>
      </w:r>
    </w:p>
    <w:p>
      <w:pPr>
        <w:pStyle w:val="TextBody"/>
        <w:spacing w:before="0" w:after="40"/>
        <w:ind w:left="0" w:right="0" w:hanging="284"/>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weighted-average exercise prices and remaining contractual life for the options outstanding as of December 31, 2022, were as follows:</w:t>
      </w:r>
    </w:p>
    <w:tbl>
      <w:tblPr>
        <w:tblW w:w="10205" w:type="dxa"/>
        <w:jc w:val="left"/>
        <w:tblInd w:w="0" w:type="dxa"/>
        <w:tblCellMar>
          <w:top w:w="28" w:type="dxa"/>
          <w:left w:w="28" w:type="dxa"/>
          <w:bottom w:w="28" w:type="dxa"/>
          <w:right w:w="28" w:type="dxa"/>
        </w:tblCellMar>
      </w:tblPr>
      <w:tblGrid>
        <w:gridCol w:w="913"/>
        <w:gridCol w:w="802"/>
        <w:gridCol w:w="807"/>
        <w:gridCol w:w="582"/>
        <w:gridCol w:w="544"/>
        <w:gridCol w:w="470"/>
        <w:gridCol w:w="815"/>
        <w:gridCol w:w="815"/>
        <w:gridCol w:w="817"/>
        <w:gridCol w:w="1123"/>
        <w:gridCol w:w="1123"/>
        <w:gridCol w:w="1125"/>
        <w:gridCol w:w="109"/>
        <w:gridCol w:w="160"/>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Outstanding at December 31, 2022</w:t>
            </w:r>
          </w:p>
        </w:tc>
        <w:tc>
          <w:tcPr>
            <w:tcW w:w="159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44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3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contractual life outstanding</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2447" w:type="dxa"/>
            <w:gridSpan w:val="3"/>
            <w:tcBorders/>
            <w:shd w:fill="auto" w:val="clear"/>
            <w:vAlign w:val="center"/>
          </w:tcPr>
          <w:p>
            <w:pPr>
              <w:pStyle w:val="TableContents"/>
              <w:spacing w:before="0" w:after="283"/>
              <w:rPr>
                <w:sz w:val="4"/>
                <w:szCs w:val="4"/>
              </w:rPr>
            </w:pPr>
            <w:r>
              <w:rPr>
                <w:sz w:val="4"/>
                <w:szCs w:val="4"/>
              </w:rPr>
            </w:r>
          </w:p>
        </w:tc>
        <w:tc>
          <w:tcPr>
            <w:tcW w:w="33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1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47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1.91</w:t>
            </w:r>
            <w:r>
              <w:rPr>
                <w:color w:val="000000"/>
              </w:rPr>
              <w:t> </w:t>
            </w:r>
          </w:p>
        </w:tc>
        <w:tc>
          <w:tcPr>
            <w:tcW w:w="81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7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4.92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2,776,120</w:t>
            </w:r>
            <w:r>
              <w:rPr>
                <w:color w:val="000000"/>
              </w:rPr>
              <w:t> </w:t>
            </w:r>
          </w:p>
        </w:tc>
        <w:tc>
          <w:tcPr>
            <w:tcW w:w="4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1.41</w:t>
            </w:r>
            <w:r>
              <w:rPr>
                <w:color w:val="000000"/>
              </w:rPr>
              <w:t> </w:t>
            </w:r>
          </w:p>
        </w:tc>
        <w:tc>
          <w:tcPr>
            <w:tcW w:w="8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6.38</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12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1,824,576</w:t>
            </w:r>
            <w:r>
              <w:rPr>
                <w:color w:val="000000"/>
              </w:rPr>
              <w:t> </w:t>
            </w:r>
          </w:p>
        </w:tc>
        <w:tc>
          <w:tcPr>
            <w:tcW w:w="470"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630"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15.89</w:t>
            </w:r>
            <w:r>
              <w:rPr>
                <w:color w:val="000000"/>
              </w:rPr>
              <w:t> </w:t>
            </w:r>
          </w:p>
        </w:tc>
        <w:tc>
          <w:tcPr>
            <w:tcW w:w="817"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71"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6.88</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2447" w:type="dxa"/>
            <w:gridSpan w:val="3"/>
            <w:tcBorders/>
            <w:shd w:fill="auto" w:val="clear"/>
            <w:vAlign w:val="center"/>
          </w:tcPr>
          <w:p>
            <w:pPr>
              <w:pStyle w:val="TableContents"/>
              <w:spacing w:before="0" w:after="283"/>
              <w:rPr>
                <w:sz w:val="4"/>
                <w:szCs w:val="4"/>
              </w:rPr>
            </w:pPr>
            <w:r>
              <w:rPr>
                <w:sz w:val="4"/>
                <w:szCs w:val="4"/>
              </w:rPr>
            </w:r>
          </w:p>
        </w:tc>
        <w:tc>
          <w:tcPr>
            <w:tcW w:w="33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2447" w:type="dxa"/>
            <w:gridSpan w:val="3"/>
            <w:tcBorders/>
            <w:shd w:fill="auto" w:val="clear"/>
            <w:vAlign w:val="center"/>
          </w:tcPr>
          <w:p>
            <w:pPr>
              <w:pStyle w:val="TableContents"/>
              <w:spacing w:before="0" w:after="283"/>
              <w:rPr>
                <w:sz w:val="4"/>
                <w:szCs w:val="4"/>
              </w:rPr>
            </w:pPr>
            <w:r>
              <w:rPr>
                <w:sz w:val="4"/>
                <w:szCs w:val="4"/>
              </w:rPr>
            </w:r>
          </w:p>
        </w:tc>
        <w:tc>
          <w:tcPr>
            <w:tcW w:w="33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2447" w:type="dxa"/>
            <w:gridSpan w:val="3"/>
            <w:tcBorders/>
            <w:shd w:fill="auto" w:val="clear"/>
            <w:vAlign w:val="center"/>
          </w:tcPr>
          <w:p>
            <w:pPr>
              <w:pStyle w:val="TableContents"/>
              <w:spacing w:before="0" w:after="283"/>
              <w:rPr>
                <w:sz w:val="4"/>
                <w:szCs w:val="4"/>
              </w:rPr>
            </w:pPr>
            <w:r>
              <w:rPr>
                <w:sz w:val="4"/>
                <w:szCs w:val="4"/>
              </w:rPr>
            </w:r>
          </w:p>
        </w:tc>
        <w:tc>
          <w:tcPr>
            <w:tcW w:w="33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22"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2447" w:type="dxa"/>
            <w:gridSpan w:val="3"/>
            <w:tcBorders/>
            <w:shd w:fill="auto" w:val="clear"/>
            <w:vAlign w:val="center"/>
          </w:tcPr>
          <w:p>
            <w:pPr>
              <w:pStyle w:val="TableContents"/>
              <w:spacing w:before="0" w:after="283"/>
              <w:rPr>
                <w:sz w:val="4"/>
                <w:szCs w:val="4"/>
              </w:rPr>
            </w:pPr>
            <w:r>
              <w:rPr>
                <w:sz w:val="4"/>
                <w:szCs w:val="4"/>
              </w:rPr>
            </w:r>
          </w:p>
        </w:tc>
        <w:tc>
          <w:tcPr>
            <w:tcW w:w="33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 average exercise prices for the options granted for the years ended December 31, 2022, 2021 and 2020, were as follows:</w:t>
      </w:r>
    </w:p>
    <w:tbl>
      <w:tblPr>
        <w:tblW w:w="5072" w:type="dxa"/>
        <w:jc w:val="left"/>
        <w:tblInd w:w="0" w:type="dxa"/>
        <w:tblCellMar>
          <w:top w:w="28" w:type="dxa"/>
          <w:left w:w="28" w:type="dxa"/>
          <w:bottom w:w="28" w:type="dxa"/>
          <w:right w:w="28" w:type="dxa"/>
        </w:tblCellMar>
      </w:tblPr>
      <w:tblGrid>
        <w:gridCol w:w="945"/>
        <w:gridCol w:w="829"/>
        <w:gridCol w:w="835"/>
        <w:gridCol w:w="353"/>
        <w:gridCol w:w="353"/>
        <w:gridCol w:w="156"/>
        <w:gridCol w:w="307"/>
        <w:gridCol w:w="309"/>
        <w:gridCol w:w="156"/>
        <w:gridCol w:w="307"/>
        <w:gridCol w:w="309"/>
        <w:gridCol w:w="213"/>
      </w:tblGrid>
      <w:tr>
        <w:trPr/>
        <w:tc>
          <w:tcPr>
            <w:tcW w:w="94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86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Alivio</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0.47 </w:t>
            </w:r>
          </w:p>
        </w:tc>
        <w:tc>
          <w:tcPr>
            <w:tcW w:w="21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0.02</w:t>
            </w: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1.86</w:t>
            </w: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0.18 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r>
      <w:tr>
        <w:trPr/>
        <w:tc>
          <w:tcPr>
            <w:tcW w:w="2609"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70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14.94</w:t>
            </w:r>
            <w:r>
              <w:rPr>
                <w:color w:val="000000"/>
              </w:rPr>
              <w:t> </w:t>
            </w:r>
          </w:p>
        </w:tc>
        <w:tc>
          <w:tcPr>
            <w:tcW w:w="15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19.69 </w:t>
            </w:r>
          </w:p>
        </w:tc>
        <w:tc>
          <w:tcPr>
            <w:tcW w:w="156"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19.59 </w:t>
            </w:r>
          </w:p>
        </w:tc>
        <w:tc>
          <w:tcPr>
            <w:tcW w:w="213" w:type="dxa"/>
            <w:tcBorders>
              <w:bottom w:val="single" w:sz="2"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weighted average exercise prices for options forfeited during the year ended December 31, 2022, were as follows: </w:t>
      </w:r>
    </w:p>
    <w:tbl>
      <w:tblPr>
        <w:tblW w:w="8136" w:type="dxa"/>
        <w:jc w:val="left"/>
        <w:tblInd w:w="0" w:type="dxa"/>
        <w:tblCellMar>
          <w:top w:w="28" w:type="dxa"/>
          <w:left w:w="28" w:type="dxa"/>
          <w:bottom w:w="28" w:type="dxa"/>
          <w:right w:w="28" w:type="dxa"/>
        </w:tblCellMar>
      </w:tblPr>
      <w:tblGrid>
        <w:gridCol w:w="1401"/>
        <w:gridCol w:w="1230"/>
        <w:gridCol w:w="1239"/>
        <w:gridCol w:w="489"/>
        <w:gridCol w:w="489"/>
        <w:gridCol w:w="491"/>
        <w:gridCol w:w="844"/>
        <w:gridCol w:w="844"/>
        <w:gridCol w:w="846"/>
        <w:gridCol w:w="109"/>
        <w:gridCol w:w="154"/>
      </w:tblGrid>
      <w:tr>
        <w:trPr/>
        <w:tc>
          <w:tcPr>
            <w:tcW w:w="1401"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Forfeited during the year ended December 31, 2022</w:t>
            </w:r>
          </w:p>
        </w:tc>
        <w:tc>
          <w:tcPr>
            <w:tcW w:w="146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97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192,332</w:t>
            </w:r>
            <w:r>
              <w:rPr>
                <w:color w:val="000000"/>
              </w:rPr>
              <w:t> </w:t>
            </w:r>
          </w:p>
        </w:tc>
        <w:tc>
          <w:tcPr>
            <w:tcW w:w="491"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8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19.64</w:t>
            </w:r>
            <w:r>
              <w:rPr>
                <w:color w:val="000000"/>
              </w:rPr>
              <w:t> </w:t>
            </w:r>
          </w:p>
        </w:tc>
        <w:tc>
          <w:tcPr>
            <w:tcW w:w="84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 average exercise prices for options exercised during the year ended December 31, 2022, were as follows:</w:t>
      </w:r>
    </w:p>
    <w:tbl>
      <w:tblPr>
        <w:tblW w:w="7963" w:type="dxa"/>
        <w:jc w:val="left"/>
        <w:tblInd w:w="0" w:type="dxa"/>
        <w:tblCellMar>
          <w:top w:w="28" w:type="dxa"/>
          <w:left w:w="28" w:type="dxa"/>
          <w:bottom w:w="28" w:type="dxa"/>
          <w:right w:w="28" w:type="dxa"/>
        </w:tblCellMar>
      </w:tblPr>
      <w:tblGrid>
        <w:gridCol w:w="1418"/>
        <w:gridCol w:w="1244"/>
        <w:gridCol w:w="1253"/>
        <w:gridCol w:w="489"/>
        <w:gridCol w:w="489"/>
        <w:gridCol w:w="491"/>
        <w:gridCol w:w="755"/>
        <w:gridCol w:w="755"/>
        <w:gridCol w:w="1069"/>
      </w:tblGrid>
      <w:tr>
        <w:trPr/>
        <w:tc>
          <w:tcPr>
            <w:tcW w:w="1418"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Exercised during the year ended December 31, 2022</w:t>
            </w:r>
          </w:p>
        </w:tc>
        <w:tc>
          <w:tcPr>
            <w:tcW w:w="146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5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br/>
              <w:t>$</w:t>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79"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2579" w:type="dxa"/>
            <w:gridSpan w:val="3"/>
            <w:tcBorders/>
            <w:shd w:fill="auto" w:val="clear"/>
            <w:vAlign w:val="center"/>
          </w:tcPr>
          <w:p>
            <w:pPr>
              <w:pStyle w:val="TableContents"/>
              <w:spacing w:before="0" w:after="283"/>
              <w:rPr>
                <w:sz w:val="4"/>
                <w:szCs w:val="4"/>
              </w:rPr>
            </w:pPr>
            <w:r>
              <w:rPr>
                <w:sz w:val="4"/>
                <w:szCs w:val="4"/>
              </w:rPr>
            </w:r>
          </w:p>
        </w:tc>
      </w:tr>
      <w:tr>
        <w:trPr/>
        <w:tc>
          <w:tcPr>
            <w:tcW w:w="3915"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978"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400,000</w:t>
            </w:r>
            <w:r>
              <w:rPr>
                <w:color w:val="000000"/>
              </w:rPr>
              <w:t> </w:t>
            </w:r>
          </w:p>
        </w:tc>
        <w:tc>
          <w:tcPr>
            <w:tcW w:w="491"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10" w:type="dxa"/>
            <w:gridSpan w:val="2"/>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0.02</w:t>
            </w:r>
            <w:r>
              <w:rPr>
                <w:color w:val="000000"/>
              </w:rPr>
              <w:t> </w:t>
            </w:r>
          </w:p>
        </w:tc>
        <w:tc>
          <w:tcPr>
            <w:tcW w:w="1069" w:type="dxa"/>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 average exercise prices for options exercisable as of December 31, 2022, were as follows:</w:t>
      </w:r>
    </w:p>
    <w:tbl>
      <w:tblPr>
        <w:tblW w:w="8668" w:type="dxa"/>
        <w:jc w:val="left"/>
        <w:tblInd w:w="0" w:type="dxa"/>
        <w:tblCellMar>
          <w:top w:w="28" w:type="dxa"/>
          <w:left w:w="28" w:type="dxa"/>
          <w:bottom w:w="28" w:type="dxa"/>
          <w:right w:w="28" w:type="dxa"/>
        </w:tblCellMar>
      </w:tblPr>
      <w:tblGrid>
        <w:gridCol w:w="938"/>
        <w:gridCol w:w="826"/>
        <w:gridCol w:w="831"/>
        <w:gridCol w:w="593"/>
        <w:gridCol w:w="533"/>
        <w:gridCol w:w="501"/>
        <w:gridCol w:w="844"/>
        <w:gridCol w:w="844"/>
        <w:gridCol w:w="846"/>
        <w:gridCol w:w="549"/>
        <w:gridCol w:w="549"/>
        <w:gridCol w:w="551"/>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Exercisable at December 31, 2022</w:t>
            </w:r>
          </w:p>
        </w:tc>
        <w:tc>
          <w:tcPr>
            <w:tcW w:w="16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Exercise Price Range</w:t>
              <w:b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627"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1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5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1.91</w:t>
            </w:r>
          </w:p>
        </w:tc>
        <w:tc>
          <w:tcPr>
            <w:tcW w:w="164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0.02-2.36</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1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2,776,120</w:t>
            </w:r>
            <w:r>
              <w:rPr>
                <w:color w:val="000000"/>
              </w:rPr>
              <w:t> </w:t>
            </w:r>
          </w:p>
        </w:tc>
        <w:tc>
          <w:tcPr>
            <w:tcW w:w="5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1.41</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0.03-1.86</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627"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1,824,576</w:t>
            </w:r>
          </w:p>
        </w:tc>
        <w:tc>
          <w:tcPr>
            <w:tcW w:w="2534"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15.89</w:t>
            </w:r>
          </w:p>
        </w:tc>
        <w:tc>
          <w:tcPr>
            <w:tcW w:w="1649"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0.02-21.35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627"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627"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627"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627" w:type="dxa"/>
            <w:gridSpan w:val="3"/>
            <w:tcBorders/>
            <w:shd w:fill="auto" w:val="clear"/>
            <w:vAlign w:val="center"/>
          </w:tcPr>
          <w:p>
            <w:pPr>
              <w:pStyle w:val="TableContents"/>
              <w:spacing w:before="0" w:after="283"/>
              <w:rPr>
                <w:sz w:val="4"/>
                <w:szCs w:val="4"/>
              </w:rPr>
            </w:pPr>
            <w:r>
              <w:rPr>
                <w:sz w:val="4"/>
                <w:szCs w:val="4"/>
              </w:rPr>
            </w:r>
          </w:p>
        </w:tc>
        <w:tc>
          <w:tcPr>
            <w:tcW w:w="2534" w:type="dxa"/>
            <w:gridSpan w:val="3"/>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Significant Subsidiary Plans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Vedanta 2020 Stock Incentive Plan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2, 2020, the Company’s Board of Directors approved the 2020 Stock Incentive Plan, or 2020 Plan, which replaced the 2010 Stock Incentive Plan, or 2010 Plan, which was set to expire in December 2020. All authorized and issued shares under the 2010 Plan were transferred to the 2020 Plan. The 2020 Plan provides for the grant of incentive stock options, nonqualified stock options, and restricted stock to employees, directors, and nonemployees of the Company up to an aggregate of 2,145,867 shares of the Company's common stock. In March 2021, the Company’s Board of Directors approved an increase in </w:t>
      </w:r>
    </w:p>
    <w:p>
      <w:pPr>
        <w:pStyle w:val="HorizontalLine"/>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25730"/>
                <wp:effectExtent l="0" t="0" r="0" b="0"/>
                <wp:wrapNone/>
                <wp:docPr id="107" name="Frame10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F-34</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authorized shares of 151,188 for a total of 2,297,055. In July 2021, the Company’s Board of Directors approved an increase in the authorized shares of 500,000 for a total of 2,797,055. Under the 2020 Plan, 914,331 shares remained available for issuance as of December 31, 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options granted under the 2020 Plan are equity settled and expire 10 years from the grant date. Typically, the awards vest in four years but vesting conditions can vary based on the discretion of Vedanta’s Board of Directors.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Options granted under the 2020 Plan are exercisable at a price per share not less than the fair market value of the underlying ordinary shares on the date of grant. The estimated fair value of options, including the effect of estimated forfeitures, is recognized over the options’ vesting period.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stock option grants has been estimated at the date of grant using the Black-Scholes option pricing model with the following range of assumptions:</w:t>
      </w:r>
    </w:p>
    <w:tbl>
      <w:tblPr>
        <w:tblW w:w="7124" w:type="dxa"/>
        <w:jc w:val="left"/>
        <w:tblInd w:w="0" w:type="dxa"/>
        <w:tblCellMar>
          <w:top w:w="28" w:type="dxa"/>
          <w:left w:w="28" w:type="dxa"/>
          <w:bottom w:w="28" w:type="dxa"/>
          <w:right w:w="28" w:type="dxa"/>
        </w:tblCellMar>
      </w:tblPr>
      <w:tblGrid>
        <w:gridCol w:w="976"/>
        <w:gridCol w:w="858"/>
        <w:gridCol w:w="865"/>
        <w:gridCol w:w="527"/>
        <w:gridCol w:w="527"/>
        <w:gridCol w:w="536"/>
        <w:gridCol w:w="462"/>
        <w:gridCol w:w="462"/>
        <w:gridCol w:w="471"/>
        <w:gridCol w:w="419"/>
        <w:gridCol w:w="419"/>
        <w:gridCol w:w="602"/>
      </w:tblGrid>
      <w:tr>
        <w:trPr/>
        <w:tc>
          <w:tcPr>
            <w:tcW w:w="97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Assumption/Input</w:t>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269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award life (in years)</w:t>
            </w:r>
          </w:p>
        </w:tc>
        <w:tc>
          <w:tcPr>
            <w:tcW w:w="159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6.00-8.33</w:t>
            </w:r>
          </w:p>
        </w:tc>
        <w:tc>
          <w:tcPr>
            <w:tcW w:w="1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6.00-7.11</w:t>
            </w:r>
          </w:p>
        </w:tc>
        <w:tc>
          <w:tcPr>
            <w:tcW w:w="144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6.00-10.00</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award price volatility</w:t>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88.22%-89.68%</w:t>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88.05%-88.59%</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89.24%-95.46%</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Risk free interest rate</w:t>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1.67%-3.13%</w:t>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0.96%-1.32%</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0.32%-0.87%</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dividend yield</w:t>
            </w:r>
          </w:p>
        </w:tc>
        <w:tc>
          <w:tcPr>
            <w:tcW w:w="105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w:t>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date fair value</w:t>
            </w:r>
          </w:p>
        </w:tc>
        <w:tc>
          <w:tcPr>
            <w:tcW w:w="159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$10.51-$15.14</w:t>
            </w:r>
          </w:p>
        </w:tc>
        <w:tc>
          <w:tcPr>
            <w:tcW w:w="139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$13.84-$16.23</w:t>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$13.09-$16.54</w:t>
            </w:r>
          </w:p>
        </w:tc>
      </w:tr>
      <w:tr>
        <w:trPr/>
        <w:tc>
          <w:tcPr>
            <w:tcW w:w="2699"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price at grant date</w:t>
            </w:r>
          </w:p>
        </w:tc>
        <w:tc>
          <w:tcPr>
            <w:tcW w:w="159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$14.00-$18.84</w:t>
            </w:r>
          </w:p>
        </w:tc>
        <w:tc>
          <w:tcPr>
            <w:tcW w:w="1395"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$19.00-$21.35</w:t>
            </w:r>
          </w:p>
        </w:tc>
        <w:tc>
          <w:tcPr>
            <w:tcW w:w="1440" w:type="dxa"/>
            <w:gridSpan w:val="3"/>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$19.59</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incurred share-based compensation expense of $4.3 million, $5.4 million and $2.4 million for the years ended December 31, 2022, 2021 and 2020, respectively.</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Other Plans</w:t>
      </w:r>
    </w:p>
    <w:p>
      <w:pPr>
        <w:pStyle w:val="TextBody"/>
        <w:spacing w:lineRule="auto" w:line="288" w:before="0" w:after="100"/>
        <w:rPr/>
      </w:pPr>
      <w:r>
        <w:rPr>
          <w:rFonts w:ascii="Avenir LT Pro 45 Book;sans-serif" w:hAnsi="Avenir LT Pro 45 Book;sans-serif"/>
          <w:b w:val="false"/>
          <w:color w:val="000000"/>
          <w:sz w:val="17"/>
        </w:rPr>
        <w:t>The stock compensation expense under plans at other subsidiaries of the Group not including Vedanta amounted to</w:t>
      </w:r>
      <w:r>
        <w:rPr>
          <w:color w:val="000000"/>
          <w:highlight w:val="white"/>
        </w:rPr>
        <w:t xml:space="preserve"> </w:t>
      </w:r>
      <w:r>
        <w:rPr>
          <w:rFonts w:ascii="Avenir LT Pro 45 Book;sans-serif" w:hAnsi="Avenir LT Pro 45 Book;sans-serif"/>
          <w:b w:val="false"/>
          <w:color w:val="000000"/>
          <w:sz w:val="17"/>
        </w:rPr>
        <w:t>$0.4 million, $0.8 million and $0.4 million for the years ended December 31, 2022,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9.    Finance Cost, net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shows the breakdown of finance income and costs:</w:t>
      </w:r>
    </w:p>
    <w:tbl>
      <w:tblPr>
        <w:tblW w:w="7911" w:type="dxa"/>
        <w:jc w:val="left"/>
        <w:tblInd w:w="0" w:type="dxa"/>
        <w:tblCellMar>
          <w:top w:w="28" w:type="dxa"/>
          <w:left w:w="28" w:type="dxa"/>
          <w:bottom w:w="28" w:type="dxa"/>
          <w:right w:w="28" w:type="dxa"/>
        </w:tblCellMar>
      </w:tblPr>
      <w:tblGrid>
        <w:gridCol w:w="1804"/>
        <w:gridCol w:w="1582"/>
        <w:gridCol w:w="1593"/>
        <w:gridCol w:w="472"/>
        <w:gridCol w:w="474"/>
        <w:gridCol w:w="181"/>
        <w:gridCol w:w="344"/>
        <w:gridCol w:w="346"/>
        <w:gridCol w:w="181"/>
        <w:gridCol w:w="344"/>
        <w:gridCol w:w="346"/>
        <w:gridCol w:w="244"/>
      </w:tblGrid>
      <w:tr>
        <w:trPr/>
        <w:tc>
          <w:tcPr>
            <w:tcW w:w="1804"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3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93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income</w:t>
            </w:r>
          </w:p>
        </w:tc>
        <w:tc>
          <w:tcPr>
            <w:tcW w:w="11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income from financial assets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5,799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1,183 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income</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5,799</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1,183 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costs</w:t>
            </w:r>
          </w:p>
        </w:tc>
        <w:tc>
          <w:tcPr>
            <w:tcW w:w="11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Contractual interest expense on notes payable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 on other borrowings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(1,759)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(496)</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 on lease liability</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(1,982)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(2,354)</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foreign currency exchange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cost – contractual</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(3,939)</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(4,771)</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(2,946)</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warrant liability</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6,740</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preferred shares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130,825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8,362 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(4,234)</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convertible debt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income/(costs) – fair value accounting</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137,063</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9,606 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(4,351)</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79"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979"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r>
      <w:tr>
        <w:trPr/>
        <w:tc>
          <w:tcPr>
            <w:tcW w:w="497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income/(costs), net</w:t>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138,924</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(6,115)</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10.    Earnings/(Loss) per Share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basic and diluted income/(loss) per share has been calculated by dividing the income/(loss) for the year attributable to ordinary shareholders by the weighted average number of ordinary shares outstanding during the years ended December 31, 2022, 2021 and 2020, respectively. During the years ended December 31, 2022 and 2021 the Company incurred a net loss and therefore all outstanding potential securities were considered anti-dilutive. The amount of potential securities that were excluded from the calculation amounted to 3,134,131 and 6,553,905 shares, respectively.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Earnings/(Loss) Attributable to Owners of the Company:</w:t>
      </w:r>
    </w:p>
    <w:tbl>
      <w:tblPr>
        <w:tblW w:w="10205" w:type="dxa"/>
        <w:jc w:val="left"/>
        <w:tblInd w:w="0" w:type="dxa"/>
        <w:tblCellMar>
          <w:top w:w="28" w:type="dxa"/>
          <w:left w:w="28" w:type="dxa"/>
          <w:bottom w:w="28" w:type="dxa"/>
          <w:right w:w="28" w:type="dxa"/>
        </w:tblCellMar>
      </w:tblPr>
      <w:tblGrid>
        <w:gridCol w:w="1453"/>
        <w:gridCol w:w="1156"/>
        <w:gridCol w:w="1164"/>
        <w:gridCol w:w="440"/>
        <w:gridCol w:w="441"/>
        <w:gridCol w:w="181"/>
        <w:gridCol w:w="440"/>
        <w:gridCol w:w="441"/>
        <w:gridCol w:w="211"/>
        <w:gridCol w:w="109"/>
        <w:gridCol w:w="109"/>
        <w:gridCol w:w="109"/>
        <w:gridCol w:w="384"/>
        <w:gridCol w:w="384"/>
        <w:gridCol w:w="181"/>
        <w:gridCol w:w="384"/>
        <w:gridCol w:w="384"/>
        <w:gridCol w:w="211"/>
        <w:gridCol w:w="109"/>
        <w:gridCol w:w="109"/>
        <w:gridCol w:w="109"/>
        <w:gridCol w:w="308"/>
        <w:gridCol w:w="308"/>
        <w:gridCol w:w="181"/>
        <w:gridCol w:w="308"/>
        <w:gridCol w:w="308"/>
        <w:gridCol w:w="283"/>
      </w:tblGrid>
      <w:tr>
        <w:trPr/>
        <w:tc>
          <w:tcPr>
            <w:tcW w:w="145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3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3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w:t>
              <w:br/>
              <w:t>$000s</w:t>
            </w:r>
          </w:p>
        </w:tc>
        <w:tc>
          <w:tcPr>
            <w:tcW w:w="109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br/>
              <w:t>$000s</w:t>
            </w:r>
          </w:p>
        </w:tc>
        <w:tc>
          <w:tcPr>
            <w:tcW w:w="97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br/>
              <w:t>$000s</w:t>
            </w:r>
          </w:p>
        </w:tc>
        <w:tc>
          <w:tcPr>
            <w:tcW w:w="89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br/>
              <w:t>$000s</w:t>
            </w:r>
          </w:p>
        </w:tc>
      </w:tr>
      <w:tr>
        <w:trPr/>
        <w:tc>
          <w:tcPr>
            <w:tcW w:w="37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 attributable to the owners of the Company</w:t>
            </w:r>
          </w:p>
        </w:tc>
        <w:tc>
          <w:tcPr>
            <w:tcW w:w="88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(50,354)</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(50,354)</w:t>
            </w:r>
          </w:p>
        </w:tc>
        <w:tc>
          <w:tcPr>
            <w:tcW w:w="21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21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5,985 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5,985 </w:t>
            </w:r>
          </w:p>
        </w:tc>
        <w:tc>
          <w:tcPr>
            <w:tcW w:w="28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3"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attributable to ordinary shareholders</w:t>
            </w:r>
          </w:p>
        </w:tc>
        <w:tc>
          <w:tcPr>
            <w:tcW w:w="88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(50,354)</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(50,354)</w:t>
            </w:r>
          </w:p>
        </w:tc>
        <w:tc>
          <w:tcPr>
            <w:tcW w:w="21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21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5,985 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5,985 </w:t>
            </w:r>
          </w:p>
        </w:tc>
        <w:tc>
          <w:tcPr>
            <w:tcW w:w="283"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25730"/>
                <wp:effectExtent l="0" t="0" r="0" b="0"/>
                <wp:wrapNone/>
                <wp:docPr id="108" name="Frame10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F-35</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Weighted-Average Number of Ordinary Shares:</w:t>
      </w:r>
    </w:p>
    <w:tbl>
      <w:tblPr>
        <w:tblW w:w="10326" w:type="dxa"/>
        <w:jc w:val="left"/>
        <w:tblInd w:w="0" w:type="dxa"/>
        <w:tblCellMar>
          <w:top w:w="28" w:type="dxa"/>
          <w:left w:w="28" w:type="dxa"/>
          <w:bottom w:w="28" w:type="dxa"/>
          <w:right w:w="28" w:type="dxa"/>
        </w:tblCellMar>
      </w:tblPr>
      <w:tblGrid>
        <w:gridCol w:w="469"/>
        <w:gridCol w:w="268"/>
        <w:gridCol w:w="269"/>
        <w:gridCol w:w="683"/>
        <w:gridCol w:w="683"/>
        <w:gridCol w:w="166"/>
        <w:gridCol w:w="683"/>
        <w:gridCol w:w="683"/>
        <w:gridCol w:w="211"/>
        <w:gridCol w:w="109"/>
        <w:gridCol w:w="109"/>
        <w:gridCol w:w="109"/>
        <w:gridCol w:w="593"/>
        <w:gridCol w:w="593"/>
        <w:gridCol w:w="161"/>
        <w:gridCol w:w="593"/>
        <w:gridCol w:w="593"/>
        <w:gridCol w:w="211"/>
        <w:gridCol w:w="109"/>
        <w:gridCol w:w="109"/>
        <w:gridCol w:w="109"/>
        <w:gridCol w:w="593"/>
        <w:gridCol w:w="593"/>
        <w:gridCol w:w="161"/>
        <w:gridCol w:w="593"/>
        <w:gridCol w:w="593"/>
        <w:gridCol w:w="280"/>
      </w:tblGrid>
      <w:tr>
        <w:trPr/>
        <w:tc>
          <w:tcPr>
            <w:tcW w:w="46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3"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w:t>
            </w:r>
          </w:p>
        </w:tc>
        <w:tc>
          <w:tcPr>
            <w:tcW w:w="157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r>
          </w:p>
        </w:tc>
        <w:tc>
          <w:tcPr>
            <w:tcW w:w="139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r>
          </w:p>
        </w:tc>
        <w:tc>
          <w:tcPr>
            <w:tcW w:w="146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r>
          </w:p>
        </w:tc>
      </w:tr>
      <w:tr>
        <w:trPr/>
        <w:tc>
          <w:tcPr>
            <w:tcW w:w="100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Issued ordinary shares at January 1,</w:t>
            </w:r>
          </w:p>
        </w:tc>
        <w:tc>
          <w:tcPr>
            <w:tcW w:w="13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287,796,585</w:t>
            </w:r>
            <w:r>
              <w:rPr>
                <w:color w:val="000000"/>
              </w:rPr>
              <w:t> </w:t>
            </w:r>
          </w:p>
        </w:tc>
        <w:tc>
          <w:tcPr>
            <w:tcW w:w="16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287,796,585</w:t>
            </w:r>
            <w:r>
              <w:rPr>
                <w:color w:val="000000"/>
              </w:rPr>
              <w:t> </w:t>
            </w:r>
          </w:p>
        </w:tc>
        <w:tc>
          <w:tcPr>
            <w:tcW w:w="21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285,885,025 </w:t>
            </w:r>
          </w:p>
        </w:tc>
        <w:tc>
          <w:tcPr>
            <w:tcW w:w="1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285,885,025 </w:t>
            </w:r>
          </w:p>
        </w:tc>
        <w:tc>
          <w:tcPr>
            <w:tcW w:w="21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285,370,619 </w:t>
            </w:r>
          </w:p>
        </w:tc>
        <w:tc>
          <w:tcPr>
            <w:tcW w:w="16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285,370,619 </w:t>
            </w:r>
          </w:p>
        </w:tc>
        <w:tc>
          <w:tcPr>
            <w:tcW w:w="28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 of shares issued</w:t>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690,772</w:t>
            </w: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690,772</w:t>
            </w: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705,958 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705,958 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233,048 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233,048 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 of dilutive shares (please refer to Note 8)</w:t>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7,252,246 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 of treasury shares purchased</w:t>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(3,727,922)</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(3,727,922)</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Weighted average number of ordinary shares at December 31,</w:t>
            </w:r>
          </w:p>
        </w:tc>
        <w:tc>
          <w:tcPr>
            <w:tcW w:w="136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284,759,435</w:t>
            </w:r>
            <w:r>
              <w:rPr>
                <w:color w:val="000000"/>
              </w:rPr>
              <w:t> </w:t>
            </w:r>
          </w:p>
        </w:tc>
        <w:tc>
          <w:tcPr>
            <w:tcW w:w="166"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284,759,435</w:t>
            </w:r>
            <w:r>
              <w:rPr>
                <w:color w:val="000000"/>
              </w:rPr>
              <w:t> </w:t>
            </w:r>
          </w:p>
        </w:tc>
        <w:tc>
          <w:tcPr>
            <w:tcW w:w="211"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1544"/>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286,590,983 </w:t>
            </w:r>
          </w:p>
        </w:tc>
        <w:tc>
          <w:tcPr>
            <w:tcW w:w="161"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286,590,983 </w:t>
            </w:r>
          </w:p>
        </w:tc>
        <w:tc>
          <w:tcPr>
            <w:tcW w:w="211"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1544"/>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285,603,667 </w:t>
            </w:r>
          </w:p>
        </w:tc>
        <w:tc>
          <w:tcPr>
            <w:tcW w:w="161"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292,855,913 </w:t>
            </w:r>
          </w:p>
        </w:tc>
        <w:tc>
          <w:tcPr>
            <w:tcW w:w="280" w:type="dxa"/>
            <w:tcBorders>
              <w:top w:val="single" w:sz="2" w:space="0" w:color="00154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Earnings/(Loss) per Share:</w:t>
      </w:r>
    </w:p>
    <w:tbl>
      <w:tblPr>
        <w:tblW w:w="9077" w:type="dxa"/>
        <w:jc w:val="left"/>
        <w:tblInd w:w="0" w:type="dxa"/>
        <w:tblCellMar>
          <w:top w:w="28" w:type="dxa"/>
          <w:left w:w="28" w:type="dxa"/>
          <w:bottom w:w="28" w:type="dxa"/>
          <w:right w:w="28" w:type="dxa"/>
        </w:tblCellMar>
      </w:tblPr>
      <w:tblGrid>
        <w:gridCol w:w="1337"/>
        <w:gridCol w:w="1172"/>
        <w:gridCol w:w="1180"/>
        <w:gridCol w:w="337"/>
        <w:gridCol w:w="338"/>
        <w:gridCol w:w="166"/>
        <w:gridCol w:w="337"/>
        <w:gridCol w:w="338"/>
        <w:gridCol w:w="211"/>
        <w:gridCol w:w="109"/>
        <w:gridCol w:w="109"/>
        <w:gridCol w:w="109"/>
        <w:gridCol w:w="293"/>
        <w:gridCol w:w="293"/>
        <w:gridCol w:w="161"/>
        <w:gridCol w:w="293"/>
        <w:gridCol w:w="293"/>
        <w:gridCol w:w="211"/>
        <w:gridCol w:w="109"/>
        <w:gridCol w:w="109"/>
        <w:gridCol w:w="109"/>
        <w:gridCol w:w="255"/>
        <w:gridCol w:w="256"/>
        <w:gridCol w:w="161"/>
        <w:gridCol w:w="255"/>
        <w:gridCol w:w="256"/>
        <w:gridCol w:w="280"/>
      </w:tblGrid>
      <w:tr>
        <w:trPr/>
        <w:tc>
          <w:tcPr>
            <w:tcW w:w="133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w:t>
              <w:br/>
              <w:t>$</w:t>
            </w:r>
          </w:p>
        </w:tc>
        <w:tc>
          <w:tcPr>
            <w:tcW w:w="88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br/>
              <w:t>$</w:t>
            </w:r>
          </w:p>
        </w:tc>
        <w:tc>
          <w:tcPr>
            <w:tcW w:w="79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br/>
              <w:t>$</w:t>
            </w:r>
          </w:p>
        </w:tc>
        <w:tc>
          <w:tcPr>
            <w:tcW w:w="79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br/>
              <w:t>$</w:t>
            </w:r>
          </w:p>
        </w:tc>
      </w:tr>
      <w:tr>
        <w:trPr/>
        <w:tc>
          <w:tcPr>
            <w:tcW w:w="368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Basic and diluted earnings/(loss) per share</w:t>
            </w:r>
          </w:p>
        </w:tc>
        <w:tc>
          <w:tcPr>
            <w:tcW w:w="675"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(0.18)</w:t>
            </w:r>
          </w:p>
        </w:tc>
        <w:tc>
          <w:tcPr>
            <w:tcW w:w="16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75"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(0.18)</w:t>
            </w:r>
          </w:p>
        </w:tc>
        <w:tc>
          <w:tcPr>
            <w:tcW w:w="21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16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21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0.02 </w:t>
            </w:r>
          </w:p>
        </w:tc>
        <w:tc>
          <w:tcPr>
            <w:tcW w:w="16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0.02 </w:t>
            </w:r>
          </w:p>
        </w:tc>
        <w:tc>
          <w:tcPr>
            <w:tcW w:w="280"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11.    Property and Equipment</w:t>
      </w:r>
    </w:p>
    <w:tbl>
      <w:tblPr>
        <w:tblW w:w="10205" w:type="dxa"/>
        <w:jc w:val="left"/>
        <w:tblInd w:w="0" w:type="dxa"/>
        <w:tblCellMar>
          <w:top w:w="28" w:type="dxa"/>
          <w:left w:w="28" w:type="dxa"/>
          <w:bottom w:w="28" w:type="dxa"/>
          <w:right w:w="28" w:type="dxa"/>
        </w:tblCellMar>
      </w:tblPr>
      <w:tblGrid>
        <w:gridCol w:w="1031"/>
        <w:gridCol w:w="597"/>
        <w:gridCol w:w="568"/>
        <w:gridCol w:w="678"/>
        <w:gridCol w:w="638"/>
        <w:gridCol w:w="640"/>
        <w:gridCol w:w="359"/>
        <w:gridCol w:w="351"/>
        <w:gridCol w:w="297"/>
        <w:gridCol w:w="505"/>
        <w:gridCol w:w="434"/>
        <w:gridCol w:w="436"/>
        <w:gridCol w:w="522"/>
        <w:gridCol w:w="482"/>
        <w:gridCol w:w="483"/>
        <w:gridCol w:w="379"/>
        <w:gridCol w:w="363"/>
        <w:gridCol w:w="364"/>
        <w:gridCol w:w="412"/>
        <w:gridCol w:w="414"/>
        <w:gridCol w:w="252"/>
      </w:tblGrid>
      <w:tr>
        <w:trPr/>
        <w:tc>
          <w:tcPr>
            <w:tcW w:w="103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Cost</w:t>
            </w:r>
          </w:p>
        </w:tc>
        <w:tc>
          <w:tcPr>
            <w:tcW w:w="195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br/>
              <w:t>$000s</w:t>
            </w:r>
          </w:p>
        </w:tc>
        <w:tc>
          <w:tcPr>
            <w:tcW w:w="10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br/>
              <w:t>Fixtures</w:t>
              <w:br/>
              <w:t>$000s</w:t>
            </w:r>
          </w:p>
        </w:tc>
        <w:tc>
          <w:tcPr>
            <w:tcW w:w="137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br/>
              <w:t>Software</w:t>
              <w:br/>
              <w:t>$000s</w:t>
            </w:r>
          </w:p>
        </w:tc>
        <w:tc>
          <w:tcPr>
            <w:tcW w:w="148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br/>
              <w:t>$000s</w:t>
            </w:r>
          </w:p>
        </w:tc>
        <w:tc>
          <w:tcPr>
            <w:tcW w:w="11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br/>
              <w:t>process</w:t>
              <w:br/>
              <w:t>$000s</w:t>
            </w:r>
          </w:p>
        </w:tc>
        <w:tc>
          <w:tcPr>
            <w:tcW w:w="107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w:t>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13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8,420 </w:t>
            </w:r>
          </w:p>
        </w:tc>
        <w:tc>
          <w:tcPr>
            <w:tcW w:w="64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1,452 </w:t>
            </w:r>
          </w:p>
        </w:tc>
        <w:tc>
          <w:tcPr>
            <w:tcW w:w="29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1,519 </w:t>
            </w:r>
          </w:p>
        </w:tc>
        <w:tc>
          <w:tcPr>
            <w:tcW w:w="43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18,054 </w:t>
            </w:r>
          </w:p>
        </w:tc>
        <w:tc>
          <w:tcPr>
            <w:tcW w:w="48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3,852 </w:t>
            </w:r>
          </w:p>
        </w:tc>
        <w:tc>
          <w:tcPr>
            <w:tcW w:w="36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33,297 </w:t>
            </w:r>
          </w:p>
        </w:tc>
        <w:tc>
          <w:tcPr>
            <w:tcW w:w="25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 net of transfers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1,424 </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183 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6,723 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8,422 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(323)</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2,211 </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248 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(2,459)</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13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11,733 </w:t>
            </w:r>
          </w:p>
        </w:tc>
        <w:tc>
          <w:tcPr>
            <w:tcW w:w="640"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1,452 </w:t>
            </w:r>
          </w:p>
        </w:tc>
        <w:tc>
          <w:tcPr>
            <w:tcW w:w="297"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1,329 </w:t>
            </w:r>
          </w:p>
        </w:tc>
        <w:tc>
          <w:tcPr>
            <w:tcW w:w="4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18,485 </w:t>
            </w:r>
          </w:p>
        </w:tc>
        <w:tc>
          <w:tcPr>
            <w:tcW w:w="48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8,116 </w:t>
            </w:r>
          </w:p>
        </w:tc>
        <w:tc>
          <w:tcPr>
            <w:tcW w:w="36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41,115 </w:t>
            </w:r>
          </w:p>
        </w:tc>
        <w:tc>
          <w:tcPr>
            <w:tcW w:w="252"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 net of transfers</w:t>
            </w:r>
          </w:p>
        </w:tc>
        <w:tc>
          <w:tcPr>
            <w:tcW w:w="131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390 </w:t>
            </w:r>
          </w:p>
        </w:tc>
        <w:tc>
          <w:tcPr>
            <w:tcW w:w="640"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11 </w:t>
            </w:r>
          </w:p>
        </w:tc>
        <w:tc>
          <w:tcPr>
            <w:tcW w:w="43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412 </w:t>
            </w:r>
          </w:p>
        </w:tc>
        <w:tc>
          <w:tcPr>
            <w:tcW w:w="483"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1,362 </w:t>
            </w:r>
          </w:p>
        </w:tc>
        <w:tc>
          <w:tcPr>
            <w:tcW w:w="364"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2,176 </w:t>
            </w:r>
          </w:p>
        </w:tc>
        <w:tc>
          <w:tcPr>
            <w:tcW w:w="252"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Reclassifications</w:t>
            </w:r>
          </w:p>
        </w:tc>
        <w:tc>
          <w:tcPr>
            <w:tcW w:w="13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1,336 </w:t>
            </w:r>
          </w:p>
        </w:tc>
        <w:tc>
          <w:tcPr>
            <w:tcW w:w="6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5,067 </w:t>
            </w:r>
          </w:p>
        </w:tc>
        <w:tc>
          <w:tcPr>
            <w:tcW w:w="4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(6,598)</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6"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375"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r>
      <w:tr>
        <w:trPr/>
        <w:tc>
          <w:tcPr>
            <w:tcW w:w="2196"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13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13,341</w:t>
            </w:r>
            <w:r>
              <w:rPr>
                <w:color w:val="000000"/>
              </w:rPr>
              <w:t> </w:t>
            </w:r>
          </w:p>
        </w:tc>
        <w:tc>
          <w:tcPr>
            <w:tcW w:w="640"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1,510</w:t>
            </w:r>
            <w:r>
              <w:rPr>
                <w:color w:val="000000"/>
              </w:rPr>
              <w:t> </w:t>
            </w:r>
          </w:p>
        </w:tc>
        <w:tc>
          <w:tcPr>
            <w:tcW w:w="297"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1,419</w:t>
            </w:r>
            <w:r>
              <w:rPr>
                <w:color w:val="000000"/>
              </w:rPr>
              <w:t> </w:t>
            </w:r>
          </w:p>
        </w:tc>
        <w:tc>
          <w:tcPr>
            <w:tcW w:w="43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23,964</w:t>
            </w:r>
            <w:r>
              <w:rPr>
                <w:color w:val="000000"/>
              </w:rPr>
              <w:t> </w:t>
            </w:r>
          </w:p>
        </w:tc>
        <w:tc>
          <w:tcPr>
            <w:tcW w:w="483"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2,803</w:t>
            </w:r>
            <w:r>
              <w:rPr>
                <w:color w:val="000000"/>
              </w:rPr>
              <w:t> </w:t>
            </w:r>
          </w:p>
        </w:tc>
        <w:tc>
          <w:tcPr>
            <w:tcW w:w="36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43,037</w:t>
            </w:r>
            <w:r>
              <w:rPr>
                <w:color w:val="000000"/>
              </w:rPr>
              <w:t> </w:t>
            </w:r>
          </w:p>
        </w:tc>
        <w:tc>
          <w:tcPr>
            <w:tcW w:w="252"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91"/>
        <w:gridCol w:w="695"/>
        <w:gridCol w:w="697"/>
        <w:gridCol w:w="639"/>
        <w:gridCol w:w="639"/>
        <w:gridCol w:w="641"/>
        <w:gridCol w:w="314"/>
        <w:gridCol w:w="296"/>
        <w:gridCol w:w="297"/>
        <w:gridCol w:w="514"/>
        <w:gridCol w:w="435"/>
        <w:gridCol w:w="436"/>
        <w:gridCol w:w="531"/>
        <w:gridCol w:w="482"/>
        <w:gridCol w:w="484"/>
        <w:gridCol w:w="363"/>
        <w:gridCol w:w="363"/>
        <w:gridCol w:w="364"/>
        <w:gridCol w:w="434"/>
        <w:gridCol w:w="435"/>
        <w:gridCol w:w="255"/>
      </w:tblGrid>
      <w:tr>
        <w:trPr/>
        <w:tc>
          <w:tcPr>
            <w:tcW w:w="89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Accumulated depreciation and impairment loss</w:t>
            </w:r>
          </w:p>
        </w:tc>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br/>
              <w:t>$000s</w:t>
            </w:r>
          </w:p>
        </w:tc>
        <w:tc>
          <w:tcPr>
            <w:tcW w:w="90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br/>
              <w:t>Fixtures</w:t>
              <w:br/>
              <w:t>$000s</w:t>
            </w:r>
          </w:p>
        </w:tc>
        <w:tc>
          <w:tcPr>
            <w:tcW w:w="1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br/>
              <w:t>Software</w:t>
              <w:br/>
              <w:t>$000s</w:t>
            </w:r>
          </w:p>
        </w:tc>
        <w:tc>
          <w:tcPr>
            <w:tcW w:w="149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br/>
              <w:t>$000s</w:t>
            </w:r>
          </w:p>
        </w:tc>
        <w:tc>
          <w:tcPr>
            <w:tcW w:w="109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br/>
              <w:t>process</w:t>
              <w:br/>
              <w:t>$000s</w:t>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w:t>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127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(3,965)</w:t>
            </w:r>
          </w:p>
        </w:tc>
        <w:tc>
          <w:tcPr>
            <w:tcW w:w="64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(454)</w:t>
            </w:r>
          </w:p>
        </w:tc>
        <w:tc>
          <w:tcPr>
            <w:tcW w:w="29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(1,287)</w:t>
            </w:r>
          </w:p>
        </w:tc>
        <w:tc>
          <w:tcPr>
            <w:tcW w:w="43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(4,815)</w:t>
            </w:r>
          </w:p>
        </w:tc>
        <w:tc>
          <w:tcPr>
            <w:tcW w:w="48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(10,520)</w:t>
            </w:r>
          </w:p>
        </w:tc>
        <w:tc>
          <w:tcPr>
            <w:tcW w:w="25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(1,973)</w:t>
            </w:r>
          </w:p>
        </w:tc>
        <w:tc>
          <w:tcPr>
            <w:tcW w:w="6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(208)</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(1,991)</w:t>
            </w:r>
          </w:p>
        </w:tc>
        <w:tc>
          <w:tcPr>
            <w:tcW w:w="4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(4,346)</w:t>
            </w:r>
          </w:p>
        </w:tc>
        <w:tc>
          <w:tcPr>
            <w:tcW w:w="2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251 </w:t>
            </w:r>
          </w:p>
        </w:tc>
        <w:tc>
          <w:tcPr>
            <w:tcW w:w="6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271 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522 </w:t>
            </w:r>
          </w:p>
        </w:tc>
        <w:tc>
          <w:tcPr>
            <w:tcW w:w="2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127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(5,686)</w:t>
            </w:r>
          </w:p>
        </w:tc>
        <w:tc>
          <w:tcPr>
            <w:tcW w:w="64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(663)</w:t>
            </w:r>
          </w:p>
        </w:tc>
        <w:tc>
          <w:tcPr>
            <w:tcW w:w="297"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(1,190)</w:t>
            </w:r>
          </w:p>
        </w:tc>
        <w:tc>
          <w:tcPr>
            <w:tcW w:w="4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(6,806)</w:t>
            </w:r>
          </w:p>
        </w:tc>
        <w:tc>
          <w:tcPr>
            <w:tcW w:w="48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(14,344)</w:t>
            </w:r>
          </w:p>
        </w:tc>
        <w:tc>
          <w:tcPr>
            <w:tcW w:w="255"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1278"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(2,082)</w:t>
            </w:r>
          </w:p>
        </w:tc>
        <w:tc>
          <w:tcPr>
            <w:tcW w:w="641"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w:t>
            </w:r>
          </w:p>
        </w:tc>
        <w:tc>
          <w:tcPr>
            <w:tcW w:w="297"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w:t>
            </w:r>
          </w:p>
        </w:tc>
        <w:tc>
          <w:tcPr>
            <w:tcW w:w="436"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(3,444)</w:t>
            </w:r>
          </w:p>
        </w:tc>
        <w:tc>
          <w:tcPr>
            <w:tcW w:w="484"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(5,845)</w:t>
            </w:r>
          </w:p>
        </w:tc>
        <w:tc>
          <w:tcPr>
            <w:tcW w:w="255"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6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2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6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53 </w:t>
            </w:r>
          </w:p>
        </w:tc>
        <w:tc>
          <w:tcPr>
            <w:tcW w:w="4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53 </w:t>
            </w:r>
          </w:p>
        </w:tc>
        <w:tc>
          <w:tcPr>
            <w:tcW w:w="2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9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127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(7,711)</w:t>
            </w:r>
          </w:p>
        </w:tc>
        <w:tc>
          <w:tcPr>
            <w:tcW w:w="64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(875)</w:t>
            </w:r>
          </w:p>
        </w:tc>
        <w:tc>
          <w:tcPr>
            <w:tcW w:w="297"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(1,244)</w:t>
            </w:r>
          </w:p>
        </w:tc>
        <w:tc>
          <w:tcPr>
            <w:tcW w:w="43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(10,250)</w:t>
            </w:r>
          </w:p>
        </w:tc>
        <w:tc>
          <w:tcPr>
            <w:tcW w:w="48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6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(20,080)</w:t>
            </w:r>
          </w:p>
        </w:tc>
        <w:tc>
          <w:tcPr>
            <w:tcW w:w="255"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83"/>
        <w:gridCol w:w="647"/>
        <w:gridCol w:w="651"/>
        <w:gridCol w:w="690"/>
        <w:gridCol w:w="690"/>
        <w:gridCol w:w="692"/>
        <w:gridCol w:w="312"/>
        <w:gridCol w:w="304"/>
        <w:gridCol w:w="305"/>
        <w:gridCol w:w="463"/>
        <w:gridCol w:w="463"/>
        <w:gridCol w:w="464"/>
        <w:gridCol w:w="537"/>
        <w:gridCol w:w="503"/>
        <w:gridCol w:w="504"/>
        <w:gridCol w:w="381"/>
        <w:gridCol w:w="368"/>
        <w:gridCol w:w="369"/>
        <w:gridCol w:w="412"/>
        <w:gridCol w:w="414"/>
        <w:gridCol w:w="253"/>
      </w:tblGrid>
      <w:tr>
        <w:trPr/>
        <w:tc>
          <w:tcPr>
            <w:tcW w:w="783"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2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Property and Equipment, net</w:t>
            </w:r>
          </w:p>
        </w:tc>
        <w:tc>
          <w:tcPr>
            <w:tcW w:w="20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br/>
              <w:t>$000s</w:t>
            </w:r>
          </w:p>
        </w:tc>
        <w:tc>
          <w:tcPr>
            <w:tcW w:w="9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br/>
              <w:t>Fixtures</w:t>
              <w:br/>
              <w:t>$000s</w:t>
            </w:r>
          </w:p>
        </w:tc>
        <w:tc>
          <w:tcPr>
            <w:tcW w:w="139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br/>
              <w:t>Software</w:t>
              <w:br/>
              <w:t>$000s</w:t>
            </w:r>
          </w:p>
        </w:tc>
        <w:tc>
          <w:tcPr>
            <w:tcW w:w="154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br/>
              <w:t>$000s</w:t>
            </w:r>
          </w:p>
        </w:tc>
        <w:tc>
          <w:tcPr>
            <w:tcW w:w="111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br/>
              <w:t>process</w:t>
              <w:br/>
              <w:t>$000s</w:t>
            </w:r>
          </w:p>
        </w:tc>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w:t>
            </w:r>
          </w:p>
        </w:tc>
      </w:tr>
      <w:tr>
        <w:trPr/>
        <w:tc>
          <w:tcPr>
            <w:tcW w:w="2081" w:type="dxa"/>
            <w:gridSpan w:val="3"/>
            <w:tcBorders/>
            <w:shd w:fill="auto" w:val="clear"/>
            <w:vAlign w:val="center"/>
          </w:tcPr>
          <w:p>
            <w:pPr>
              <w:pStyle w:val="TableContents"/>
              <w:spacing w:before="0" w:after="283"/>
              <w:rPr>
                <w:sz w:val="4"/>
                <w:szCs w:val="4"/>
              </w:rPr>
            </w:pPr>
            <w:r>
              <w:rPr>
                <w:sz w:val="4"/>
                <w:szCs w:val="4"/>
              </w:rPr>
            </w:r>
          </w:p>
        </w:tc>
        <w:tc>
          <w:tcPr>
            <w:tcW w:w="2072"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208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138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6,047 </w:t>
            </w:r>
          </w:p>
        </w:tc>
        <w:tc>
          <w:tcPr>
            <w:tcW w:w="69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790 </w:t>
            </w:r>
          </w:p>
        </w:tc>
        <w:tc>
          <w:tcPr>
            <w:tcW w:w="30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139 </w:t>
            </w:r>
          </w:p>
        </w:tc>
        <w:tc>
          <w:tcPr>
            <w:tcW w:w="46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11,679 </w:t>
            </w:r>
          </w:p>
        </w:tc>
        <w:tc>
          <w:tcPr>
            <w:tcW w:w="50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8,116 </w:t>
            </w:r>
          </w:p>
        </w:tc>
        <w:tc>
          <w:tcPr>
            <w:tcW w:w="369"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26,771 </w:t>
            </w:r>
          </w:p>
        </w:tc>
        <w:tc>
          <w:tcPr>
            <w:tcW w:w="25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1"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138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5,630</w:t>
            </w:r>
            <w:r>
              <w:rPr>
                <w:color w:val="000000"/>
              </w:rPr>
              <w:t> </w:t>
            </w:r>
          </w:p>
        </w:tc>
        <w:tc>
          <w:tcPr>
            <w:tcW w:w="692"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635</w:t>
            </w:r>
            <w:r>
              <w:rPr>
                <w:color w:val="000000"/>
              </w:rPr>
              <w:t> </w:t>
            </w:r>
          </w:p>
        </w:tc>
        <w:tc>
          <w:tcPr>
            <w:tcW w:w="305"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174</w:t>
            </w:r>
            <w:r>
              <w:rPr>
                <w:color w:val="000000"/>
              </w:rPr>
              <w:t> </w:t>
            </w:r>
          </w:p>
        </w:tc>
        <w:tc>
          <w:tcPr>
            <w:tcW w:w="46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13,714</w:t>
            </w:r>
            <w:r>
              <w:rPr>
                <w:color w:val="000000"/>
              </w:rPr>
              <w:t> </w:t>
            </w:r>
          </w:p>
        </w:tc>
        <w:tc>
          <w:tcPr>
            <w:tcW w:w="50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2,803</w:t>
            </w:r>
            <w:r>
              <w:rPr>
                <w:color w:val="000000"/>
              </w:rPr>
              <w:t> </w:t>
            </w:r>
          </w:p>
        </w:tc>
        <w:tc>
          <w:tcPr>
            <w:tcW w:w="369"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22,957</w:t>
            </w:r>
            <w:r>
              <w:rPr>
                <w:color w:val="000000"/>
              </w:rPr>
              <w:t> </w:t>
            </w:r>
          </w:p>
        </w:tc>
        <w:tc>
          <w:tcPr>
            <w:tcW w:w="253"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property and equipment is included in the General and administrative expenses and Research and development expenses line items in the Consolidated Statements of Comprehensive Income/(Loss). The Company recorded depreciation expense of $5.8 million, $4.3 million and $3.9 million for the years ended December 31, 2022,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25730"/>
                <wp:effectExtent l="0" t="0" r="0" b="0"/>
                <wp:wrapNone/>
                <wp:docPr id="109" name="Frame10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F-36</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12.     Intangible Assets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Intangible assets consist of licenses of intellectual property acquired by the Group through various agreements with third parties and are recorded at the value of the consideration transferred. Information regarding the cost and accumulated amortization of intangible assets is as follows:</w:t>
      </w:r>
    </w:p>
    <w:tbl>
      <w:tblPr>
        <w:tblW w:w="4097" w:type="dxa"/>
        <w:jc w:val="left"/>
        <w:tblInd w:w="0" w:type="dxa"/>
        <w:tblCellMar>
          <w:top w:w="28" w:type="dxa"/>
          <w:left w:w="28" w:type="dxa"/>
          <w:bottom w:w="28" w:type="dxa"/>
          <w:right w:w="28" w:type="dxa"/>
        </w:tblCellMar>
      </w:tblPr>
      <w:tblGrid>
        <w:gridCol w:w="1172"/>
        <w:gridCol w:w="1021"/>
        <w:gridCol w:w="1046"/>
        <w:gridCol w:w="269"/>
        <w:gridCol w:w="271"/>
        <w:gridCol w:w="318"/>
      </w:tblGrid>
      <w:tr>
        <w:trPr/>
        <w:tc>
          <w:tcPr>
            <w:tcW w:w="117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Cost</w:t>
            </w:r>
          </w:p>
        </w:tc>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br/>
              <w:t>$000s</w:t>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54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900 </w:t>
            </w:r>
          </w:p>
        </w:tc>
        <w:tc>
          <w:tcPr>
            <w:tcW w:w="3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540"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990 </w:t>
            </w:r>
          </w:p>
        </w:tc>
        <w:tc>
          <w:tcPr>
            <w:tcW w:w="318"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540" w:type="dxa"/>
            <w:gridSpan w:val="2"/>
            <w:tcBorders>
              <w:top w:val="single" w:sz="4"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25 </w:t>
            </w:r>
          </w:p>
        </w:tc>
        <w:tc>
          <w:tcPr>
            <w:tcW w:w="318" w:type="dxa"/>
            <w:tcBorders>
              <w:top w:val="single" w:sz="4"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Write-off</w:t>
            </w:r>
          </w:p>
        </w:tc>
        <w:tc>
          <w:tcPr>
            <w:tcW w:w="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540"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831</w:t>
            </w:r>
            <w:r>
              <w:rPr>
                <w:color w:val="000000"/>
              </w:rPr>
              <w:t> </w:t>
            </w:r>
          </w:p>
        </w:tc>
        <w:tc>
          <w:tcPr>
            <w:tcW w:w="318"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006" w:type="dxa"/>
        <w:jc w:val="left"/>
        <w:tblInd w:w="0" w:type="dxa"/>
        <w:tblCellMar>
          <w:top w:w="28" w:type="dxa"/>
          <w:left w:w="28" w:type="dxa"/>
          <w:bottom w:w="28" w:type="dxa"/>
          <w:right w:w="28" w:type="dxa"/>
        </w:tblCellMar>
      </w:tblPr>
      <w:tblGrid>
        <w:gridCol w:w="1175"/>
        <w:gridCol w:w="1029"/>
        <w:gridCol w:w="1036"/>
        <w:gridCol w:w="224"/>
        <w:gridCol w:w="224"/>
        <w:gridCol w:w="318"/>
      </w:tblGrid>
      <w:tr>
        <w:trPr/>
        <w:tc>
          <w:tcPr>
            <w:tcW w:w="1175"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Accumulated amortization</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br/>
              <w:t>$000s</w:t>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44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31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w:t>
            </w:r>
          </w:p>
        </w:tc>
        <w:tc>
          <w:tcPr>
            <w:tcW w:w="4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44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318"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w:t>
            </w:r>
          </w:p>
        </w:tc>
        <w:tc>
          <w:tcPr>
            <w:tcW w:w="448" w:type="dxa"/>
            <w:gridSpan w:val="2"/>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318" w:type="dxa"/>
            <w:tcBorders>
              <w:top w:val="single" w:sz="4"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4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4 </w:t>
            </w:r>
          </w:p>
        </w:tc>
        <w:tc>
          <w:tcPr>
            <w:tcW w:w="3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44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18"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084" w:type="dxa"/>
        <w:jc w:val="left"/>
        <w:tblInd w:w="0" w:type="dxa"/>
        <w:tblCellMar>
          <w:top w:w="28" w:type="dxa"/>
          <w:left w:w="28" w:type="dxa"/>
          <w:bottom w:w="28" w:type="dxa"/>
          <w:right w:w="28" w:type="dxa"/>
        </w:tblCellMar>
      </w:tblPr>
      <w:tblGrid>
        <w:gridCol w:w="1174"/>
        <w:gridCol w:w="1029"/>
        <w:gridCol w:w="1037"/>
        <w:gridCol w:w="263"/>
        <w:gridCol w:w="263"/>
        <w:gridCol w:w="318"/>
      </w:tblGrid>
      <w:tr>
        <w:trPr/>
        <w:tc>
          <w:tcPr>
            <w:tcW w:w="11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Intangible assets, net</w:t>
            </w:r>
          </w:p>
        </w:tc>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br/>
              <w:t>$000s</w:t>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2021</w:t>
            </w:r>
          </w:p>
        </w:tc>
        <w:tc>
          <w:tcPr>
            <w:tcW w:w="5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987 </w:t>
            </w:r>
          </w:p>
        </w:tc>
        <w:tc>
          <w:tcPr>
            <w:tcW w:w="31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5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831</w:t>
            </w:r>
            <w:r>
              <w:rPr>
                <w:color w:val="000000"/>
              </w:rPr>
              <w:t> </w:t>
            </w:r>
          </w:p>
        </w:tc>
        <w:tc>
          <w:tcPr>
            <w:tcW w:w="318"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Substantially all the intangible asset licenses represent in-process-research-and-development assets since they are still being developed and are not ready for their intended use. As such, these assets are not yet amortized but tested for impairment annually.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2022, the company wrote off one of its research intangible assets for which research was ceased in the amount of $162.5 thousand.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Company tested all other such intangible assets for impairment as of balance sheet date and concluded that none of such assets were impaired.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2022, Sonde Health, Inc. was deconsolidated and as such $17.5 thousand in net assets were derecognised.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had negligible Amortization expense for the years ended December 31, 2022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13.     Other Financial Assets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Other financial assets consist of restricted cash held, which represents amounts that are reserved as collateral against letters of credit with a bank that are issued for the benefit of a landlord in lieu of a security deposit for office space leased by the Group. Information regarding restricted cash was as follows: </w:t>
      </w:r>
    </w:p>
    <w:tbl>
      <w:tblPr>
        <w:tblW w:w="4508" w:type="dxa"/>
        <w:jc w:val="left"/>
        <w:tblInd w:w="0" w:type="dxa"/>
        <w:tblCellMar>
          <w:top w:w="28" w:type="dxa"/>
          <w:left w:w="28" w:type="dxa"/>
          <w:bottom w:w="28" w:type="dxa"/>
          <w:right w:w="28" w:type="dxa"/>
        </w:tblCellMar>
      </w:tblPr>
      <w:tblGrid>
        <w:gridCol w:w="967"/>
        <w:gridCol w:w="848"/>
        <w:gridCol w:w="855"/>
        <w:gridCol w:w="353"/>
        <w:gridCol w:w="353"/>
        <w:gridCol w:w="181"/>
        <w:gridCol w:w="308"/>
        <w:gridCol w:w="308"/>
        <w:gridCol w:w="181"/>
        <w:gridCol w:w="154"/>
      </w:tblGrid>
      <w:tr>
        <w:trPr/>
        <w:tc>
          <w:tcPr>
            <w:tcW w:w="967"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887" w:type="dxa"/>
            <w:gridSpan w:val="3"/>
            <w:vMerge w:val="continue"/>
            <w:tcBorders/>
            <w:shd w:fill="auto" w:val="clear"/>
            <w:tcMar>
              <w:top w:w="0" w:type="dxa"/>
              <w:left w:w="0" w:type="dxa"/>
              <w:bottom w:w="0" w:type="dxa"/>
              <w:right w:w="0" w:type="dxa"/>
            </w:tcMar>
            <w:vAlign w:val="center"/>
          </w:tcPr>
          <w:p>
            <w:pPr>
              <w:pStyle w:val="Normal"/>
              <w:rPr/>
            </w:pPr>
            <w:r>
              <w:rPr/>
            </w:r>
          </w:p>
        </w:tc>
        <w:tc>
          <w:tcPr>
            <w:tcW w:w="79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Restricted cash</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2,124</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2,124 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other financial assets</w:t>
            </w:r>
          </w:p>
        </w:tc>
        <w:tc>
          <w:tcPr>
            <w:tcW w:w="70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2,124</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2,124 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25730"/>
                <wp:effectExtent l="0" t="0" r="0" b="0"/>
                <wp:wrapNone/>
                <wp:docPr id="110" name="Frame10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F-37</w:t>
                      </w:r>
                    </w:p>
                  </w:txbxContent>
                </v:textbox>
              </v:rect>
            </w:pict>
          </mc:Fallback>
        </mc:AlternateContent>
      </w:r>
    </w:p>
    <w:p>
      <w:pPr>
        <w:pStyle w:val="TextBody"/>
        <w:spacing w:before="0" w:after="105"/>
        <w:rPr/>
      </w:pPr>
      <w:r>
        <w:rPr/>
      </w: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14.     Equity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equity for PureTech as of December 31, 2022, and 2021, was as follows:</w:t>
      </w:r>
    </w:p>
    <w:tbl>
      <w:tblPr>
        <w:tblW w:w="10205" w:type="dxa"/>
        <w:jc w:val="left"/>
        <w:tblInd w:w="0" w:type="dxa"/>
        <w:tblCellMar>
          <w:top w:w="28" w:type="dxa"/>
          <w:left w:w="28" w:type="dxa"/>
          <w:bottom w:w="28" w:type="dxa"/>
          <w:right w:w="28" w:type="dxa"/>
        </w:tblCellMar>
      </w:tblPr>
      <w:tblGrid>
        <w:gridCol w:w="2692"/>
        <w:gridCol w:w="2275"/>
        <w:gridCol w:w="2306"/>
        <w:gridCol w:w="504"/>
        <w:gridCol w:w="481"/>
        <w:gridCol w:w="424"/>
        <w:gridCol w:w="504"/>
        <w:gridCol w:w="438"/>
        <w:gridCol w:w="424"/>
        <w:gridCol w:w="157"/>
      </w:tblGrid>
      <w:tr>
        <w:trPr/>
        <w:tc>
          <w:tcPr>
            <w:tcW w:w="2692"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December 31, 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36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December 31, 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Equity</w:t>
            </w:r>
          </w:p>
        </w:tc>
        <w:tc>
          <w:tcPr>
            <w:tcW w:w="1409" w:type="dxa"/>
            <w:gridSpan w:val="3"/>
            <w:vMerge w:val="continue"/>
            <w:tcBorders/>
            <w:shd w:fill="auto" w:val="clear"/>
            <w:tcMar>
              <w:top w:w="0" w:type="dxa"/>
              <w:left w:w="0" w:type="dxa"/>
              <w:bottom w:w="0" w:type="dxa"/>
              <w:right w:w="0" w:type="dxa"/>
            </w:tcMar>
            <w:vAlign w:val="center"/>
          </w:tcPr>
          <w:p>
            <w:pPr>
              <w:pStyle w:val="Normal"/>
              <w:rPr/>
            </w:pPr>
            <w:r>
              <w:rPr/>
            </w:r>
          </w:p>
        </w:tc>
        <w:tc>
          <w:tcPr>
            <w:tcW w:w="1366" w:type="dxa"/>
            <w:gridSpan w:val="3"/>
            <w:vMerge w:val="continue"/>
            <w:tcBorders/>
            <w:shd w:fill="auto" w:val="clear"/>
            <w:tcMar>
              <w:top w:w="0" w:type="dxa"/>
              <w:left w:w="0" w:type="dxa"/>
              <w:bottom w:w="0" w:type="dxa"/>
              <w:right w:w="0" w:type="dxa"/>
            </w:tcMar>
            <w:vAlign w:val="center"/>
          </w:tcPr>
          <w:p>
            <w:pPr>
              <w:pStyle w:val="Normal"/>
              <w:rPr/>
            </w:pPr>
            <w:r>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capital, £0.01 par value, issued and paid 278,566,306 and 287,796,585 as of December 31, 2022 and 2021, respectively</w:t>
            </w:r>
          </w:p>
        </w:tc>
        <w:tc>
          <w:tcPr>
            <w:tcW w:w="98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5,455</w:t>
            </w:r>
            <w:r>
              <w:rPr>
                <w:color w:val="000000"/>
              </w:rPr>
              <w:t> </w:t>
            </w:r>
          </w:p>
        </w:tc>
        <w:tc>
          <w:tcPr>
            <w:tcW w:w="42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5,444 </w:t>
            </w:r>
          </w:p>
        </w:tc>
        <w:tc>
          <w:tcPr>
            <w:tcW w:w="42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Merger Reserve</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138,506</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138,506 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premium</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289,624</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289,303 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shares, 10,595,347 and zero as of December 31, 2022 and 2021, respectively</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(26,492)</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Translation reserve</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89</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reserves</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(14,478)</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(40,077)</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Retained earnings/(accumulated deficit)</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149,516</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199,871 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attributable to owners of the Group</w:t>
            </w:r>
          </w:p>
        </w:tc>
        <w:tc>
          <w:tcPr>
            <w:tcW w:w="98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542,220</w:t>
            </w:r>
            <w:r>
              <w:rPr>
                <w:color w:val="000000"/>
              </w:rPr>
              <w:t> </w:t>
            </w:r>
          </w:p>
        </w:tc>
        <w:tc>
          <w:tcPr>
            <w:tcW w:w="42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593,515 </w:t>
            </w:r>
          </w:p>
        </w:tc>
        <w:tc>
          <w:tcPr>
            <w:tcW w:w="42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5,369</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(9,368)</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73"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w:t>
            </w:r>
          </w:p>
        </w:tc>
        <w:tc>
          <w:tcPr>
            <w:tcW w:w="985"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547,589</w:t>
            </w:r>
            <w:r>
              <w:rPr>
                <w:color w:val="000000"/>
              </w:rPr>
              <w:t> </w:t>
            </w:r>
          </w:p>
        </w:tc>
        <w:tc>
          <w:tcPr>
            <w:tcW w:w="424"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2"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584,147 </w:t>
            </w:r>
          </w:p>
        </w:tc>
        <w:tc>
          <w:tcPr>
            <w:tcW w:w="424"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share capital and share premium relate primarily to incentive options exercises during the period.</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Shareholders are entitled to vote on all matters submitted to shareholders for a vote. Each ordinary share is entitled to one vote. Each ordinary share is entitled to receive dividends when and if declared by the Company’s Directors. The Company has not declared any dividends in the past.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18, 2015, the Company acquired the entire issued share capital of PureTech LLC in return for 159,648,387 Ordinary Shares. This was accounted for as a common control transaction at cost. It was deemed that the share capital was issued in line with movements in share capital as shown prior to the transaction taking place. In addition, the merger reserve records amounts previously recorded as share premium.</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reserves comprise the cumulative credit to share-based payment reserves corresponding to share-based payment expenses recognized through Consolidated Statements of Comprehensive Income/(Loss), settlements of vested share based payment awards as well as other additions that flow directly through equity such as the excess or deficit from changes in ownership of subsidiaries while control is maintained by the Group.</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9, 2022, the Company announced the commencement of a $50.0 million share repurchase program the ("Program") of its ordinary shares of one pence each (“Ordinary Shares”). The Company is executing the Program in two equal tranches. In respect of the two tranches, PureTech entered into an irrevocable (see below) non-discretionary instruction with Jefferies International Limited (“Jefferies”) in relation to the purchase by Jefferies of Ordinary Shares for an aggregate consideration (excluding expenses) of no greater than $25.0 million for each tranche and the simultaneous on-sale of such Ordinary Shares by Jefferies to PureTech, subject to certain volume and price restrictions. Jefferies makes its trading decisions in relation to the Ordinary Shares independently of, and uninfluenced by, the Company. Purchases may continue during any close period to which the Company is subject. The instruction to Jeffries may be amended or withdrawn so long as the Company is not in a close period or otherwise in possession of inside information.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Any purchases of Ordinary Shares under the Program were carried out on the London Stock Exchange and could be carried out on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annual general meeting on May 27, 2021, and relevant Rules and Regulations. All Ordinary Shares repurchased under the Program are held in treasury.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2022, the Company’s issued share capital was 278,566,306 shares, including 10,595,347 shares, which had been repurchased under the Program and were held by the Company in treasury.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25730"/>
                <wp:effectExtent l="0" t="0" r="0" b="0"/>
                <wp:wrapNone/>
                <wp:docPr id="111" name="Frame11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F-38</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15.     Subsidiary Preferred Shares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Preferred shares issued by subsidiaries often contain redemption and conversion features that are assessed under IFRS 9 in conjunction with the host preferred share instrument. This balance represents subsidiary preferred shares issued to third parties.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subsidiary preferred shares are redeemable upon the occurrence of a contingent event, other than full liquidation of the Company, that is not considered to be within the control of the Company. Therefore these subsidiary preferred shares are classified as liabilities. These liabilities are measured at fair value through profit and loss. The preferred shares are convertible into ordinary shares of the subsidiaries at the option of the holder and mandatorily convertible into ordinary shares upon a subsidiary listing in a public market at a price above that specified in the subsidiary’s charter or upon the vote of the holders of subsidiary preferred shares specified in the charter.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at fair value through profit and loss, as mentioned above, no bifurcation is required.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preferred shares are entitled to vote with holders of common shares on an as converted basis.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recognized the preferred share balance upon the receipt of cash financing or upon the conversion of notes into preferred shares at the amount received or carrying balance of any notes converted into preferred shares.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balance as of December 31, 2022 and December 31, 2021, represents the fair value of the instruments for all subsidiary preferred shares. The following summarizes the subsidiary preferred share balance:</w:t>
      </w:r>
    </w:p>
    <w:tbl>
      <w:tblPr>
        <w:tblW w:w="6068" w:type="dxa"/>
        <w:jc w:val="left"/>
        <w:tblInd w:w="0" w:type="dxa"/>
        <w:tblCellMar>
          <w:top w:w="28" w:type="dxa"/>
          <w:left w:w="28" w:type="dxa"/>
          <w:bottom w:w="28" w:type="dxa"/>
          <w:right w:w="28" w:type="dxa"/>
        </w:tblCellMar>
      </w:tblPr>
      <w:tblGrid>
        <w:gridCol w:w="1414"/>
        <w:gridCol w:w="1238"/>
        <w:gridCol w:w="1248"/>
        <w:gridCol w:w="413"/>
        <w:gridCol w:w="413"/>
        <w:gridCol w:w="181"/>
        <w:gridCol w:w="412"/>
        <w:gridCol w:w="414"/>
        <w:gridCol w:w="181"/>
        <w:gridCol w:w="154"/>
      </w:tblGrid>
      <w:tr>
        <w:trPr/>
        <w:tc>
          <w:tcPr>
            <w:tcW w:w="1414"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669 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11,191 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13,362 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26,820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148,796 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subsidiary preferred share balance</w:t>
            </w:r>
          </w:p>
        </w:tc>
        <w:tc>
          <w:tcPr>
            <w:tcW w:w="826" w:type="dxa"/>
            <w:gridSpan w:val="2"/>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181" w:type="dxa"/>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181" w:type="dxa"/>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and December 31, 2021, the minimum liquidation preference reflects the amounts that would be payable to the subsidiary preferred holders upon a liquidation event of the subsidiaries, which is as follows:</w:t>
      </w:r>
    </w:p>
    <w:tbl>
      <w:tblPr>
        <w:tblW w:w="5932" w:type="dxa"/>
        <w:jc w:val="left"/>
        <w:tblInd w:w="0" w:type="dxa"/>
        <w:tblCellMar>
          <w:top w:w="28" w:type="dxa"/>
          <w:left w:w="28" w:type="dxa"/>
          <w:bottom w:w="28" w:type="dxa"/>
          <w:right w:w="28" w:type="dxa"/>
        </w:tblCellMar>
      </w:tblPr>
      <w:tblGrid>
        <w:gridCol w:w="1321"/>
        <w:gridCol w:w="1157"/>
        <w:gridCol w:w="1166"/>
        <w:gridCol w:w="473"/>
        <w:gridCol w:w="473"/>
        <w:gridCol w:w="181"/>
        <w:gridCol w:w="412"/>
        <w:gridCol w:w="414"/>
        <w:gridCol w:w="181"/>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2,216</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2,216 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6,405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6,405 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149,568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149,568 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minimum liquidation preference</w:t>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158,189</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170,189 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years ended December 31, 2022 and 2021, the Group recognized the following changes in the value of subsidiary preferred shares:</w:t>
      </w:r>
    </w:p>
    <w:tbl>
      <w:tblPr>
        <w:tblW w:w="8449" w:type="dxa"/>
        <w:jc w:val="left"/>
        <w:tblInd w:w="0" w:type="dxa"/>
        <w:tblCellMar>
          <w:top w:w="28" w:type="dxa"/>
          <w:left w:w="28" w:type="dxa"/>
          <w:bottom w:w="28" w:type="dxa"/>
          <w:right w:w="28" w:type="dxa"/>
        </w:tblCellMar>
      </w:tblPr>
      <w:tblGrid>
        <w:gridCol w:w="2644"/>
        <w:gridCol w:w="2322"/>
        <w:gridCol w:w="2339"/>
        <w:gridCol w:w="449"/>
        <w:gridCol w:w="451"/>
        <w:gridCol w:w="244"/>
      </w:tblGrid>
      <w:tr>
        <w:trPr/>
        <w:tc>
          <w:tcPr>
            <w:tcW w:w="2644" w:type="dxa"/>
            <w:tcBorders/>
            <w:shd w:fill="auto" w:val="clear"/>
            <w:vAlign w:val="center"/>
          </w:tcPr>
          <w:p>
            <w:pPr>
              <w:pStyle w:val="TableContents"/>
              <w:spacing w:before="0" w:after="283"/>
              <w:rPr>
                <w:sz w:val="4"/>
                <w:szCs w:val="4"/>
              </w:rPr>
            </w:pPr>
            <w:r>
              <w:rPr>
                <w:sz w:val="4"/>
                <w:szCs w:val="4"/>
              </w:rPr>
            </w:r>
          </w:p>
        </w:tc>
        <w:tc>
          <w:tcPr>
            <w:tcW w:w="2322"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2021</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118,972 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Issuance of new preferred shares – financing cash flow</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37,610 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Conversion of convertible notes</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Decrease in value of preferred shares measured at fair value – finance costs (income)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(8,362)</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Decrease in value of preferred shares measured at fair value – finance costs (income)</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(130,825)</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 – (Sonde)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(15,853)</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900"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183964"/>
                <w:sz w:val="17"/>
              </w:rPr>
              <w:t>27,339</w:t>
            </w:r>
            <w:r>
              <w:rPr>
                <w:color w:val="183964"/>
              </w:rPr>
              <w:t> </w:t>
            </w:r>
          </w:p>
        </w:tc>
        <w:tc>
          <w:tcPr>
            <w:tcW w:w="244"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2022 there were no issuances of new preferred shares.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2021</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July 21, 2021 Vedanta closed a Series D financing in which Vedanta issued 2,387,675 Preferred D shares for consideration of $68.4 million. From such consideration of $68.4 million, $25.8 million was received from Pfizer through conversion of its convertible note (see Note 17) and $5.0 million was received from PureTech in exchange for 174,520 Preferred D shares. The amount received from PureTech was eliminated in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25730"/>
                <wp:effectExtent l="0" t="0" r="0" b="0"/>
                <wp:wrapNone/>
                <wp:docPr id="112" name="Frame11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F-39</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16.     Financial Instruments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financial instruments consist of financial liabilities, including preferred shares, convertible notes, warrants and loans payable, as well as financial assets. Many of these financial instruments are presented at fair value with fair value changes recorded through profit and loss.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Fair Value Process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financial instruments measured at fair value under IFRS 9, the change in the fair value is reflected through profit and loss. Using the guidance in IFRS 13, the total business enterprise value and allocable equity of each entity being valued was determined using a market backsolve approach through a recent arm’s length financing round (or a future probable arm's length transaction), market PWERM approach, discounted cash flow income approach, or hybrid approaches. The approaches, in order of strongest fair value evidence, are detailed as follows:</w:t>
      </w:r>
    </w:p>
    <w:tbl>
      <w:tblPr>
        <w:tblW w:w="10205" w:type="dxa"/>
        <w:jc w:val="left"/>
        <w:tblInd w:w="0" w:type="dxa"/>
        <w:tblCellMar>
          <w:top w:w="28" w:type="dxa"/>
          <w:left w:w="28" w:type="dxa"/>
          <w:bottom w:w="28" w:type="dxa"/>
          <w:right w:w="28" w:type="dxa"/>
        </w:tblCellMar>
      </w:tblPr>
      <w:tblGrid>
        <w:gridCol w:w="556"/>
        <w:gridCol w:w="389"/>
        <w:gridCol w:w="334"/>
        <w:gridCol w:w="3001"/>
        <w:gridCol w:w="2439"/>
        <w:gridCol w:w="3486"/>
      </w:tblGrid>
      <w:tr>
        <w:trPr/>
        <w:tc>
          <w:tcPr>
            <w:tcW w:w="55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c>
          <w:tcPr>
            <w:tcW w:w="2439" w:type="dxa"/>
            <w:tcBorders/>
            <w:shd w:fill="auto" w:val="clear"/>
            <w:vAlign w:val="center"/>
          </w:tcPr>
          <w:p>
            <w:pPr>
              <w:pStyle w:val="TableContents"/>
              <w:spacing w:before="0" w:after="283"/>
              <w:rPr>
                <w:sz w:val="4"/>
                <w:szCs w:val="4"/>
              </w:rPr>
            </w:pPr>
            <w:r>
              <w:rPr>
                <w:sz w:val="4"/>
                <w:szCs w:val="4"/>
              </w:rPr>
            </w:r>
          </w:p>
        </w:tc>
        <w:tc>
          <w:tcPr>
            <w:tcW w:w="3486"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Valuation Method</w:t>
            </w:r>
          </w:p>
        </w:tc>
        <w:tc>
          <w:tcPr>
            <w:tcW w:w="89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27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Market – Backsolve</w:t>
            </w:r>
          </w:p>
        </w:tc>
        <w:tc>
          <w:tcPr>
            <w:tcW w:w="89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market backsolve approach benchmarks the original issue price (OIP) of the company’s latest funding transaction as current value.</w:t>
            </w:r>
          </w:p>
        </w:tc>
      </w:tr>
      <w:tr>
        <w:trPr/>
        <w:tc>
          <w:tcPr>
            <w:tcW w:w="127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Market/Asset – PWERM</w:t>
            </w:r>
          </w:p>
        </w:tc>
        <w:tc>
          <w:tcPr>
            <w:tcW w:w="892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a PWERM, the company value is based upon the probability-weighted present value of expected future investment returns, considering each of the possible future outcomes available to the enterprise. An asset approach may be included as an expected future outcome within the PWERM method. Possible future outcomes can include IPO scenarios, potential SPAC transactions, merger and acquisition transactions as well as other similar exit transactions of the investee.</w:t>
            </w:r>
          </w:p>
        </w:tc>
      </w:tr>
      <w:tr>
        <w:trPr/>
        <w:tc>
          <w:tcPr>
            <w:tcW w:w="1279"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0"/>
              <w:jc w:val="left"/>
              <w:rPr/>
            </w:pPr>
            <w:r>
              <w:rPr>
                <w:rFonts w:ascii="Arial;sans-serif" w:hAnsi="Arial;sans-serif"/>
                <w:b w:val="false"/>
                <w:color w:val="000000"/>
                <w:sz w:val="17"/>
              </w:rPr>
              <w:t>I</w:t>
            </w:r>
            <w:r>
              <w:rPr>
                <w:rFonts w:ascii="Avenir LT Pro 45 Book;sans-serif" w:hAnsi="Avenir LT Pro 45 Book;sans-serif"/>
                <w:b w:val="false"/>
                <w:color w:val="000000"/>
                <w:sz w:val="17"/>
              </w:rPr>
              <w:t>ncome Based – DCF</w:t>
            </w:r>
          </w:p>
        </w:tc>
        <w:tc>
          <w:tcPr>
            <w:tcW w:w="8926"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income approach is used to estimate fair value based on the income streams, such as cash flows or earnings, that an asset or business can be expected to generate.</w:t>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9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and 2021, at each measurement date, the fair value of preferred shares and warrant liabilities, including embedded conversion rights that are not bifurcated, as well as investments held at fair value (that are not publicly traded), were determined using the following allocation methods: option pricing model (“OPM”), Probability-Weighted Expected Return Method ("PWERM"), or Hybrid allocation framework. The methods are detailed as follows:</w:t>
      </w:r>
    </w:p>
    <w:tbl>
      <w:tblPr>
        <w:tblW w:w="10205" w:type="dxa"/>
        <w:jc w:val="left"/>
        <w:tblInd w:w="0" w:type="dxa"/>
        <w:tblCellMar>
          <w:top w:w="28" w:type="dxa"/>
          <w:left w:w="28" w:type="dxa"/>
          <w:bottom w:w="28" w:type="dxa"/>
          <w:right w:w="28" w:type="dxa"/>
        </w:tblCellMar>
      </w:tblPr>
      <w:tblGrid>
        <w:gridCol w:w="376"/>
        <w:gridCol w:w="330"/>
        <w:gridCol w:w="332"/>
        <w:gridCol w:w="3015"/>
        <w:gridCol w:w="2526"/>
        <w:gridCol w:w="3626"/>
      </w:tblGrid>
      <w:tr>
        <w:trPr/>
        <w:tc>
          <w:tcPr>
            <w:tcW w:w="37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2526" w:type="dxa"/>
            <w:tcBorders/>
            <w:shd w:fill="auto" w:val="clear"/>
            <w:vAlign w:val="center"/>
          </w:tcPr>
          <w:p>
            <w:pPr>
              <w:pStyle w:val="TableContents"/>
              <w:spacing w:before="0" w:after="283"/>
              <w:rPr>
                <w:sz w:val="4"/>
                <w:szCs w:val="4"/>
              </w:rPr>
            </w:pPr>
            <w:r>
              <w:rPr>
                <w:sz w:val="4"/>
                <w:szCs w:val="4"/>
              </w:rPr>
            </w:r>
          </w:p>
        </w:tc>
        <w:tc>
          <w:tcPr>
            <w:tcW w:w="3626" w:type="dxa"/>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Allocation Method</w:t>
            </w:r>
          </w:p>
        </w:tc>
        <w:tc>
          <w:tcPr>
            <w:tcW w:w="91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038"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OPM</w:t>
            </w:r>
          </w:p>
        </w:tc>
        <w:tc>
          <w:tcPr>
            <w:tcW w:w="916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The OPM model treats preferred stock as call options on the enterprise’s equity value, with exercise prices based on the liquidation preferences of the preferred stock.</w:t>
            </w:r>
            <w:r>
              <w:rPr>
                <w:color w:val="000000"/>
              </w:rPr>
              <w:t xml:space="preserve"> </w:t>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PWERM</w:t>
            </w:r>
          </w:p>
        </w:tc>
        <w:tc>
          <w:tcPr>
            <w:tcW w:w="9167"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a PWERM, share value is based upon the probability-weighted present value of expected future investment returns, considering each of the possible future outcomes available to the enterprise, as well as the rights of each share class. </w:t>
            </w:r>
          </w:p>
        </w:tc>
      </w:tr>
      <w:tr>
        <w:trPr/>
        <w:tc>
          <w:tcPr>
            <w:tcW w:w="1038"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Hybrid</w:t>
            </w:r>
          </w:p>
        </w:tc>
        <w:tc>
          <w:tcPr>
            <w:tcW w:w="9167"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hybrid method (“HM”) is a combination of the PWERM and OPM. Under the hybrid method, multiple liquidity scenarios are weighted based on the probability of the scenarios occurrence, similar to the PWERM, while also utilizing the OPM to estimate the allocation of value in one or more of the scenarios. </w:t>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r>
        <w:trPr/>
        <w:tc>
          <w:tcPr>
            <w:tcW w:w="1038" w:type="dxa"/>
            <w:gridSpan w:val="3"/>
            <w:tcBorders/>
            <w:shd w:fill="auto" w:val="clear"/>
            <w:vAlign w:val="center"/>
          </w:tcPr>
          <w:p>
            <w:pPr>
              <w:pStyle w:val="TableContents"/>
              <w:spacing w:before="0" w:after="283"/>
              <w:rPr>
                <w:sz w:val="4"/>
                <w:szCs w:val="4"/>
              </w:rPr>
            </w:pPr>
            <w:r>
              <w:rPr>
                <w:sz w:val="4"/>
                <w:szCs w:val="4"/>
              </w:rPr>
            </w:r>
          </w:p>
        </w:tc>
        <w:tc>
          <w:tcPr>
            <w:tcW w:w="916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Valuation policies and procedures are regularly monitored by the Company’s finance group. Fair value measurements, including those categorized within Level 3, are prepared and reviewed on their issuance date and then on an annual basis for reasonableness and compliance with the fair value measurements guidance under IFRS. The Group measures fair values using the following fair value hierarchy that reflects the significance of the inputs used in making the measurements:</w:t>
      </w:r>
    </w:p>
    <w:tbl>
      <w:tblPr>
        <w:tblW w:w="10205" w:type="dxa"/>
        <w:jc w:val="left"/>
        <w:tblInd w:w="0" w:type="dxa"/>
        <w:tblCellMar>
          <w:top w:w="28" w:type="dxa"/>
          <w:left w:w="28" w:type="dxa"/>
          <w:bottom w:w="28" w:type="dxa"/>
          <w:right w:w="28" w:type="dxa"/>
        </w:tblCellMar>
      </w:tblPr>
      <w:tblGrid>
        <w:gridCol w:w="468"/>
        <w:gridCol w:w="411"/>
        <w:gridCol w:w="412"/>
        <w:gridCol w:w="2659"/>
        <w:gridCol w:w="2571"/>
        <w:gridCol w:w="3684"/>
      </w:tblGrid>
      <w:tr>
        <w:trPr/>
        <w:tc>
          <w:tcPr>
            <w:tcW w:w="4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571" w:type="dxa"/>
            <w:tcBorders/>
            <w:shd w:fill="auto" w:val="clear"/>
            <w:vAlign w:val="center"/>
          </w:tcPr>
          <w:p>
            <w:pPr>
              <w:pStyle w:val="TableContents"/>
              <w:spacing w:before="0" w:after="283"/>
              <w:rPr>
                <w:sz w:val="4"/>
                <w:szCs w:val="4"/>
              </w:rPr>
            </w:pPr>
            <w:r>
              <w:rPr>
                <w:sz w:val="4"/>
                <w:szCs w:val="4"/>
              </w:rPr>
            </w:r>
          </w:p>
        </w:tc>
        <w:tc>
          <w:tcPr>
            <w:tcW w:w="368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Fair Value</w:t>
              <w:br/>
              <w:t>Hierarchy Level</w:t>
            </w:r>
          </w:p>
        </w:tc>
        <w:tc>
          <w:tcPr>
            <w:tcW w:w="89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291"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1</w:t>
            </w:r>
          </w:p>
        </w:tc>
        <w:tc>
          <w:tcPr>
            <w:tcW w:w="891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Inputs that are quoted market prices (unadjusted) in active markets for identical instruments.</w:t>
            </w:r>
          </w:p>
        </w:tc>
      </w:tr>
      <w:tr>
        <w:trPr/>
        <w:tc>
          <w:tcPr>
            <w:tcW w:w="1291"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2</w:t>
            </w:r>
          </w:p>
        </w:tc>
        <w:tc>
          <w:tcPr>
            <w:tcW w:w="891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Inputs other than quoted prices included within Level 1 that are observable either directly (i.e. as prices) or indirectly (i.e. derived from prices). </w:t>
            </w:r>
          </w:p>
        </w:tc>
      </w:tr>
      <w:tr>
        <w:trPr/>
        <w:tc>
          <w:tcPr>
            <w:tcW w:w="1291"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3</w:t>
            </w:r>
          </w:p>
        </w:tc>
        <w:tc>
          <w:tcPr>
            <w:tcW w:w="8914" w:type="dxa"/>
            <w:gridSpan w:val="3"/>
            <w:tcBorders>
              <w:top w:val="single" w:sz="2" w:space="0" w:color="18396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Inputs that are unobservable. This category includes all instruments for which the valuation technique includes inputs not based on observable data and the unobservable inputs have a significant effect on the instrument’s valuation. </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Whilst the Group considers the methodologies and assumptions adopted in fair value measurements as supportable, reasonable and robust, because of the inherent uncertainty of valuation, those estimated values may differ significantly from the values that would have been used had a ready market for the investment existed.</w:t>
      </w:r>
    </w:p>
    <w:p>
      <w:pPr>
        <w:pStyle w:val="HorizontalLine"/>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25730"/>
                <wp:effectExtent l="0" t="0" r="0" b="0"/>
                <wp:wrapNone/>
                <wp:docPr id="113" name="Frame11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F-40</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Subsidiary Preferred Shares Liability and Subsidiary Convertible Notes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changes in the Group’s subsidiary preferred shares and convertible note liabilities measured at fair value, which were categorized as Level 3 in the fair value hierarchy:</w:t>
      </w:r>
    </w:p>
    <w:tbl>
      <w:tblPr>
        <w:tblW w:w="8264" w:type="dxa"/>
        <w:jc w:val="left"/>
        <w:tblInd w:w="0" w:type="dxa"/>
        <w:tblCellMar>
          <w:top w:w="28" w:type="dxa"/>
          <w:left w:w="28" w:type="dxa"/>
          <w:bottom w:w="28" w:type="dxa"/>
          <w:right w:w="28" w:type="dxa"/>
        </w:tblCellMar>
      </w:tblPr>
      <w:tblGrid>
        <w:gridCol w:w="1591"/>
        <w:gridCol w:w="1396"/>
        <w:gridCol w:w="1408"/>
        <w:gridCol w:w="699"/>
        <w:gridCol w:w="699"/>
        <w:gridCol w:w="701"/>
        <w:gridCol w:w="517"/>
        <w:gridCol w:w="517"/>
        <w:gridCol w:w="736"/>
      </w:tblGrid>
      <w:tr>
        <w:trPr/>
        <w:tc>
          <w:tcPr>
            <w:tcW w:w="159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00"/>
              <w:rPr/>
            </w:pPr>
            <w:r>
              <w:rPr/>
            </w:r>
          </w:p>
        </w:tc>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Preferred Shares</w:t>
              <w:br/>
              <w:t>$000s</w:t>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Convertible</w:t>
              <w:br/>
              <w:t>Notes</w:t>
              <w:br/>
              <w:t>$000s</w:t>
            </w:r>
          </w:p>
        </w:tc>
      </w:tr>
      <w:tr>
        <w:trPr/>
        <w:tc>
          <w:tcPr>
            <w:tcW w:w="4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2020</w:t>
            </w:r>
          </w:p>
        </w:tc>
        <w:tc>
          <w:tcPr>
            <w:tcW w:w="13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100,989 </w:t>
            </w:r>
          </w:p>
        </w:tc>
        <w:tc>
          <w:tcPr>
            <w:tcW w:w="7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Value at issuance</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13,750 </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25,000 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4,233 </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2020 and January 1, 2021</w:t>
            </w:r>
          </w:p>
        </w:tc>
        <w:tc>
          <w:tcPr>
            <w:tcW w:w="13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118,972 </w:t>
            </w:r>
          </w:p>
        </w:tc>
        <w:tc>
          <w:tcPr>
            <w:tcW w:w="7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25,000 </w:t>
            </w:r>
          </w:p>
        </w:tc>
        <w:tc>
          <w:tcPr>
            <w:tcW w:w="7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Value at issuance</w:t>
            </w:r>
          </w:p>
        </w:tc>
        <w:tc>
          <w:tcPr>
            <w:tcW w:w="13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37,610 </w:t>
            </w:r>
          </w:p>
        </w:tc>
        <w:tc>
          <w:tcPr>
            <w:tcW w:w="7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2,215 </w:t>
            </w:r>
          </w:p>
        </w:tc>
        <w:tc>
          <w:tcPr>
            <w:tcW w:w="7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Conversion to subsidiary preferred shares</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25,797 </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 contractual</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867 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(8,362)</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2021 and January 1, 2022</w:t>
            </w:r>
          </w:p>
        </w:tc>
        <w:tc>
          <w:tcPr>
            <w:tcW w:w="13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7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2,461 </w:t>
            </w:r>
          </w:p>
        </w:tc>
        <w:tc>
          <w:tcPr>
            <w:tcW w:w="7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Value at issuance</w:t>
            </w:r>
          </w:p>
        </w:tc>
        <w:tc>
          <w:tcPr>
            <w:tcW w:w="139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w:t>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 contractual</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w:t>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(130,825)</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 Sonde</w:t>
            </w:r>
          </w:p>
        </w:tc>
        <w:tc>
          <w:tcPr>
            <w:tcW w:w="139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(15,853)</w:t>
            </w:r>
          </w:p>
        </w:tc>
        <w:tc>
          <w:tcPr>
            <w:tcW w:w="7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 2022</w:t>
            </w:r>
          </w:p>
        </w:tc>
        <w:tc>
          <w:tcPr>
            <w:tcW w:w="1398"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70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73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change in fair value of preferred shares and convertible notes are recorded in Finance income/(costs) – fair value accounting in the Consolidated Statements of Comprehensive Income/(Loss).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table below sets out information about the significant unobservable inputs used at December 31, 2022, in the fair value measurement of the Group’s material subsidiary preferred shares liabilities categorized as Level 3 in the fair value hierarchy:</w:t>
      </w:r>
    </w:p>
    <w:tbl>
      <w:tblPr>
        <w:tblW w:w="10205" w:type="dxa"/>
        <w:jc w:val="left"/>
        <w:tblInd w:w="0" w:type="dxa"/>
        <w:tblCellMar>
          <w:top w:w="28" w:type="dxa"/>
          <w:left w:w="28" w:type="dxa"/>
          <w:bottom w:w="28" w:type="dxa"/>
          <w:right w:w="28" w:type="dxa"/>
        </w:tblCellMar>
      </w:tblPr>
      <w:tblGrid>
        <w:gridCol w:w="590"/>
        <w:gridCol w:w="517"/>
        <w:gridCol w:w="521"/>
        <w:gridCol w:w="1404"/>
        <w:gridCol w:w="1333"/>
        <w:gridCol w:w="1338"/>
        <w:gridCol w:w="504"/>
        <w:gridCol w:w="504"/>
        <w:gridCol w:w="505"/>
        <w:gridCol w:w="363"/>
        <w:gridCol w:w="363"/>
        <w:gridCol w:w="365"/>
        <w:gridCol w:w="553"/>
        <w:gridCol w:w="553"/>
        <w:gridCol w:w="792"/>
      </w:tblGrid>
      <w:tr>
        <w:trPr/>
        <w:tc>
          <w:tcPr>
            <w:tcW w:w="590"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r>
      <w:tr>
        <w:trPr/>
        <w:tc>
          <w:tcPr>
            <w:tcW w:w="16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Fair Value at December 31, 2022</w:t>
            </w:r>
          </w:p>
        </w:tc>
        <w:tc>
          <w:tcPr>
            <w:tcW w:w="40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Valuation Technique</w:t>
            </w:r>
          </w:p>
        </w:tc>
        <w:tc>
          <w:tcPr>
            <w:tcW w:w="15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Unobservable Inputs</w:t>
            </w:r>
          </w:p>
        </w:tc>
        <w:tc>
          <w:tcPr>
            <w:tcW w:w="10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Weighted Average</w:t>
            </w:r>
          </w:p>
        </w:tc>
        <w:tc>
          <w:tcPr>
            <w:tcW w:w="18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Sensitivity to Decrease in Input</w:t>
            </w:r>
          </w:p>
        </w:tc>
      </w:tr>
      <w:tr>
        <w:trPr/>
        <w:tc>
          <w:tcPr>
            <w:tcW w:w="1628" w:type="dxa"/>
            <w:gridSpan w:val="3"/>
            <w:vMerge w:val="restart"/>
            <w:tcBorders>
              <w:top w:val="single" w:sz="2" w:space="0" w:color="001544"/>
              <w:bottom w:val="single" w:sz="2"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26,820</w:t>
            </w:r>
          </w:p>
        </w:tc>
        <w:tc>
          <w:tcPr>
            <w:tcW w:w="4075" w:type="dxa"/>
            <w:gridSpan w:val="3"/>
            <w:vMerge w:val="restart"/>
            <w:tcBorders>
              <w:top w:val="single" w:sz="2" w:space="0" w:color="00154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PWERM based on pro forma backsolve approach that leverages a Monte Carlo simulation</w:t>
            </w:r>
          </w:p>
        </w:tc>
        <w:tc>
          <w:tcPr>
            <w:tcW w:w="1513"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Estimated Time to Exit</w:t>
            </w:r>
          </w:p>
        </w:tc>
        <w:tc>
          <w:tcPr>
            <w:tcW w:w="109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2.14</w:t>
            </w:r>
          </w:p>
        </w:tc>
        <w:tc>
          <w:tcPr>
            <w:tcW w:w="1898"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decrease</w:t>
            </w:r>
          </w:p>
        </w:tc>
      </w:tr>
      <w:tr>
        <w:trPr/>
        <w:tc>
          <w:tcPr>
            <w:tcW w:w="1628" w:type="dxa"/>
            <w:gridSpan w:val="3"/>
            <w:vMerge w:val="continue"/>
            <w:tcBorders>
              <w:top w:val="single" w:sz="2" w:space="0" w:color="001544"/>
              <w:bottom w:val="single" w:sz="2" w:space="0" w:color="183964"/>
            </w:tcBorders>
            <w:shd w:fill="auto" w:val="clear"/>
            <w:tcMar>
              <w:top w:w="30" w:type="dxa"/>
              <w:left w:w="0" w:type="dxa"/>
              <w:bottom w:w="30" w:type="dxa"/>
              <w:right w:w="0" w:type="dxa"/>
            </w:tcMar>
            <w:vAlign w:val="center"/>
          </w:tcPr>
          <w:p>
            <w:pPr>
              <w:pStyle w:val="Normal"/>
              <w:rPr/>
            </w:pPr>
            <w:r>
              <w:rPr/>
            </w:r>
          </w:p>
        </w:tc>
        <w:tc>
          <w:tcPr>
            <w:tcW w:w="4075" w:type="dxa"/>
            <w:gridSpan w:val="3"/>
            <w:vMerge w:val="continue"/>
            <w:tcBorders>
              <w:top w:val="single" w:sz="2" w:space="0" w:color="001544"/>
              <w:bottom w:val="single" w:sz="2" w:space="0" w:color="001544"/>
            </w:tcBorders>
            <w:shd w:fill="auto" w:val="clear"/>
            <w:tcMar>
              <w:top w:w="30" w:type="dxa"/>
              <w:left w:w="0" w:type="dxa"/>
              <w:bottom w:w="30" w:type="dxa"/>
              <w:right w:w="0" w:type="dxa"/>
            </w:tcMar>
            <w:vAlign w:val="center"/>
          </w:tcPr>
          <w:p>
            <w:pPr>
              <w:pStyle w:val="Normal"/>
              <w:rPr/>
            </w:pPr>
            <w:r>
              <w:rPr/>
            </w:r>
          </w:p>
        </w:tc>
        <w:tc>
          <w:tcPr>
            <w:tcW w:w="1513"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Discount Rate</w:t>
            </w:r>
          </w:p>
        </w:tc>
        <w:tc>
          <w:tcPr>
            <w:tcW w:w="109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w:t>
            </w:r>
          </w:p>
        </w:tc>
        <w:tc>
          <w:tcPr>
            <w:tcW w:w="1898"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increase</w:t>
            </w:r>
          </w:p>
        </w:tc>
      </w:tr>
      <w:tr>
        <w:trPr/>
        <w:tc>
          <w:tcPr>
            <w:tcW w:w="1628" w:type="dxa"/>
            <w:gridSpan w:val="3"/>
            <w:vMerge w:val="continue"/>
            <w:tcBorders>
              <w:top w:val="single" w:sz="2" w:space="0" w:color="001544"/>
              <w:bottom w:val="single" w:sz="2" w:space="0" w:color="183964"/>
            </w:tcBorders>
            <w:shd w:fill="auto" w:val="clear"/>
            <w:tcMar>
              <w:top w:w="30" w:type="dxa"/>
              <w:left w:w="0" w:type="dxa"/>
              <w:bottom w:w="30" w:type="dxa"/>
              <w:right w:w="0" w:type="dxa"/>
            </w:tcMar>
            <w:vAlign w:val="center"/>
          </w:tcPr>
          <w:p>
            <w:pPr>
              <w:pStyle w:val="Normal"/>
              <w:rPr/>
            </w:pPr>
            <w:r>
              <w:rPr/>
            </w:r>
          </w:p>
        </w:tc>
        <w:tc>
          <w:tcPr>
            <w:tcW w:w="4075" w:type="dxa"/>
            <w:gridSpan w:val="3"/>
            <w:vMerge w:val="continue"/>
            <w:tcBorders>
              <w:top w:val="single" w:sz="2" w:space="0" w:color="001544"/>
              <w:bottom w:val="single" w:sz="2" w:space="0" w:color="001544"/>
            </w:tcBorders>
            <w:shd w:fill="auto" w:val="clear"/>
            <w:tcMar>
              <w:top w:w="30" w:type="dxa"/>
              <w:left w:w="0" w:type="dxa"/>
              <w:bottom w:w="30" w:type="dxa"/>
              <w:right w:w="0" w:type="dxa"/>
            </w:tcMar>
            <w:vAlign w:val="center"/>
          </w:tcPr>
          <w:p>
            <w:pPr>
              <w:pStyle w:val="Normal"/>
              <w:rPr/>
            </w:pPr>
            <w:r>
              <w:rPr/>
            </w:r>
          </w:p>
        </w:tc>
        <w:tc>
          <w:tcPr>
            <w:tcW w:w="1513"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Debt Discount Rate</w:t>
            </w:r>
          </w:p>
        </w:tc>
        <w:tc>
          <w:tcPr>
            <w:tcW w:w="1091"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w:t>
            </w:r>
          </w:p>
        </w:tc>
        <w:tc>
          <w:tcPr>
            <w:tcW w:w="1898"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decrease</w:t>
            </w:r>
          </w:p>
        </w:tc>
      </w:tr>
      <w:tr>
        <w:trPr/>
        <w:tc>
          <w:tcPr>
            <w:tcW w:w="1628" w:type="dxa"/>
            <w:gridSpan w:val="3"/>
            <w:vMerge w:val="continue"/>
            <w:tcBorders>
              <w:top w:val="single" w:sz="2" w:space="0" w:color="001544"/>
              <w:bottom w:val="single" w:sz="2" w:space="0" w:color="183964"/>
            </w:tcBorders>
            <w:shd w:fill="auto" w:val="clear"/>
            <w:tcMar>
              <w:top w:w="30" w:type="dxa"/>
              <w:left w:w="0" w:type="dxa"/>
              <w:bottom w:w="30" w:type="dxa"/>
              <w:right w:w="0" w:type="dxa"/>
            </w:tcMar>
            <w:vAlign w:val="center"/>
          </w:tcPr>
          <w:p>
            <w:pPr>
              <w:pStyle w:val="Normal"/>
              <w:rPr/>
            </w:pPr>
            <w:r>
              <w:rPr/>
            </w:r>
          </w:p>
        </w:tc>
        <w:tc>
          <w:tcPr>
            <w:tcW w:w="4075" w:type="dxa"/>
            <w:gridSpan w:val="3"/>
            <w:vMerge w:val="continue"/>
            <w:tcBorders>
              <w:top w:val="single" w:sz="2" w:space="0" w:color="001544"/>
              <w:bottom w:val="single" w:sz="2" w:space="0" w:color="001544"/>
            </w:tcBorders>
            <w:shd w:fill="auto" w:val="clear"/>
            <w:tcMar>
              <w:top w:w="30" w:type="dxa"/>
              <w:left w:w="0" w:type="dxa"/>
              <w:bottom w:w="30" w:type="dxa"/>
              <w:right w:w="0" w:type="dxa"/>
            </w:tcMar>
            <w:vAlign w:val="center"/>
          </w:tcPr>
          <w:p>
            <w:pPr>
              <w:pStyle w:val="Normal"/>
              <w:rPr/>
            </w:pPr>
            <w:r>
              <w:rPr/>
            </w:r>
          </w:p>
        </w:tc>
        <w:tc>
          <w:tcPr>
            <w:tcW w:w="1513" w:type="dxa"/>
            <w:gridSpan w:val="3"/>
            <w:tcBorders>
              <w:top w:val="single" w:sz="2" w:space="0" w:color="00154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Volatility</w:t>
            </w:r>
          </w:p>
        </w:tc>
        <w:tc>
          <w:tcPr>
            <w:tcW w:w="1091" w:type="dxa"/>
            <w:gridSpan w:val="3"/>
            <w:tcBorders>
              <w:top w:val="single" w:sz="2" w:space="0" w:color="00154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95%</w:t>
            </w:r>
          </w:p>
        </w:tc>
        <w:tc>
          <w:tcPr>
            <w:tcW w:w="1898" w:type="dxa"/>
            <w:gridSpan w:val="3"/>
            <w:tcBorders>
              <w:top w:val="single" w:sz="2" w:space="0" w:color="00154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decrease</w:t>
            </w:r>
          </w:p>
        </w:tc>
      </w:tr>
      <w:tr>
        <w:trPr/>
        <w:tc>
          <w:tcPr>
            <w:tcW w:w="1628" w:type="dxa"/>
            <w:gridSpan w:val="3"/>
            <w:tcBorders/>
            <w:shd w:fill="auto" w:val="clear"/>
            <w:vAlign w:val="center"/>
          </w:tcPr>
          <w:p>
            <w:pPr>
              <w:pStyle w:val="TableContents"/>
              <w:spacing w:before="0" w:after="283"/>
              <w:rPr>
                <w:sz w:val="4"/>
                <w:szCs w:val="4"/>
              </w:rPr>
            </w:pPr>
            <w:r>
              <w:rPr>
                <w:sz w:val="4"/>
                <w:szCs w:val="4"/>
              </w:rPr>
            </w:r>
          </w:p>
        </w:tc>
        <w:tc>
          <w:tcPr>
            <w:tcW w:w="407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898" w:type="dxa"/>
            <w:gridSpan w:val="3"/>
            <w:tcBorders/>
            <w:shd w:fill="auto" w:val="clear"/>
            <w:vAlign w:val="center"/>
          </w:tcPr>
          <w:p>
            <w:pPr>
              <w:pStyle w:val="TableContents"/>
              <w:spacing w:before="0" w:after="283"/>
              <w:rPr>
                <w:sz w:val="4"/>
                <w:szCs w:val="4"/>
              </w:rPr>
            </w:pPr>
            <w:r>
              <w:rPr>
                <w:sz w:val="4"/>
                <w:szCs w:val="4"/>
              </w:rPr>
            </w:r>
          </w:p>
        </w:tc>
      </w:tr>
      <w:tr>
        <w:trPr/>
        <w:tc>
          <w:tcPr>
            <w:tcW w:w="1628" w:type="dxa"/>
            <w:gridSpan w:val="3"/>
            <w:tcBorders/>
            <w:shd w:fill="auto" w:val="clear"/>
            <w:vAlign w:val="center"/>
          </w:tcPr>
          <w:p>
            <w:pPr>
              <w:pStyle w:val="TableContents"/>
              <w:spacing w:before="0" w:after="283"/>
              <w:rPr>
                <w:sz w:val="4"/>
                <w:szCs w:val="4"/>
              </w:rPr>
            </w:pPr>
            <w:r>
              <w:rPr>
                <w:sz w:val="4"/>
                <w:szCs w:val="4"/>
              </w:rPr>
            </w:r>
          </w:p>
        </w:tc>
        <w:tc>
          <w:tcPr>
            <w:tcW w:w="4075" w:type="dxa"/>
            <w:gridSpan w:val="3"/>
            <w:tcBorders/>
            <w:shd w:fill="auto" w:val="clear"/>
            <w:vAlign w:val="center"/>
          </w:tcPr>
          <w:p>
            <w:pPr>
              <w:pStyle w:val="TableContents"/>
              <w:spacing w:before="0" w:after="283"/>
              <w:rPr>
                <w:sz w:val="4"/>
                <w:szCs w:val="4"/>
              </w:rPr>
            </w:pPr>
            <w:r>
              <w:rPr>
                <w:sz w:val="4"/>
                <w:szCs w:val="4"/>
              </w:rPr>
            </w:r>
          </w:p>
        </w:tc>
        <w:tc>
          <w:tcPr>
            <w:tcW w:w="4502" w:type="dxa"/>
            <w:gridSpan w:val="9"/>
            <w:tcBorders/>
            <w:shd w:fill="auto" w:val="clear"/>
          </w:tcPr>
          <w:p>
            <w:pPr>
              <w:pStyle w:val="TableContents"/>
              <w:spacing w:before="0" w:after="283"/>
              <w:rPr>
                <w:sz w:val="4"/>
                <w:szCs w:val="4"/>
              </w:rPr>
            </w:pPr>
            <w:r>
              <w:rPr>
                <w:sz w:val="4"/>
                <w:szCs w:val="4"/>
              </w:rPr>
            </w:r>
          </w:p>
        </w:tc>
      </w:tr>
      <w:tr>
        <w:trPr/>
        <w:tc>
          <w:tcPr>
            <w:tcW w:w="1628" w:type="dxa"/>
            <w:gridSpan w:val="3"/>
            <w:tcBorders/>
            <w:shd w:fill="auto" w:val="clear"/>
            <w:vAlign w:val="center"/>
          </w:tcPr>
          <w:p>
            <w:pPr>
              <w:pStyle w:val="TableContents"/>
              <w:spacing w:before="0" w:after="283"/>
              <w:rPr>
                <w:sz w:val="4"/>
                <w:szCs w:val="4"/>
              </w:rPr>
            </w:pPr>
            <w:r>
              <w:rPr>
                <w:sz w:val="4"/>
                <w:szCs w:val="4"/>
              </w:rPr>
            </w:r>
          </w:p>
        </w:tc>
        <w:tc>
          <w:tcPr>
            <w:tcW w:w="407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898" w:type="dxa"/>
            <w:gridSpan w:val="3"/>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Subsidiary Preferred Shares Sensitivity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summarizes the sensitivity from the assumptions made by the Company with respect to the significant unobservable inputs which are categorized as Level 3 in the fair value hierarchy and used in the fair value measurement of the Group’s subsidiary preferred shares liabilities (Please refer to Note 15):</w:t>
      </w:r>
    </w:p>
    <w:tbl>
      <w:tblPr>
        <w:tblW w:w="6330" w:type="dxa"/>
        <w:jc w:val="left"/>
        <w:tblInd w:w="0" w:type="dxa"/>
        <w:tblCellMar>
          <w:top w:w="28" w:type="dxa"/>
          <w:left w:w="28" w:type="dxa"/>
          <w:bottom w:w="28" w:type="dxa"/>
          <w:right w:w="28" w:type="dxa"/>
        </w:tblCellMar>
      </w:tblPr>
      <w:tblGrid>
        <w:gridCol w:w="691"/>
        <w:gridCol w:w="610"/>
        <w:gridCol w:w="619"/>
        <w:gridCol w:w="345"/>
        <w:gridCol w:w="345"/>
        <w:gridCol w:w="810"/>
        <w:gridCol w:w="850"/>
        <w:gridCol w:w="850"/>
        <w:gridCol w:w="1210"/>
      </w:tblGrid>
      <w:tr>
        <w:trPr/>
        <w:tc>
          <w:tcPr>
            <w:tcW w:w="69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Input</w:t>
            </w:r>
          </w:p>
        </w:tc>
        <w:tc>
          <w:tcPr>
            <w:tcW w:w="4410"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Preferred Share Liability</w:t>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 2022</w:t>
            </w:r>
          </w:p>
        </w:tc>
        <w:tc>
          <w:tcPr>
            <w:tcW w:w="150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Sensitivity Range</w:t>
            </w:r>
          </w:p>
        </w:tc>
        <w:tc>
          <w:tcPr>
            <w:tcW w:w="291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Financial Liability Increase/(Decrease)</w:t>
              <w:br/>
              <w:t>$000s</w:t>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tcPr>
          <w:p>
            <w:pPr>
              <w:pStyle w:val="TableContents"/>
              <w:spacing w:before="0" w:after="283"/>
              <w:rPr>
                <w:sz w:val="4"/>
                <w:szCs w:val="4"/>
              </w:rPr>
            </w:pPr>
            <w:r>
              <w:rPr>
                <w:sz w:val="4"/>
                <w:szCs w:val="4"/>
              </w:rPr>
            </w:r>
          </w:p>
        </w:tc>
      </w:tr>
      <w:tr>
        <w:trPr/>
        <w:tc>
          <w:tcPr>
            <w:tcW w:w="192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Time to Liquidity</w:t>
            </w:r>
          </w:p>
        </w:tc>
        <w:tc>
          <w:tcPr>
            <w:tcW w:w="150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- 6 Months</w:t>
            </w:r>
          </w:p>
        </w:tc>
        <w:tc>
          <w:tcPr>
            <w:tcW w:w="17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(1,322)</w:t>
            </w:r>
          </w:p>
        </w:tc>
        <w:tc>
          <w:tcPr>
            <w:tcW w:w="121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+ 6 Months</w:t>
            </w:r>
          </w:p>
        </w:tc>
        <w:tc>
          <w:tcPr>
            <w:tcW w:w="17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856 </w:t>
            </w:r>
          </w:p>
        </w:tc>
        <w:tc>
          <w:tcPr>
            <w:tcW w:w="1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r>
      <w:tr>
        <w:trPr/>
        <w:tc>
          <w:tcPr>
            <w:tcW w:w="1920"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Volatility</w:t>
            </w:r>
          </w:p>
        </w:tc>
        <w:tc>
          <w:tcPr>
            <w:tcW w:w="690"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810" w:type="dxa"/>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700"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(1,133)</w:t>
            </w:r>
          </w:p>
        </w:tc>
        <w:tc>
          <w:tcPr>
            <w:tcW w:w="1210"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7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1,200 </w:t>
            </w:r>
          </w:p>
        </w:tc>
        <w:tc>
          <w:tcPr>
            <w:tcW w:w="1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Discount Rate</w:t>
            </w:r>
          </w:p>
        </w:tc>
        <w:tc>
          <w:tcPr>
            <w:tcW w:w="690"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810" w:type="dxa"/>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700"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(2,035)</w:t>
            </w:r>
          </w:p>
        </w:tc>
        <w:tc>
          <w:tcPr>
            <w:tcW w:w="1210"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bottom w:val="single" w:sz="2" w:space="0" w:color="18396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00"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700" w:type="dxa"/>
            <w:gridSpan w:val="2"/>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1,922 </w:t>
            </w:r>
          </w:p>
        </w:tc>
        <w:tc>
          <w:tcPr>
            <w:tcW w:w="1210" w:type="dxa"/>
            <w:tcBorders>
              <w:bottom w:val="single" w:sz="2" w:space="0" w:color="00154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Financial Assets Held at Fair Value</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Karuna, Vor and Akili Valuation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Karuna (Nasdaq: KRTX), Vor (Nasdaq: VOR), Akili (Nasdaq: AKLI) and additional immaterial investments are listed entities on an active exchange and as such the fair value as of December 31, 2022, was calculated utilizing the quoted common share price. Please refer to Note 5 for further details.</w:t>
      </w:r>
    </w:p>
    <w:p>
      <w:pPr>
        <w:pStyle w:val="TextBody"/>
        <w:spacing w:lineRule="auto" w:line="288" w:before="0" w:after="0"/>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Akili, Gelesis and Sonde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accordance with IFRS 9, the Company accounted for its preferred share investments in Akili (until the exchange of such shares to common stock traded on Nasdaq) and Gelesis (until the exchange of such shares to common stock) and accounts for its investment in Sonde (investment in Preferred A-2 and B shares, subsequent to the date of deconsolidation) as financial assets held at fair value through the profit and loss. In addition, the Company accounts for its investment in Gelesis Earn-out shares and Akili Earn-out shares (see Note 5) as investments held at fair value. All the valuations of the aforementioned investments are categorized as Level 3 in the fair value hierarchy due to the use of significant unobservable inputs to value such assets. During the year ended December 31, 2022, the Company recorded such investments at fair value and recognized the change in fair value of the investments as a loss of $30.0 million that was recorded to the Consolidated Statements of Comprehensive Income/(Loss) in the line item Gain/(loss) on investments held at fair value.</w:t>
      </w:r>
    </w:p>
    <w:p>
      <w:pPr>
        <w:pStyle w:val="HorizontalLine"/>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25730"/>
                <wp:effectExtent l="0" t="0" r="0" b="0"/>
                <wp:wrapNone/>
                <wp:docPr id="114" name="Frame11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F-41</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changes in all the Group’s investments held at fair value, which were categorized as Level 3 in the fair value hierarchy:</w:t>
      </w:r>
    </w:p>
    <w:tbl>
      <w:tblPr>
        <w:tblW w:w="8250" w:type="dxa"/>
        <w:jc w:val="left"/>
        <w:tblInd w:w="0" w:type="dxa"/>
        <w:tblCellMar>
          <w:top w:w="28" w:type="dxa"/>
          <w:left w:w="28" w:type="dxa"/>
          <w:bottom w:w="28" w:type="dxa"/>
          <w:right w:w="28" w:type="dxa"/>
        </w:tblCellMar>
      </w:tblPr>
      <w:tblGrid>
        <w:gridCol w:w="2535"/>
        <w:gridCol w:w="2226"/>
        <w:gridCol w:w="2244"/>
        <w:gridCol w:w="449"/>
        <w:gridCol w:w="451"/>
        <w:gridCol w:w="191"/>
        <w:gridCol w:w="154"/>
      </w:tblGrid>
      <w:tr>
        <w:trPr/>
        <w:tc>
          <w:tcPr>
            <w:tcW w:w="2535"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2020</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154,445 </w:t>
            </w:r>
          </w:p>
        </w:tc>
        <w:tc>
          <w:tcPr>
            <w:tcW w:w="1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purchase of Gelesis preferred shares (please refer to Note 6)</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10,000 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purchase of Vor preferred shares</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1,150 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changes in fair value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41,297 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2020 and January 1, 2021</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206,892 </w:t>
            </w:r>
          </w:p>
        </w:tc>
        <w:tc>
          <w:tcPr>
            <w:tcW w:w="1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purchase of Vor preferred shares</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500 </w:t>
            </w:r>
          </w:p>
        </w:tc>
        <w:tc>
          <w:tcPr>
            <w:tcW w:w="1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Vor from level 3 to level 1</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(33,365)</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changes in fair value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65,505 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2022 before allocation of associate loss to long-term interest</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239,533 </w:t>
            </w:r>
          </w:p>
        </w:tc>
        <w:tc>
          <w:tcPr>
            <w:tcW w:w="1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Sonde</w:t>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11,168 </w:t>
            </w:r>
          </w:p>
        </w:tc>
        <w:tc>
          <w:tcPr>
            <w:tcW w:w="1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 New Investment – Earn out Shares</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14,214 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Exchange of Gelesis preferred shares to Gelesis common shares </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(92,303)</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Akili to level 1 investment</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(128,764)</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(31,253)</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90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12,593</w:t>
            </w:r>
            <w:r>
              <w:rPr>
                <w:color w:val="000000"/>
              </w:rPr>
              <w:t> </w:t>
            </w:r>
          </w:p>
        </w:tc>
        <w:tc>
          <w:tcPr>
            <w:tcW w:w="19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change in fair value of investments held at fair value are recorded in Gain/(loss) on investments held at fair value in the Consolidated Statements of Comprehensive Income/(Loss).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table below sets out information about the significant unobservable inputs used at December 31, 2022, in the fair value measurement of the Group’s material preferred share investments held at fair value categorized as Level 3 in the fair value hierarchy:</w:t>
      </w:r>
    </w:p>
    <w:tbl>
      <w:tblPr>
        <w:tblW w:w="10205" w:type="dxa"/>
        <w:jc w:val="left"/>
        <w:tblInd w:w="0" w:type="dxa"/>
        <w:tblCellMar>
          <w:top w:w="28" w:type="dxa"/>
          <w:left w:w="28" w:type="dxa"/>
          <w:bottom w:w="28" w:type="dxa"/>
          <w:right w:w="28" w:type="dxa"/>
        </w:tblCellMar>
      </w:tblPr>
      <w:tblGrid>
        <w:gridCol w:w="878"/>
        <w:gridCol w:w="770"/>
        <w:gridCol w:w="776"/>
        <w:gridCol w:w="711"/>
        <w:gridCol w:w="706"/>
        <w:gridCol w:w="709"/>
        <w:gridCol w:w="632"/>
        <w:gridCol w:w="632"/>
        <w:gridCol w:w="634"/>
        <w:gridCol w:w="465"/>
        <w:gridCol w:w="465"/>
        <w:gridCol w:w="467"/>
        <w:gridCol w:w="690"/>
        <w:gridCol w:w="689"/>
        <w:gridCol w:w="981"/>
      </w:tblGrid>
      <w:tr>
        <w:trPr/>
        <w:tc>
          <w:tcPr>
            <w:tcW w:w="87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Fair Value at December 31, 2022</w:t>
            </w:r>
          </w:p>
        </w:tc>
        <w:tc>
          <w:tcPr>
            <w:tcW w:w="21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Valuation Technique</w:t>
            </w:r>
          </w:p>
        </w:tc>
        <w:tc>
          <w:tcPr>
            <w:tcW w:w="18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Unobservable Inputs</w:t>
            </w:r>
          </w:p>
        </w:tc>
        <w:tc>
          <w:tcPr>
            <w:tcW w:w="13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Weighted Average</w:t>
            </w:r>
          </w:p>
        </w:tc>
        <w:tc>
          <w:tcPr>
            <w:tcW w:w="2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Sensitivity to Decrease in Input</w:t>
            </w:r>
          </w:p>
        </w:tc>
      </w:tr>
      <w:tr>
        <w:trPr/>
        <w:tc>
          <w:tcPr>
            <w:tcW w:w="2424" w:type="dxa"/>
            <w:gridSpan w:val="3"/>
            <w:vMerge w:val="restart"/>
            <w:tcBorders>
              <w:top w:val="single" w:sz="2" w:space="0" w:color="18396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11,403</w:t>
            </w:r>
          </w:p>
        </w:tc>
        <w:tc>
          <w:tcPr>
            <w:tcW w:w="2126" w:type="dxa"/>
            <w:gridSpan w:val="3"/>
            <w:vMerge w:val="restart"/>
            <w:tcBorders>
              <w:top w:val="single" w:sz="2" w:space="0" w:color="183964"/>
              <w:bottom w:val="single" w:sz="2" w:space="0" w:color="00154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Market Backsolve &amp; OPM</w:t>
            </w:r>
          </w:p>
        </w:tc>
        <w:tc>
          <w:tcPr>
            <w:tcW w:w="1898"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Estimated time to exit</w:t>
            </w:r>
          </w:p>
        </w:tc>
        <w:tc>
          <w:tcPr>
            <w:tcW w:w="139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2.00</w:t>
            </w:r>
          </w:p>
        </w:tc>
        <w:tc>
          <w:tcPr>
            <w:tcW w:w="23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decrease</w:t>
            </w:r>
          </w:p>
        </w:tc>
      </w:tr>
      <w:tr>
        <w:trPr/>
        <w:tc>
          <w:tcPr>
            <w:tcW w:w="2424" w:type="dxa"/>
            <w:gridSpan w:val="3"/>
            <w:vMerge w:val="continue"/>
            <w:tcBorders>
              <w:top w:val="single" w:sz="2" w:space="0" w:color="183964"/>
              <w:bottom w:val="single" w:sz="2" w:space="0" w:color="001544"/>
            </w:tcBorders>
            <w:shd w:fill="auto" w:val="clear"/>
            <w:tcMar>
              <w:top w:w="30" w:type="dxa"/>
              <w:left w:w="0" w:type="dxa"/>
              <w:bottom w:w="30" w:type="dxa"/>
              <w:right w:w="0" w:type="dxa"/>
            </w:tcMar>
            <w:vAlign w:val="center"/>
          </w:tcPr>
          <w:p>
            <w:pPr>
              <w:pStyle w:val="Normal"/>
              <w:rPr/>
            </w:pPr>
            <w:r>
              <w:rPr/>
            </w:r>
          </w:p>
        </w:tc>
        <w:tc>
          <w:tcPr>
            <w:tcW w:w="2126" w:type="dxa"/>
            <w:gridSpan w:val="3"/>
            <w:vMerge w:val="continue"/>
            <w:tcBorders>
              <w:top w:val="single" w:sz="2" w:space="0" w:color="183964"/>
              <w:bottom w:val="single" w:sz="2" w:space="0" w:color="001544"/>
            </w:tcBorders>
            <w:shd w:fill="auto" w:val="clear"/>
            <w:tcMar>
              <w:top w:w="30" w:type="dxa"/>
              <w:left w:w="0" w:type="dxa"/>
              <w:bottom w:w="30" w:type="dxa"/>
              <w:right w:w="0" w:type="dxa"/>
            </w:tcMar>
            <w:vAlign w:val="center"/>
          </w:tcPr>
          <w:p>
            <w:pPr>
              <w:pStyle w:val="Normal"/>
              <w:rPr/>
            </w:pPr>
            <w:r>
              <w:rPr/>
            </w:r>
          </w:p>
        </w:tc>
        <w:tc>
          <w:tcPr>
            <w:tcW w:w="1898"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Volatility</w:t>
            </w:r>
          </w:p>
        </w:tc>
        <w:tc>
          <w:tcPr>
            <w:tcW w:w="1397"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55%</w:t>
            </w:r>
          </w:p>
        </w:tc>
        <w:tc>
          <w:tcPr>
            <w:tcW w:w="2360" w:type="dxa"/>
            <w:gridSpan w:val="3"/>
            <w:tcBorders>
              <w:bottom w:val="single" w:sz="2" w:space="0" w:color="001544"/>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Fair value decrease</w:t>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the material investments held at fair value categorized as level 3 in the fair value hierarchy are based on a market backsolve approach using a recent arm's length transaction the change in unobservable inputs in reasonably possible scenarios has an immaterial impact on the financial statements.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Warrants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Warrants issued by subsidiaries within the Group are classified as liabilities, as they will be settled in a variable number of preferred shares. The following table summarizes the changes in the Group’s subsidiary warrant liabilities, which were categorized as Level 3 in the fair value hierarchy:</w:t>
      </w:r>
    </w:p>
    <w:tbl>
      <w:tblPr>
        <w:tblW w:w="6539" w:type="dxa"/>
        <w:jc w:val="left"/>
        <w:tblInd w:w="0" w:type="dxa"/>
        <w:tblCellMar>
          <w:top w:w="28" w:type="dxa"/>
          <w:left w:w="28" w:type="dxa"/>
          <w:bottom w:w="28" w:type="dxa"/>
          <w:right w:w="28" w:type="dxa"/>
        </w:tblCellMar>
      </w:tblPr>
      <w:tblGrid>
        <w:gridCol w:w="1591"/>
        <w:gridCol w:w="1396"/>
        <w:gridCol w:w="1408"/>
        <w:gridCol w:w="628"/>
        <w:gridCol w:w="628"/>
        <w:gridCol w:w="888"/>
      </w:tblGrid>
      <w:tr>
        <w:trPr/>
        <w:tc>
          <w:tcPr>
            <w:tcW w:w="159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Warrant Liability</w:t>
              <w:br/>
              <w:t>$000s</w:t>
            </w:r>
          </w:p>
        </w:tc>
      </w:tr>
      <w:tr>
        <w:trPr/>
        <w:tc>
          <w:tcPr>
            <w:tcW w:w="43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2020</w:t>
            </w:r>
          </w:p>
        </w:tc>
        <w:tc>
          <w:tcPr>
            <w:tcW w:w="125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7,997 </w:t>
            </w:r>
          </w:p>
        </w:tc>
        <w:tc>
          <w:tcPr>
            <w:tcW w:w="88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Warrant Issuance</w:t>
            </w:r>
          </w:p>
        </w:tc>
        <w:tc>
          <w:tcPr>
            <w:tcW w:w="12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92 </w:t>
            </w:r>
          </w:p>
        </w:tc>
        <w:tc>
          <w:tcPr>
            <w:tcW w:w="8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 (income)</w:t>
            </w:r>
          </w:p>
        </w:tc>
        <w:tc>
          <w:tcPr>
            <w:tcW w:w="12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117 </w:t>
            </w:r>
          </w:p>
        </w:tc>
        <w:tc>
          <w:tcPr>
            <w:tcW w:w="8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2020 and January 1, 2021</w:t>
            </w:r>
          </w:p>
        </w:tc>
        <w:tc>
          <w:tcPr>
            <w:tcW w:w="125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8,206 </w:t>
            </w:r>
          </w:p>
        </w:tc>
        <w:tc>
          <w:tcPr>
            <w:tcW w:w="88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 (income)</w:t>
            </w:r>
          </w:p>
        </w:tc>
        <w:tc>
          <w:tcPr>
            <w:tcW w:w="12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(1,419)</w:t>
            </w:r>
          </w:p>
        </w:tc>
        <w:tc>
          <w:tcPr>
            <w:tcW w:w="8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2021 and January 1, 2022</w:t>
            </w:r>
          </w:p>
        </w:tc>
        <w:tc>
          <w:tcPr>
            <w:tcW w:w="125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88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 (income)</w:t>
            </w:r>
          </w:p>
        </w:tc>
        <w:tc>
          <w:tcPr>
            <w:tcW w:w="12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(6,740)</w:t>
            </w:r>
          </w:p>
        </w:tc>
        <w:tc>
          <w:tcPr>
            <w:tcW w:w="8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 2022</w:t>
            </w:r>
          </w:p>
        </w:tc>
        <w:tc>
          <w:tcPr>
            <w:tcW w:w="125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888"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change in fair value of warrants are recorded in Finance income/(costs) – fair value accounting in the Consolidated Statements of Comprehensive Income/(Loss).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connection with various amendments to its 2010 Loan and Security Agreement, Follica issued Series A-1 preferred share warrants at various dates in 2013 and 2014. In 2017, in conjunction with the issuance of convertible notes, the exercise price of the warrants was adjusted to $0.07 per share.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connection with the September 2, 2021 Oxford Finance LLC loan issuance, Vedanta also issued Oxford Finance LLC 12,886 Series C-2 preferred share warrants with an exercise price of $23.28 per share, expiring September 2030.</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warrant liabilities was immaterial as of December 31, 2022 due to the decline in the fair value of the underlying preferred shares in the Follica warrant. See also Note 15 for the fair value of Follica preferred share liabilities.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Short-term Note from Associate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7, 2021, Gelesis issued PureTech a $15.0 million note to be repaid the earlier of three business days after the closing of the business combination of Gelesis with Capstar Special Acquisition Corp ("Capstar"), or 30 days following the termination of such business combination. In the event of the business combination termination, the Company, who represented the majority of the note holders, could have elected to convert the note at the next equity financing at a discount of 25% from the financing price. The note bore interest at a rate of 10% per annum.</w:t>
      </w:r>
    </w:p>
    <w:p>
      <w:pPr>
        <w:pStyle w:val="HorizontalLine"/>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25730"/>
                <wp:effectExtent l="0" t="0" r="0" b="0"/>
                <wp:wrapNone/>
                <wp:docPr id="115" name="Frame11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F-42</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note was repaid by Gelesis in January 2022 due to the closing of the business combination between Gelesis and Capstar on January 13, 2022.</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Note from Associate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July 27, 2022, PureTech, as a lender, entered into an unsecured Short Term Promissory Note ("Note") with Gelesis (GLS), as a borrower, in the amount of $15.0 million. The Note bears an annual interest rate of 15% per annum and accrues until the note is repaid. The term of the Note is the earlier of December 31, 2023 or five business days following the consummation of a qualified financing by Gelesis.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case of default, PureTech will be issued a warrant which shall entitle PureTech to purchase at an exercise price per share of $0.01 a number of shares of Gelesis common Stock equal to (i) (A) 0.2 multiplied by (B) the amount of outstanding principal and accrued interest under the Note as of the date of conversion described below, divided by (ii) the volume weighted average price of each share of Common Stock, as reported by the New York Stock Exchange, for the last five (5) trading days ("the “Common Stock VWAP”) occurring immediately prior to the date of exercise. In addition, PureTech will have the option to convert the amount of outstanding principal and accrued interest under the Note into a number of shares of Gelesis Common Stock (the “Conversion Securities”) equal to (i) the amount of outstanding principal and accrued interest under the Note as of the date of such conversion, divided by (ii) the lesser of the price per share of (A) the Gelesis common Stock, as reported by the New York Stock Exchange, as of 4:00 P.M. Eastern Time on the date of the conversion notice or (B) the Common Stock VWAP as of the day prior to the date of the conversion notice.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Based on the terms of the note, the note is required to be measured at fair value with changes in fair value recorded through profit and loss. The fair value of the note as of December 31, 2022 was $16.5 million. During the year ended December 31, 2022 the Group recorded $963 thousand of interest income and a gain of $539 thousand for the change in the fair value of the note. The change in the fair value of the note was recorded in the line item Other Income/(expense) in the Consolidated Statements of Comprehensive Income/(Loss).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note was valued using a discounted cash flow approach of the probability weighted future returns on the note, using a discount rate of 28.9%. Increasing or decreasing the discount rate by 5.0% will decrease or increase the value, respectively, by approximately $0.4 million. Also, increasing the estimated term to a qualified financing by 6 months (estimated as 3 months from December 31, 2022) will decrease the fair value by approximately $0.9 million.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See Note 26 for additional details, including information related to an additional note issued by Gelesis to the Group after balance sheet date.</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Fair Value Measurement and Classification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financial instruments by category at December 31, 2022 and 2021:</w:t>
      </w:r>
    </w:p>
    <w:tbl>
      <w:tblPr>
        <w:tblW w:w="10205" w:type="dxa"/>
        <w:jc w:val="left"/>
        <w:tblInd w:w="0" w:type="dxa"/>
        <w:tblCellMar>
          <w:top w:w="28" w:type="dxa"/>
          <w:left w:w="28" w:type="dxa"/>
          <w:bottom w:w="28" w:type="dxa"/>
          <w:right w:w="28" w:type="dxa"/>
        </w:tblCellMar>
      </w:tblPr>
      <w:tblGrid>
        <w:gridCol w:w="930"/>
        <w:gridCol w:w="813"/>
        <w:gridCol w:w="815"/>
        <w:gridCol w:w="491"/>
        <w:gridCol w:w="455"/>
        <w:gridCol w:w="424"/>
        <w:gridCol w:w="504"/>
        <w:gridCol w:w="497"/>
        <w:gridCol w:w="513"/>
        <w:gridCol w:w="109"/>
        <w:gridCol w:w="109"/>
        <w:gridCol w:w="109"/>
        <w:gridCol w:w="473"/>
        <w:gridCol w:w="473"/>
        <w:gridCol w:w="214"/>
        <w:gridCol w:w="435"/>
        <w:gridCol w:w="391"/>
        <w:gridCol w:w="214"/>
        <w:gridCol w:w="435"/>
        <w:gridCol w:w="391"/>
        <w:gridCol w:w="214"/>
        <w:gridCol w:w="473"/>
        <w:gridCol w:w="473"/>
        <w:gridCol w:w="250"/>
      </w:tblGrid>
      <w:tr>
        <w:trPr/>
        <w:tc>
          <w:tcPr>
            <w:tcW w:w="93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7" w:type="dxa"/>
            <w:gridSpan w:val="21"/>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r>
      <w:tr>
        <w:trPr/>
        <w:tc>
          <w:tcPr>
            <w:tcW w:w="2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4" w:type="dxa"/>
            <w:gridSpan w:val="6"/>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Carrying Amount</w:t>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36" w:type="dxa"/>
            <w:gridSpan w:val="1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Fair Value</w:t>
            </w:r>
          </w:p>
        </w:tc>
      </w:tr>
      <w:tr>
        <w:trPr/>
        <w:tc>
          <w:tcPr>
            <w:tcW w:w="2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Financial Assets</w:t>
              <w:br/>
              <w:t>$000s</w:t>
            </w:r>
          </w:p>
        </w:tc>
        <w:tc>
          <w:tcPr>
            <w:tcW w:w="15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Financial Liabilities</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1</w:t>
              <w:br/>
              <w:t>$000s</w:t>
            </w:r>
          </w:p>
        </w:tc>
        <w:tc>
          <w:tcPr>
            <w:tcW w:w="10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2</w:t>
              <w:br/>
              <w:t>$000s</w:t>
            </w:r>
          </w:p>
        </w:tc>
        <w:tc>
          <w:tcPr>
            <w:tcW w:w="10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3</w:t>
              <w:br/>
              <w:t>$000s</w:t>
            </w:r>
          </w:p>
        </w:tc>
        <w:tc>
          <w:tcPr>
            <w:tcW w:w="119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Total</w:t>
              <w:br/>
              <w:t>$000s</w:t>
            </w:r>
          </w:p>
        </w:tc>
      </w:tr>
      <w:tr>
        <w:trPr/>
        <w:tc>
          <w:tcPr>
            <w:tcW w:w="255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Financial assets:</w:t>
            </w:r>
          </w:p>
        </w:tc>
        <w:tc>
          <w:tcPr>
            <w:tcW w:w="137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Money Markets</w:t>
            </w:r>
            <w:r>
              <w:rPr>
                <w:rFonts w:ascii="Avenir LT Pro 45 Book;sans-serif" w:hAnsi="Avenir LT Pro 45 Book;sans-serif"/>
                <w:b w:val="false"/>
                <w:color w:val="000000"/>
                <w:sz w:val="11"/>
              </w:rPr>
              <w:t>1,2</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95,249</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95,249</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95,249</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Short-term investments</w:t>
            </w:r>
            <w:r>
              <w:rPr>
                <w:rFonts w:ascii="Avenir LT Pro 45 Book;sans-serif" w:hAnsi="Avenir LT Pro 45 Book;sans-serif"/>
                <w:b w:val="false"/>
                <w:color w:val="000000"/>
                <w:sz w:val="11"/>
              </w:rPr>
              <w:t>1</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200,229</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200,229</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200,229</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Note from associate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16,501</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16,501</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16,501</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251,892</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239,299</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12,593</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251,892</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Trade and other receivables</w:t>
            </w:r>
            <w:r>
              <w:rPr>
                <w:rFonts w:ascii="Avenir LT Pro 45 Book;sans-serif" w:hAnsi="Avenir LT Pro 45 Book;sans-serif"/>
                <w:b w:val="false"/>
                <w:color w:val="000000"/>
                <w:sz w:val="11"/>
              </w:rPr>
              <w:t>3</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financial assets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575,738</w:t>
            </w:r>
            <w:r>
              <w:rPr>
                <w:color w:val="000000"/>
              </w:rPr>
              <w:t> </w:t>
            </w:r>
          </w:p>
        </w:tc>
        <w:tc>
          <w:tcPr>
            <w:tcW w:w="42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3"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534,777</w:t>
            </w:r>
            <w:r>
              <w:rPr>
                <w:color w:val="000000"/>
              </w:rPr>
              <w:t> </w:t>
            </w:r>
          </w:p>
        </w:tc>
        <w:tc>
          <w:tcPr>
            <w:tcW w:w="21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21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29,094</w:t>
            </w:r>
            <w:r>
              <w:rPr>
                <w:color w:val="000000"/>
              </w:rPr>
              <w:t> </w:t>
            </w:r>
          </w:p>
        </w:tc>
        <w:tc>
          <w:tcPr>
            <w:tcW w:w="21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575,738</w:t>
            </w:r>
            <w:r>
              <w:rPr>
                <w:color w:val="000000"/>
              </w:rPr>
              <w:t> </w:t>
            </w:r>
          </w:p>
        </w:tc>
        <w:tc>
          <w:tcPr>
            <w:tcW w:w="25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Financial liabilities:</w:t>
            </w:r>
          </w:p>
        </w:tc>
        <w:tc>
          <w:tcPr>
            <w:tcW w:w="137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warrant liability</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preferred shares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2,097</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248</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based liability awards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5,932</w:t>
            </w:r>
            <w:r>
              <w:rPr>
                <w:color w:val="000000"/>
              </w:rPr>
              <w:t> </w:t>
            </w:r>
          </w:p>
        </w:tc>
        <w:tc>
          <w:tcPr>
            <w:tcW w:w="5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4,396</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1,537</w:t>
            </w:r>
            <w:r>
              <w:rPr>
                <w:color w:val="000000"/>
              </w:rPr>
              <w:t> </w:t>
            </w:r>
          </w:p>
        </w:tc>
        <w:tc>
          <w:tcPr>
            <w:tcW w:w="2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5,932</w:t>
            </w:r>
            <w:r>
              <w:rPr>
                <w:color w:val="000000"/>
              </w:rPr>
              <w:t> </w:t>
            </w:r>
          </w:p>
        </w:tc>
        <w:tc>
          <w:tcPr>
            <w:tcW w:w="2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8" w:type="dxa"/>
            <w:gridSpan w:val="3"/>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financial liabilities</w:t>
            </w:r>
          </w:p>
        </w:tc>
        <w:tc>
          <w:tcPr>
            <w:tcW w:w="946"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35,664</w:t>
            </w:r>
            <w:r>
              <w:rPr>
                <w:color w:val="000000"/>
              </w:rPr>
              <w:t> </w:t>
            </w:r>
          </w:p>
        </w:tc>
        <w:tc>
          <w:tcPr>
            <w:tcW w:w="513"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4,396</w:t>
            </w:r>
            <w:r>
              <w:rPr>
                <w:color w:val="000000"/>
              </w:rPr>
              <w:t> </w:t>
            </w:r>
          </w:p>
        </w:tc>
        <w:tc>
          <w:tcPr>
            <w:tcW w:w="214"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2,097</w:t>
            </w:r>
            <w:r>
              <w:rPr>
                <w:color w:val="000000"/>
              </w:rPr>
              <w:t> </w:t>
            </w:r>
          </w:p>
        </w:tc>
        <w:tc>
          <w:tcPr>
            <w:tcW w:w="214"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29,171</w:t>
            </w:r>
            <w:r>
              <w:rPr>
                <w:color w:val="000000"/>
              </w:rPr>
              <w:t> </w:t>
            </w:r>
          </w:p>
        </w:tc>
        <w:tc>
          <w:tcPr>
            <w:tcW w:w="214"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35,664</w:t>
            </w:r>
            <w:r>
              <w:rPr>
                <w:color w:val="000000"/>
              </w:rPr>
              <w:t> </w:t>
            </w:r>
          </w:p>
        </w:tc>
        <w:tc>
          <w:tcPr>
            <w:tcW w:w="250" w:type="dxa"/>
            <w:tcBorders>
              <w:top w:val="single" w:sz="2" w:space="0" w:color="183964"/>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Issued by a diverse group of corporations, largely consisting of financial institutions, virtually all of which are investment grade.</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Included within Cash and cash equivalents</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Outstanding receivables are owed primarily by government agencies and large corporations, virtually all of which are investment grade.</w:t>
      </w:r>
    </w:p>
    <w:p>
      <w:pPr>
        <w:pStyle w:val="TextBody"/>
        <w:spacing w:before="0" w:after="40"/>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balance sheet date the long term loan book value (see Note 20) approximated its fair value due to its variable rate.</w:t>
      </w:r>
    </w:p>
    <w:p>
      <w:pPr>
        <w:pStyle w:val="HorizontalLine"/>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25730"/>
                <wp:effectExtent l="0" t="0" r="0" b="0"/>
                <wp:wrapNone/>
                <wp:docPr id="116" name="Frame11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F-43</w:t>
                      </w:r>
                    </w:p>
                  </w:txbxContent>
                </v:textbox>
              </v:rect>
            </w:pict>
          </mc:Fallback>
        </mc:AlternateContent>
      </w:r>
    </w:p>
    <w:p>
      <w:pPr>
        <w:pStyle w:val="TextBody"/>
        <w:spacing w:before="0" w:after="105"/>
        <w:rPr/>
      </w:pPr>
      <w:r>
        <w:rPr/>
      </w:r>
    </w:p>
    <w:tbl>
      <w:tblPr>
        <w:tblW w:w="9786" w:type="dxa"/>
        <w:jc w:val="left"/>
        <w:tblInd w:w="0" w:type="dxa"/>
        <w:tblCellMar>
          <w:top w:w="28" w:type="dxa"/>
          <w:left w:w="28" w:type="dxa"/>
          <w:bottom w:w="28" w:type="dxa"/>
          <w:right w:w="28" w:type="dxa"/>
        </w:tblCellMar>
      </w:tblPr>
      <w:tblGrid>
        <w:gridCol w:w="994"/>
        <w:gridCol w:w="871"/>
        <w:gridCol w:w="879"/>
        <w:gridCol w:w="419"/>
        <w:gridCol w:w="419"/>
        <w:gridCol w:w="421"/>
        <w:gridCol w:w="494"/>
        <w:gridCol w:w="494"/>
        <w:gridCol w:w="512"/>
        <w:gridCol w:w="109"/>
        <w:gridCol w:w="109"/>
        <w:gridCol w:w="109"/>
        <w:gridCol w:w="413"/>
        <w:gridCol w:w="413"/>
        <w:gridCol w:w="206"/>
        <w:gridCol w:w="309"/>
        <w:gridCol w:w="307"/>
        <w:gridCol w:w="206"/>
        <w:gridCol w:w="414"/>
        <w:gridCol w:w="412"/>
        <w:gridCol w:w="206"/>
        <w:gridCol w:w="413"/>
        <w:gridCol w:w="413"/>
        <w:gridCol w:w="244"/>
      </w:tblGrid>
      <w:tr>
        <w:trPr/>
        <w:tc>
          <w:tcPr>
            <w:tcW w:w="994"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2" w:type="dxa"/>
            <w:gridSpan w:val="21"/>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00"/>
              <w:rPr/>
            </w:pPr>
            <w:r>
              <w:rPr/>
            </w:r>
          </w:p>
        </w:tc>
        <w:tc>
          <w:tcPr>
            <w:tcW w:w="2759" w:type="dxa"/>
            <w:gridSpan w:val="6"/>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Carrying Amount</w:t>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56" w:type="dxa"/>
            <w:gridSpan w:val="1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Fair Value</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Financial Assets</w:t>
              <w:br/>
              <w:t>$000s</w:t>
            </w:r>
          </w:p>
        </w:tc>
        <w:tc>
          <w:tcPr>
            <w:tcW w:w="150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Financial Liabilities</w:t>
              <w:b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1</w:t>
              <w:br/>
              <w:t>$000s</w:t>
            </w:r>
          </w:p>
        </w:tc>
        <w:tc>
          <w:tcPr>
            <w:tcW w:w="82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2</w:t>
              <w:br/>
              <w:t>$000s</w:t>
            </w:r>
          </w:p>
        </w:tc>
        <w:tc>
          <w:tcPr>
            <w:tcW w:w="103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3</w:t>
              <w:br/>
              <w:t>$000s</w:t>
            </w:r>
          </w:p>
        </w:tc>
        <w:tc>
          <w:tcPr>
            <w:tcW w:w="107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w:t>
            </w:r>
          </w:p>
        </w:tc>
      </w:tr>
      <w:tr>
        <w:trPr/>
        <w:tc>
          <w:tcPr>
            <w:tcW w:w="274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assets:</w:t>
            </w:r>
          </w:p>
        </w:tc>
        <w:tc>
          <w:tcPr>
            <w:tcW w:w="12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Money Markets</w:t>
            </w:r>
            <w:r>
              <w:rPr>
                <w:rFonts w:ascii="Avenir LT Pro 45 Book;sans-serif" w:hAnsi="Avenir LT Pro 45 Book;sans-serif"/>
                <w:b w:val="false"/>
                <w:color w:val="000000"/>
                <w:sz w:val="11"/>
              </w:rPr>
              <w:t>1</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432,649 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432,649 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432,649 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note from associate</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15,120 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15,120 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15,120 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Investments held at fair value</w:t>
            </w:r>
            <w:r>
              <w:rPr>
                <w:rFonts w:ascii="Avenir LT Pro 45 Book;sans-serif" w:hAnsi="Avenir LT Pro 45 Book;sans-serif"/>
                <w:b w:val="false"/>
                <w:color w:val="000000"/>
                <w:sz w:val="11"/>
              </w:rPr>
              <w:t>2</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493,888 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254,355 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239,533 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493,888 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Trade and other receivables</w:t>
            </w:r>
            <w:r>
              <w:rPr>
                <w:rFonts w:ascii="Avenir LT Pro 45 Book;sans-serif" w:hAnsi="Avenir LT Pro 45 Book;sans-serif"/>
                <w:b w:val="false"/>
                <w:color w:val="000000"/>
                <w:sz w:val="11"/>
              </w:rPr>
              <w:t>3</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financial assets</w:t>
            </w:r>
          </w:p>
        </w:tc>
        <w:tc>
          <w:tcPr>
            <w:tcW w:w="83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944,832 </w:t>
            </w:r>
          </w:p>
        </w:tc>
        <w:tc>
          <w:tcPr>
            <w:tcW w:w="42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1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687,005 </w:t>
            </w:r>
          </w:p>
        </w:tc>
        <w:tc>
          <w:tcPr>
            <w:tcW w:w="20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20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254,653 </w:t>
            </w:r>
          </w:p>
        </w:tc>
        <w:tc>
          <w:tcPr>
            <w:tcW w:w="20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944,832 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liabilities:</w:t>
            </w:r>
          </w:p>
        </w:tc>
        <w:tc>
          <w:tcPr>
            <w:tcW w:w="12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warrant liability</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preferred shares</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1,945 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2,696 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based liability awards</w:t>
            </w:r>
          </w:p>
        </w:tc>
        <w:tc>
          <w:tcPr>
            <w:tcW w:w="8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7,362 </w:t>
            </w:r>
          </w:p>
        </w:tc>
        <w:tc>
          <w:tcPr>
            <w:tcW w:w="5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6,081 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1,281 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7,362 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financial liabilities</w:t>
            </w:r>
          </w:p>
        </w:tc>
        <w:tc>
          <w:tcPr>
            <w:tcW w:w="83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421"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192,808 </w:t>
            </w:r>
          </w:p>
        </w:tc>
        <w:tc>
          <w:tcPr>
            <w:tcW w:w="512"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6,081 </w:t>
            </w:r>
          </w:p>
        </w:tc>
        <w:tc>
          <w:tcPr>
            <w:tcW w:w="20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1,945 </w:t>
            </w:r>
          </w:p>
        </w:tc>
        <w:tc>
          <w:tcPr>
            <w:tcW w:w="20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184,781 </w:t>
            </w:r>
          </w:p>
        </w:tc>
        <w:tc>
          <w:tcPr>
            <w:tcW w:w="20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192,808 </w:t>
            </w:r>
          </w:p>
        </w:tc>
        <w:tc>
          <w:tcPr>
            <w:tcW w:w="244"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Issued by a diverse group of corporations, largely consisting of financial institutions, virtually all of which are investment grade. Included within Cash and cash equivalents</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Balance prior to share of associate loss allocated to long-term interest (please refer to Note 5).</w:t>
      </w:r>
    </w:p>
    <w:p>
      <w:pPr>
        <w:pStyle w:val="TextBody"/>
        <w:spacing w:lineRule="auto" w:line="288" w:before="0" w:after="40"/>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Outstanding receivables are owed primarily by government agencies, virtually all of which are investment grade.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17.    Subsidiary Notes Payable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subsidiary notes payable are comprised of loans and convertible notes. As of December 31, 2022 and December 31, 2021, the loan in Follica and the financial instruments for Knode and Appeering did not contain embedded derivatives and therefore these instruments continue to be held at amortized cost. The notes payable consist of the following:</w:t>
      </w:r>
    </w:p>
    <w:tbl>
      <w:tblPr>
        <w:tblW w:w="4947" w:type="dxa"/>
        <w:jc w:val="left"/>
        <w:tblInd w:w="0" w:type="dxa"/>
        <w:tblCellMar>
          <w:top w:w="28" w:type="dxa"/>
          <w:left w:w="28" w:type="dxa"/>
          <w:bottom w:w="28" w:type="dxa"/>
          <w:right w:w="28" w:type="dxa"/>
        </w:tblCellMar>
      </w:tblPr>
      <w:tblGrid>
        <w:gridCol w:w="1087"/>
        <w:gridCol w:w="952"/>
        <w:gridCol w:w="961"/>
        <w:gridCol w:w="353"/>
        <w:gridCol w:w="353"/>
        <w:gridCol w:w="181"/>
        <w:gridCol w:w="308"/>
        <w:gridCol w:w="308"/>
        <w:gridCol w:w="181"/>
        <w:gridCol w:w="109"/>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887" w:type="dxa"/>
            <w:gridSpan w:val="3"/>
            <w:vMerge w:val="continue"/>
            <w:tcBorders/>
            <w:shd w:fill="auto" w:val="clear"/>
            <w:tcMar>
              <w:top w:w="0" w:type="dxa"/>
              <w:left w:w="0" w:type="dxa"/>
              <w:bottom w:w="0" w:type="dxa"/>
              <w:right w:w="0" w:type="dxa"/>
            </w:tcMar>
            <w:vAlign w:val="center"/>
          </w:tcPr>
          <w:p>
            <w:pPr>
              <w:pStyle w:val="Normal"/>
              <w:rPr/>
            </w:pPr>
            <w:r>
              <w:rPr/>
            </w:r>
          </w:p>
        </w:tc>
        <w:tc>
          <w:tcPr>
            <w:tcW w:w="797"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Loans</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2,097</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1,945 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Convertible notes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2,696 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subsidiary notes payable</w:t>
            </w:r>
          </w:p>
        </w:tc>
        <w:tc>
          <w:tcPr>
            <w:tcW w:w="70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Loans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October 2010, Follica entered into a loan and security agreement with Lighthouse Capital Partners VI, L.P. The loan is secured by Follica’s assets, including Follica’s intellectual property and bears interest at a rate of 12.0 percent. The outstanding loan balance totaled approximately $2.0 million and $1.9 million as of December 31, 2022 and December 31, 2021, respectively. The increase in 2022 is attributed to interest expense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Convertible Notes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Convertible Notes outstanding were as follows:</w:t>
      </w:r>
    </w:p>
    <w:tbl>
      <w:tblPr>
        <w:tblW w:w="9248" w:type="dxa"/>
        <w:jc w:val="left"/>
        <w:tblInd w:w="0" w:type="dxa"/>
        <w:tblCellMar>
          <w:top w:w="28" w:type="dxa"/>
          <w:left w:w="28" w:type="dxa"/>
          <w:bottom w:w="28" w:type="dxa"/>
          <w:right w:w="28" w:type="dxa"/>
        </w:tblCellMar>
      </w:tblPr>
      <w:tblGrid>
        <w:gridCol w:w="1648"/>
        <w:gridCol w:w="1453"/>
        <w:gridCol w:w="1459"/>
        <w:gridCol w:w="109"/>
        <w:gridCol w:w="109"/>
        <w:gridCol w:w="396"/>
        <w:gridCol w:w="399"/>
        <w:gridCol w:w="236"/>
        <w:gridCol w:w="203"/>
        <w:gridCol w:w="203"/>
        <w:gridCol w:w="186"/>
        <w:gridCol w:w="280"/>
        <w:gridCol w:w="280"/>
        <w:gridCol w:w="281"/>
        <w:gridCol w:w="344"/>
        <w:gridCol w:w="346"/>
        <w:gridCol w:w="186"/>
        <w:gridCol w:w="396"/>
        <w:gridCol w:w="399"/>
        <w:gridCol w:w="181"/>
        <w:gridCol w:w="154"/>
      </w:tblGrid>
      <w:tr>
        <w:trPr/>
        <w:tc>
          <w:tcPr>
            <w:tcW w:w="1648"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vMerge w:val="restart"/>
            <w:tcBorders/>
            <w:shd w:fill="auto" w:val="clear"/>
            <w:tcMar>
              <w:top w:w="0" w:type="dxa"/>
              <w:left w:w="0" w:type="dxa"/>
              <w:bottom w:w="0" w:type="dxa"/>
              <w:right w:w="0" w:type="dxa"/>
            </w:tcMar>
            <w:vAlign w:val="center"/>
          </w:tcPr>
          <w:p>
            <w:pPr>
              <w:pStyle w:val="TableContents"/>
              <w:spacing w:before="0" w:after="200"/>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Vedanta</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59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Knode</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Appeering</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7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Sonde</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vMerge w:val="continue"/>
            <w:tcBorders/>
            <w:shd w:fill="auto" w:val="clear"/>
            <w:tcMar>
              <w:top w:w="0" w:type="dxa"/>
              <w:left w:w="0" w:type="dxa"/>
              <w:bottom w:w="0" w:type="dxa"/>
              <w:right w:w="0" w:type="dxa"/>
            </w:tcMar>
            <w:vAlign w:val="center"/>
          </w:tcPr>
          <w:p>
            <w:pPr>
              <w:pStyle w:val="Normal"/>
              <w:rPr/>
            </w:pPr>
            <w:r>
              <w:rPr/>
            </w:r>
          </w:p>
        </w:tc>
        <w:tc>
          <w:tcPr>
            <w:tcW w:w="4688" w:type="dxa"/>
            <w:gridSpan w:val="18"/>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January 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25,000 </w:t>
            </w:r>
          </w:p>
        </w:tc>
        <w:tc>
          <w:tcPr>
            <w:tcW w:w="23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134 </w:t>
            </w:r>
          </w:p>
        </w:tc>
        <w:tc>
          <w:tcPr>
            <w:tcW w:w="2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25,223 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Gross principal - issuance of notes - financing activity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on convertible notes - finance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797 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Conversion to subsidiary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December 31, 2021 and January 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94 </w:t>
            </w:r>
          </w:p>
        </w:tc>
        <w:tc>
          <w:tcPr>
            <w:tcW w:w="18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141 </w:t>
            </w:r>
          </w:p>
        </w:tc>
        <w:tc>
          <w:tcPr>
            <w:tcW w:w="2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2,461 </w:t>
            </w:r>
          </w:p>
        </w:tc>
        <w:tc>
          <w:tcPr>
            <w:tcW w:w="18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2,696 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Gross principal - issuance of notes - financing activity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393 </w:t>
            </w:r>
          </w:p>
        </w:tc>
        <w:tc>
          <w:tcPr>
            <w:tcW w:w="18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on convertible notes - finance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592"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56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w:t>
            </w:r>
            <w:r>
              <w:rPr>
                <w:color w:val="000000"/>
              </w:rPr>
              <w:t> </w:t>
            </w:r>
          </w:p>
        </w:tc>
        <w:tc>
          <w:tcPr>
            <w:tcW w:w="18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w:t>
            </w:r>
            <w:r>
              <w:rPr>
                <w:color w:val="000000"/>
              </w:rPr>
              <w:t> </w:t>
            </w:r>
          </w:p>
        </w:tc>
        <w:tc>
          <w:tcPr>
            <w:tcW w:w="2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248</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30, 2020, Vedanta issued a $25.0 million convertible promissory note to an investor. The note bore interest at an annual rate of 6.0 percent and its maturity date was the first anniversary of the note. Prepayment of the note was not allowed and there was no conversion discount feature on the note. The note was mandatorily convertible in a Qualified equity financing and a Qualified Public Offering at the current price of the financing or offering, all as defined in the note purchase agreement. In addition, the note allowed for optional conversion immediately prior to a Non Qualified public offering, Non Qualified Equity financing, or a Corporate transaction and for a pay-out in the case of a change of control transaction. On July 19, 2021, upon the occurrence of Vedanta's Series D preferred share issuance that was considered to be a Qualified Equity Financing, the entire outstanding amount of the note, principal and interest, was converted into Series D preferred shares of Vedanta at the current price of the financing. For further details, please see Note 15.</w:t>
      </w:r>
    </w:p>
    <w:p>
      <w:pPr>
        <w:pStyle w:val="HorizontalLine"/>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25730"/>
                <wp:effectExtent l="0" t="0" r="0" b="0"/>
                <wp:wrapNone/>
                <wp:docPr id="117" name="Frame11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F-44</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6, 2021, and on November 24, 2021, Sonde issued unsecured convertible promissory notes to its existing shareholders for a combined total of $4.3 million, of which $2.2 million were issued to third party shareholders (and $2.1 million were issued to the Company and eliminated in consolidation). In addition, in March 2022 Sonde issued an additional amount of $0.9 million, of which $0.4 million were issued to third parties (and $0.5 million issued to PureTech and eliminated in consolidation). The notes bore interest at an annual rate of 6.0 percent and were to mature on the second anniversary of the issuance. The notes were to mandatorily convert in a Qualified Financing, as defined in the note purchase agreement, at a discount of 20.0 percent from the price per share in the Qualified Financing. In addition, the notes allowed for optional conversion concurrently with a discount of 20.0 percent from the price per share in the Non Qualified Equity Financing. Upon the completion of the Preferred B round of financing in Sonde on May 25, 2022, the Group lost control in Sonde and all convertible notes were derecognized as part of the deconsolidation - See Note 5.</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Vedanta and Sonde convertible notes, since these Notes contained embedded derivatives, the Notes were assessed under IFRS 9 and the entire financial instruments were elected to be accounted for as FVTPL. The Vedanta convertible note was settled through its conversion in July 2021 and the Sonde notes were deconsolidated in May 2022. See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18.     Non-Controlling Interest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2022, Sonde Health, Inc was deconsolidated and therefore transferred retroactively to the Non-Controlled Founded Entity segment. See Note 5. Investments Held at Fair Value.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has revised in the 2022 financial statements the prior period financial information related to the segmentation of NCI, to conform to the presentation as of and for the year ending December 31, 2022. Please refer to Note 4 “Segment Information” for further details regarding reportable segments.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changes in the equity classified non-controlling ownership interest in subsidiaries by reportable segment:</w:t>
      </w:r>
    </w:p>
    <w:tbl>
      <w:tblPr>
        <w:tblW w:w="10205" w:type="dxa"/>
        <w:jc w:val="left"/>
        <w:tblInd w:w="0" w:type="dxa"/>
        <w:tblCellMar>
          <w:top w:w="28" w:type="dxa"/>
          <w:left w:w="28" w:type="dxa"/>
          <w:bottom w:w="28" w:type="dxa"/>
          <w:right w:w="28" w:type="dxa"/>
        </w:tblCellMar>
      </w:tblPr>
      <w:tblGrid>
        <w:gridCol w:w="1615"/>
        <w:gridCol w:w="1143"/>
        <w:gridCol w:w="1143"/>
        <w:gridCol w:w="329"/>
        <w:gridCol w:w="330"/>
        <w:gridCol w:w="226"/>
        <w:gridCol w:w="577"/>
        <w:gridCol w:w="493"/>
        <w:gridCol w:w="495"/>
        <w:gridCol w:w="504"/>
        <w:gridCol w:w="504"/>
        <w:gridCol w:w="505"/>
        <w:gridCol w:w="447"/>
        <w:gridCol w:w="439"/>
        <w:gridCol w:w="440"/>
        <w:gridCol w:w="382"/>
        <w:gridCol w:w="382"/>
        <w:gridCol w:w="251"/>
      </w:tblGrid>
      <w:tr>
        <w:trPr/>
        <w:tc>
          <w:tcPr>
            <w:tcW w:w="1615"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Internal</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6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13"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Non-Controlled Founded</w:t>
              <w:br/>
              <w:t>Entities</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32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Parent Company &amp; Other</w:t>
              <w:br/>
              <w:t>$000s</w:t>
            </w:r>
          </w:p>
        </w:tc>
        <w:tc>
          <w:tcPr>
            <w:tcW w:w="1015"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w:t>
            </w:r>
          </w:p>
        </w:tc>
      </w:tr>
      <w:tr>
        <w:trPr/>
        <w:tc>
          <w:tcPr>
            <w:tcW w:w="390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2020 *</w:t>
            </w:r>
          </w:p>
        </w:tc>
        <w:tc>
          <w:tcPr>
            <w:tcW w:w="659"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(8,682)</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1,465 </w:t>
            </w:r>
          </w:p>
        </w:tc>
        <w:tc>
          <w:tcPr>
            <w:tcW w:w="49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(11,016)</w:t>
            </w:r>
          </w:p>
        </w:tc>
        <w:tc>
          <w:tcPr>
            <w:tcW w:w="505"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593 </w:t>
            </w:r>
          </w:p>
        </w:tc>
        <w:tc>
          <w:tcPr>
            <w:tcW w:w="44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(17,639)</w:t>
            </w:r>
          </w:p>
        </w:tc>
        <w:tc>
          <w:tcPr>
            <w:tcW w:w="25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comprehensive loss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(191)</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(905)</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(306)</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(1,417)</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settled share-based payments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2,395 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122 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2,822 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2020 and January 1, 2021 *</w:t>
            </w:r>
          </w:p>
        </w:tc>
        <w:tc>
          <w:tcPr>
            <w:tcW w:w="65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(8,567)</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2,966 </w:t>
            </w:r>
          </w:p>
        </w:tc>
        <w:tc>
          <w:tcPr>
            <w:tcW w:w="495"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(11,181)</w:t>
            </w:r>
          </w:p>
        </w:tc>
        <w:tc>
          <w:tcPr>
            <w:tcW w:w="505"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574 </w:t>
            </w:r>
          </w:p>
        </w:tc>
        <w:tc>
          <w:tcPr>
            <w:tcW w:w="440"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(16,209)</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comprehensive loss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(1,634)</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(436)</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NCI exercise of share-based awards in subsidiaries - change in NCI interest</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(5,922)</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(5,922)</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settled share-based payments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6,224 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6,252 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Acquisition of a subsidiary non controlling interest</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8,668 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8,668 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2021 and January 1, 2022</w:t>
            </w:r>
          </w:p>
        </w:tc>
        <w:tc>
          <w:tcPr>
            <w:tcW w:w="65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1,634 </w:t>
            </w:r>
          </w:p>
        </w:tc>
        <w:tc>
          <w:tcPr>
            <w:tcW w:w="495"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(11,585)</w:t>
            </w:r>
          </w:p>
        </w:tc>
        <w:tc>
          <w:tcPr>
            <w:tcW w:w="505"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583 </w:t>
            </w:r>
          </w:p>
        </w:tc>
        <w:tc>
          <w:tcPr>
            <w:tcW w:w="440"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(9,368)</w:t>
            </w:r>
          </w:p>
        </w:tc>
        <w:tc>
          <w:tcPr>
            <w:tcW w:w="25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comprehensive income (loss)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13,604 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(330)</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13,290 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NCI exercise of share-based awards </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(15,164)</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(15,164)</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11,904 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11,904 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settled share-based payments</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4,703 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4,711 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1513" w:type="dxa"/>
            <w:gridSpan w:val="3"/>
            <w:tcBorders/>
            <w:shd w:fill="auto" w:val="clear"/>
            <w:vAlign w:val="center"/>
          </w:tcPr>
          <w:p>
            <w:pPr>
              <w:pStyle w:val="TableContents"/>
              <w:spacing w:before="0" w:after="283"/>
              <w:rPr>
                <w:sz w:val="4"/>
                <w:szCs w:val="4"/>
              </w:rPr>
            </w:pPr>
            <w:r>
              <w:rPr>
                <w:sz w:val="4"/>
                <w:szCs w:val="4"/>
              </w:rPr>
            </w:r>
          </w:p>
        </w:tc>
        <w:tc>
          <w:tcPr>
            <w:tcW w:w="1326" w:type="dxa"/>
            <w:gridSpan w:val="3"/>
            <w:tcBorders/>
            <w:shd w:fill="auto" w:val="clear"/>
            <w:vAlign w:val="center"/>
          </w:tcPr>
          <w:p>
            <w:pPr>
              <w:pStyle w:val="TableContents"/>
              <w:spacing w:before="0" w:after="283"/>
              <w:rPr>
                <w:sz w:val="4"/>
                <w:szCs w:val="4"/>
              </w:rPr>
            </w:pPr>
            <w:r>
              <w:rPr>
                <w:sz w:val="4"/>
                <w:szCs w:val="4"/>
              </w:rPr>
            </w:r>
          </w:p>
        </w:tc>
        <w:tc>
          <w:tcPr>
            <w:tcW w:w="1015" w:type="dxa"/>
            <w:gridSpan w:val="3"/>
            <w:tcBorders/>
            <w:shd w:fill="auto" w:val="clear"/>
            <w:vAlign w:val="center"/>
          </w:tcPr>
          <w:p>
            <w:pPr>
              <w:pStyle w:val="TableContents"/>
              <w:spacing w:before="0" w:after="283"/>
              <w:rPr>
                <w:sz w:val="4"/>
                <w:szCs w:val="4"/>
              </w:rPr>
            </w:pPr>
            <w:r>
              <w:rPr>
                <w:sz w:val="4"/>
                <w:szCs w:val="4"/>
              </w:rPr>
            </w:r>
          </w:p>
        </w:tc>
      </w:tr>
      <w:tr>
        <w:trPr/>
        <w:tc>
          <w:tcPr>
            <w:tcW w:w="39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2 </w:t>
            </w:r>
          </w:p>
        </w:tc>
        <w:tc>
          <w:tcPr>
            <w:tcW w:w="5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4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1"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2022</w:t>
            </w:r>
          </w:p>
        </w:tc>
        <w:tc>
          <w:tcPr>
            <w:tcW w:w="659"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4,778</w:t>
            </w:r>
            <w:r>
              <w:rPr>
                <w:color w:val="000000"/>
              </w:rPr>
              <w:t> </w:t>
            </w:r>
          </w:p>
        </w:tc>
        <w:tc>
          <w:tcPr>
            <w:tcW w:w="495"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505"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592</w:t>
            </w:r>
            <w:r>
              <w:rPr>
                <w:color w:val="000000"/>
              </w:rPr>
              <w:t> </w:t>
            </w:r>
          </w:p>
        </w:tc>
        <w:tc>
          <w:tcPr>
            <w:tcW w:w="440"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5,369</w:t>
            </w:r>
            <w:r>
              <w:rPr>
                <w:color w:val="000000"/>
              </w:rPr>
              <w:t> </w:t>
            </w:r>
          </w:p>
        </w:tc>
        <w:tc>
          <w:tcPr>
            <w:tcW w:w="25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Revised to reclassify Sonde to the Non-controlled Founded Entities segment to comply with current period classification. See Note 4.</w:t>
      </w:r>
    </w:p>
    <w:p>
      <w:pPr>
        <w:pStyle w:val="TextBody"/>
        <w:spacing w:before="0" w:after="40"/>
        <w:rPr/>
      </w:pPr>
      <w:r>
        <w:rPr/>
      </w:r>
    </w:p>
    <w:p>
      <w:pPr>
        <w:pStyle w:val="HorizontalLine"/>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25730"/>
                <wp:effectExtent l="0" t="0" r="0" b="0"/>
                <wp:wrapNone/>
                <wp:docPr id="118" name="Frame11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F-45</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tables summarize the financial information related to the Group’s subsidiaries with material non-controlling interests, aggregated for interests in similar entities, and before and after intra group eliminations.</w:t>
      </w:r>
    </w:p>
    <w:tbl>
      <w:tblPr>
        <w:tblW w:w="10057" w:type="dxa"/>
        <w:jc w:val="left"/>
        <w:tblInd w:w="0" w:type="dxa"/>
        <w:tblCellMar>
          <w:top w:w="28" w:type="dxa"/>
          <w:left w:w="28" w:type="dxa"/>
          <w:bottom w:w="28" w:type="dxa"/>
          <w:right w:w="28" w:type="dxa"/>
        </w:tblCellMar>
      </w:tblPr>
      <w:tblGrid>
        <w:gridCol w:w="1483"/>
        <w:gridCol w:w="1301"/>
        <w:gridCol w:w="1311"/>
        <w:gridCol w:w="225"/>
        <w:gridCol w:w="225"/>
        <w:gridCol w:w="226"/>
        <w:gridCol w:w="714"/>
        <w:gridCol w:w="714"/>
        <w:gridCol w:w="716"/>
        <w:gridCol w:w="109"/>
        <w:gridCol w:w="624"/>
        <w:gridCol w:w="624"/>
        <w:gridCol w:w="626"/>
        <w:gridCol w:w="457"/>
        <w:gridCol w:w="458"/>
        <w:gridCol w:w="244"/>
      </w:tblGrid>
      <w:tr>
        <w:trPr/>
        <w:tc>
          <w:tcPr>
            <w:tcW w:w="1483"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3" w:type="dxa"/>
            <w:gridSpan w:val="10"/>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1159" w:type="dxa"/>
            <w:gridSpan w:val="3"/>
            <w:tcBorders/>
            <w:shd w:fill="auto" w:val="clea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676"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Internal</w:t>
              <w:br/>
              <w:t>$000s</w:t>
            </w:r>
          </w:p>
        </w:tc>
        <w:tc>
          <w:tcPr>
            <w:tcW w:w="214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Controlled Founded Entities</w:t>
              <w:br/>
              <w:t>$000s</w:t>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Intra-group eliminations</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15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Total</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Statement of Comprehensive Loss</w:t>
            </w:r>
          </w:p>
        </w:tc>
        <w:tc>
          <w:tcPr>
            <w:tcW w:w="67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45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12,202</w:t>
            </w:r>
            <w:r>
              <w:rPr>
                <w:color w:val="000000"/>
              </w:rPr>
              <w:t> </w:t>
            </w:r>
          </w:p>
        </w:tc>
        <w:tc>
          <w:tcPr>
            <w:tcW w:w="71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12,202</w:t>
            </w:r>
            <w:r>
              <w:rPr>
                <w:color w:val="000000"/>
              </w:rPr>
              <w:t>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45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98,633</w:t>
            </w:r>
            <w:r>
              <w:rPr>
                <w:color w:val="000000"/>
              </w:rPr>
              <w:t> </w:t>
            </w:r>
          </w:p>
        </w:tc>
        <w:tc>
          <w:tcPr>
            <w:tcW w:w="71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1,003</w:t>
            </w:r>
            <w:r>
              <w:rPr>
                <w:color w:val="000000"/>
              </w:rPr>
              <w:t> </w:t>
            </w:r>
          </w:p>
        </w:tc>
        <w:tc>
          <w:tcPr>
            <w:tcW w:w="6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99,636</w:t>
            </w:r>
            <w:r>
              <w:rPr>
                <w:color w:val="000000"/>
              </w:rPr>
              <w:t>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comprehensive income/(loss)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for the year</w:t>
            </w:r>
          </w:p>
        </w:tc>
        <w:tc>
          <w:tcPr>
            <w:tcW w:w="45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98,633</w:t>
            </w:r>
            <w:r>
              <w:rPr>
                <w:color w:val="000000"/>
              </w:rPr>
              <w:t> </w:t>
            </w:r>
          </w:p>
        </w:tc>
        <w:tc>
          <w:tcPr>
            <w:tcW w:w="71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1,003</w:t>
            </w:r>
            <w:r>
              <w:rPr>
                <w:color w:val="000000"/>
              </w:rPr>
              <w:t> </w:t>
            </w:r>
          </w:p>
        </w:tc>
        <w:tc>
          <w:tcPr>
            <w:tcW w:w="6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99,636</w:t>
            </w:r>
            <w:r>
              <w:rPr>
                <w:color w:val="000000"/>
              </w:rPr>
              <w:t>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Statement of Financial Position</w:t>
            </w:r>
          </w:p>
        </w:tc>
        <w:tc>
          <w:tcPr>
            <w:tcW w:w="67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assets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35,341</w:t>
            </w:r>
            <w:r>
              <w:rPr>
                <w:color w:val="000000"/>
              </w:rPr>
              <w:t> </w:t>
            </w:r>
          </w:p>
        </w:tc>
        <w:tc>
          <w:tcPr>
            <w:tcW w:w="7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(100)</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35,241</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liabilities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76,635</w:t>
            </w:r>
            <w:r>
              <w:rPr>
                <w:color w:val="000000"/>
              </w:rPr>
              <w:t> </w:t>
            </w:r>
          </w:p>
        </w:tc>
        <w:tc>
          <w:tcPr>
            <w:tcW w:w="7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(11,057)</w:t>
            </w:r>
          </w:p>
        </w:tc>
        <w:tc>
          <w:tcPr>
            <w:tcW w:w="6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65,578</w:t>
            </w: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Net assets/(liabilities)</w:t>
            </w:r>
          </w:p>
        </w:tc>
        <w:tc>
          <w:tcPr>
            <w:tcW w:w="45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2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(41,294)</w:t>
            </w:r>
          </w:p>
        </w:tc>
        <w:tc>
          <w:tcPr>
            <w:tcW w:w="71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10,957</w:t>
            </w:r>
            <w:r>
              <w:rPr>
                <w:color w:val="000000"/>
              </w:rPr>
              <w:t> </w:t>
            </w:r>
          </w:p>
        </w:tc>
        <w:tc>
          <w:tcPr>
            <w:tcW w:w="62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(30,336)</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Controlled Founded Entities with non-controlling interests primarily include Follica Incorporated, Entrega Inc., and Vedanta Biosciences, Inc. Ownership interests of the non-controlling interests in Follica Incorporated, Entrega Inc., and Vedanta Biosciences, Inc are 19.9 percent, 11.7 percent, and 12.2 percent, respectively. In addition, Non-controlling interests include the amounts recorded for subsidiary stock options, with the vast majority comprising of Vedanta stock options.</w:t>
      </w:r>
    </w:p>
    <w:tbl>
      <w:tblPr>
        <w:tblW w:w="9996" w:type="dxa"/>
        <w:jc w:val="left"/>
        <w:tblInd w:w="0" w:type="dxa"/>
        <w:tblCellMar>
          <w:top w:w="28" w:type="dxa"/>
          <w:left w:w="28" w:type="dxa"/>
          <w:bottom w:w="28" w:type="dxa"/>
          <w:right w:w="28" w:type="dxa"/>
        </w:tblCellMar>
      </w:tblPr>
      <w:tblGrid>
        <w:gridCol w:w="1483"/>
        <w:gridCol w:w="1301"/>
        <w:gridCol w:w="1310"/>
        <w:gridCol w:w="225"/>
        <w:gridCol w:w="225"/>
        <w:gridCol w:w="226"/>
        <w:gridCol w:w="704"/>
        <w:gridCol w:w="704"/>
        <w:gridCol w:w="706"/>
        <w:gridCol w:w="109"/>
        <w:gridCol w:w="619"/>
        <w:gridCol w:w="619"/>
        <w:gridCol w:w="621"/>
        <w:gridCol w:w="449"/>
        <w:gridCol w:w="451"/>
        <w:gridCol w:w="244"/>
      </w:tblGrid>
      <w:tr>
        <w:trPr/>
        <w:tc>
          <w:tcPr>
            <w:tcW w:w="1483"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8" w:type="dxa"/>
            <w:gridSpan w:val="10"/>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1144" w:type="dxa"/>
            <w:gridSpan w:val="3"/>
            <w:tcBorders/>
            <w:shd w:fill="auto" w:val="clea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67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Internal</w:t>
              <w:br/>
              <w:t>$000s</w:t>
            </w:r>
          </w:p>
        </w:tc>
        <w:tc>
          <w:tcPr>
            <w:tcW w:w="211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br/>
              <w:t>$000s</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Intra-group eliminations</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14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409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Statement of Comprehensive Loss</w:t>
            </w:r>
          </w:p>
        </w:tc>
        <w:tc>
          <w:tcPr>
            <w:tcW w:w="67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7,771 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7,771 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(50,436)</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792 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(49,644)</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comprehensive income/(loss)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for the year</w:t>
            </w:r>
          </w:p>
        </w:tc>
        <w:tc>
          <w:tcPr>
            <w:tcW w:w="45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(50,436)</w:t>
            </w:r>
          </w:p>
        </w:tc>
        <w:tc>
          <w:tcPr>
            <w:tcW w:w="70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792 </w:t>
            </w:r>
          </w:p>
        </w:tc>
        <w:tc>
          <w:tcPr>
            <w:tcW w:w="62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(49,644)</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Statement of Financial Position</w:t>
            </w:r>
          </w:p>
        </w:tc>
        <w:tc>
          <w:tcPr>
            <w:tcW w:w="67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assets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66,279 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(161)</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66,118 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liabilities</w:t>
            </w:r>
          </w:p>
        </w:tc>
        <w:tc>
          <w:tcPr>
            <w:tcW w:w="45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228,856 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(10,755)</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218,101 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assets/(liabilities)</w:t>
            </w:r>
          </w:p>
        </w:tc>
        <w:tc>
          <w:tcPr>
            <w:tcW w:w="45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183964"/>
              </w:rPr>
            </w:pPr>
            <w:r>
              <w:rPr>
                <w:color w:val="183964"/>
              </w:rPr>
              <w:t>— </w:t>
            </w:r>
          </w:p>
        </w:tc>
        <w:tc>
          <w:tcPr>
            <w:tcW w:w="22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08"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(162,576)</w:t>
            </w:r>
          </w:p>
        </w:tc>
        <w:tc>
          <w:tcPr>
            <w:tcW w:w="70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10,594 </w:t>
            </w:r>
          </w:p>
        </w:tc>
        <w:tc>
          <w:tcPr>
            <w:tcW w:w="62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(151,982)</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2021, Controlled Founded Entities with non-controlling interests primarily include, Follica Incorporated, Sonde Health Inc., Entrega Inc. and Vedanta Biosciences, Inc. Ownership interests of the non-controlling interests in Follica Incorporated, Sonde Health Inc., and Vedanta Biosciences, Inc are 19.9 percent, 11.7 percent, 6.2 percent and 3.7 percent, respectively. In addition, Non-controlling interests include the amounts recorded for subsidiary stock options, with the vast majority comprising of Vedanta stock options.</w:t>
      </w:r>
    </w:p>
    <w:tbl>
      <w:tblPr>
        <w:tblW w:w="10102" w:type="dxa"/>
        <w:jc w:val="left"/>
        <w:tblInd w:w="0" w:type="dxa"/>
        <w:tblCellMar>
          <w:top w:w="28" w:type="dxa"/>
          <w:left w:w="28" w:type="dxa"/>
          <w:bottom w:w="28" w:type="dxa"/>
          <w:right w:w="28" w:type="dxa"/>
        </w:tblCellMar>
      </w:tblPr>
      <w:tblGrid>
        <w:gridCol w:w="1484"/>
        <w:gridCol w:w="1301"/>
        <w:gridCol w:w="1310"/>
        <w:gridCol w:w="344"/>
        <w:gridCol w:w="346"/>
        <w:gridCol w:w="226"/>
        <w:gridCol w:w="704"/>
        <w:gridCol w:w="704"/>
        <w:gridCol w:w="706"/>
        <w:gridCol w:w="109"/>
        <w:gridCol w:w="619"/>
        <w:gridCol w:w="619"/>
        <w:gridCol w:w="621"/>
        <w:gridCol w:w="398"/>
        <w:gridCol w:w="398"/>
        <w:gridCol w:w="213"/>
      </w:tblGrid>
      <w:tr>
        <w:trPr/>
        <w:tc>
          <w:tcPr>
            <w:tcW w:w="1484"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10"/>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c>
          <w:tcPr>
            <w:tcW w:w="1009" w:type="dxa"/>
            <w:gridSpan w:val="3"/>
            <w:tcBorders/>
            <w:shd w:fill="auto" w:val="clea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916"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Internal</w:t>
              <w:br/>
              <w:t>$000s</w:t>
            </w:r>
          </w:p>
        </w:tc>
        <w:tc>
          <w:tcPr>
            <w:tcW w:w="2114"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br/>
              <w:t>$000s</w:t>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Intra-group eliminations</w:t>
            </w:r>
          </w:p>
        </w:tc>
        <w:tc>
          <w:tcPr>
            <w:tcW w:w="100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tc>
      </w:tr>
      <w:tr>
        <w:trPr/>
        <w:tc>
          <w:tcPr>
            <w:tcW w:w="40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Statement of Comprehensive Loss</w:t>
            </w:r>
          </w:p>
        </w:tc>
        <w:tc>
          <w:tcPr>
            <w:tcW w:w="916"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3,267 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1,957 </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5,224 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6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(2,407)</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(53,535)</w:t>
            </w:r>
          </w:p>
        </w:tc>
        <w:tc>
          <w:tcPr>
            <w:tcW w:w="7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1,073 </w:t>
            </w:r>
          </w:p>
        </w:tc>
        <w:tc>
          <w:tcPr>
            <w:tcW w:w="6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(54,869)</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income/(loss) for the year</w:t>
            </w:r>
          </w:p>
        </w:tc>
        <w:tc>
          <w:tcPr>
            <w:tcW w:w="690"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(2,407)</w:t>
            </w:r>
          </w:p>
        </w:tc>
        <w:tc>
          <w:tcPr>
            <w:tcW w:w="22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40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(53,535)</w:t>
            </w:r>
          </w:p>
        </w:tc>
        <w:tc>
          <w:tcPr>
            <w:tcW w:w="706"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8"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1,073 </w:t>
            </w:r>
          </w:p>
        </w:tc>
        <w:tc>
          <w:tcPr>
            <w:tcW w:w="621"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(54,869)</w:t>
            </w:r>
          </w:p>
        </w:tc>
        <w:tc>
          <w:tcPr>
            <w:tcW w:w="213" w:type="dxa"/>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2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2020, Internal segment with non-controlling interests includes Alivio, Controlled Founded Entities with non-controlling interests primarily include, Follica Incorporated, Sonde Health Inc., and Vedanta Biosciences, Inc. Ownership interests of the non-controlling interests in Alivio Therapeutics, Inc., Follica Incorporated, Sonde Health Inc., and Vedanta Biosciences, Inc are 8.1 percent, 19.9 percent, 4.5 percent and 0.4 percent, respectively. In addition, Non-controlling interests include the amounts recorded for subsidiary stock options, with the vast majority comprising of Vedanta stock options.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11, 2021, PureTech acquired the remaining 17.1 percent of the minority non-controlling interests of Alivio (after exercise of all in the money stock options) increasing its ownership to 100.0 percent of Alivio. The consideration for such non controlling interests amounted to $1.2 million, to be paid in three equal installments, with the first installment of $0.4 million paid at the effective date of the transaction and two additional installment to be paid upon the occurrence of certain contingent events. The Group recorded a contingent consideration liability of $0.6 million at fair value for the two additional installments, resulting in a total acquisition cost of $1.0 million. The excess of the consideration paid over the book value of the non-controlling interest of approximately $9.6 million was recorded directly as a charge to shareholders’ equity. The second installment of $0.4 million was paid in July 2021, upon the occurrence of the contingent event specified in the agreement. The contingent consideration liability is adjusted to fair value at the end of each reporting period with changes in fair value recorded in earnings. Changes in fair value of the aforementioned contingent consideration liability were not material. As of December 31, 2022, the remaining contingent liability was reduced to zero as the second contingent event did not occur.</w:t>
      </w:r>
    </w:p>
    <w:p>
      <w:pPr>
        <w:pStyle w:val="HorizontalLine"/>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25730"/>
                <wp:effectExtent l="0" t="0" r="0" b="0"/>
                <wp:wrapNone/>
                <wp:docPr id="119" name="Frame11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F-46</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1, 2021, options holders in Entrega exercised options into shares of common stock, increasing the NCI interest held from 0.2 percent to 11.7 percent. During 2021 option holders in Vedanta exercised options and increased the NCI interest to 3.7 percent. The exercise of the options resulted in an increase in the NCI share in Entrega's and Vedanta's shareholder's deficit of $5.9 million. The consideration paid by NCI ($0.1 million) together with the increase in NCI share in Entrega's and Vedanta's shareholder deficit ( $5.9 million) amounted to $6.0 million and was recorded as a gain directly in shareholders' equity.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15, 2022, option holders in Vedanta exercised options into shares of common stock, increasing the NCI interest held from 3.7 percent to 12.2 percent. The exercise of the options resulted in an increase in the NCI share in Vedanta's shareholder's deficit of $15.2 million. The consideration paid by NCI ($7.2 thousand) together with the increase in NCI share in Vedanta's shareholder deficit ($15.2 million) amounted to $15.2 million and was recorded as a gain directly in shareholders'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19.     Trade and Other Payables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Information regarding Trade and other payables was as follows: </w:t>
      </w:r>
    </w:p>
    <w:tbl>
      <w:tblPr>
        <w:tblW w:w="5182" w:type="dxa"/>
        <w:jc w:val="left"/>
        <w:tblInd w:w="0" w:type="dxa"/>
        <w:tblCellMar>
          <w:top w:w="28" w:type="dxa"/>
          <w:left w:w="28" w:type="dxa"/>
          <w:bottom w:w="28" w:type="dxa"/>
          <w:right w:w="28" w:type="dxa"/>
        </w:tblCellMar>
      </w:tblPr>
      <w:tblGrid>
        <w:gridCol w:w="1130"/>
        <w:gridCol w:w="989"/>
        <w:gridCol w:w="1000"/>
        <w:gridCol w:w="413"/>
        <w:gridCol w:w="413"/>
        <w:gridCol w:w="181"/>
        <w:gridCol w:w="360"/>
        <w:gridCol w:w="361"/>
        <w:gridCol w:w="181"/>
        <w:gridCol w:w="154"/>
      </w:tblGrid>
      <w:tr>
        <w:trPr/>
        <w:tc>
          <w:tcPr>
            <w:tcW w:w="113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02"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902" w:type="dxa"/>
            <w:gridSpan w:val="3"/>
            <w:vMerge w:val="continue"/>
            <w:tcBorders/>
            <w:shd w:fill="FFFFFF"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payables</w:t>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26,504</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11,346 </w:t>
            </w:r>
          </w:p>
        </w:tc>
        <w:tc>
          <w:tcPr>
            <w:tcW w:w="181"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expenses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24,518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17,309 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payable</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Liability settled share based awards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1,805</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4,703 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1,957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2,403 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trade and other payables</w:t>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54,840</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35,817 </w:t>
            </w:r>
          </w:p>
        </w:tc>
        <w:tc>
          <w:tcPr>
            <w:tcW w:w="181" w:type="dxa"/>
            <w:tcBorders>
              <w:top w:val="single" w:sz="2" w:space="0" w:color="000000"/>
              <w:bottom w:val="single" w:sz="4"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20.     Long-term loan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September 2020, Vedanta entered into a $15.0 million loan and security agreement with Oxford Finance LLC. The loan is secured by Vedanta's assets, including equipment, inventory and intellectual property. The loan bears a floating interest rate of 7.7 percent plus the greater of (i) 30 day U.S. Dollar LIBOR reported in the Wall Street Journal or (ii) 0.17 percent. The loan matures September 2025 and requires interest only payments prior to 2023. The loan also carries a final fee upon full repayment of 7.0 percent of the original principal, or $1.1 million. As part of the loan agreement, Vedanta also issued Oxford Finance LLC 12,886 Series C-2 preferred share warrants with an exercise price of $23.28 per share, expiring September 2030. The outstanding loan balance totaled approximately $15.4 million as of December 31, 2022.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long-term loan activity for the years ended December 31, 2022 and 2021:</w:t>
      </w:r>
    </w:p>
    <w:tbl>
      <w:tblPr>
        <w:tblW w:w="4320" w:type="dxa"/>
        <w:jc w:val="left"/>
        <w:tblInd w:w="0" w:type="dxa"/>
        <w:tblCellMar>
          <w:top w:w="28" w:type="dxa"/>
          <w:left w:w="28" w:type="dxa"/>
          <w:bottom w:w="28" w:type="dxa"/>
          <w:right w:w="28" w:type="dxa"/>
        </w:tblCellMar>
      </w:tblPr>
      <w:tblGrid>
        <w:gridCol w:w="803"/>
        <w:gridCol w:w="706"/>
        <w:gridCol w:w="710"/>
        <w:gridCol w:w="413"/>
        <w:gridCol w:w="413"/>
        <w:gridCol w:w="199"/>
        <w:gridCol w:w="360"/>
        <w:gridCol w:w="361"/>
        <w:gridCol w:w="201"/>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7"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Long-term loan</w:t>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22"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vMerge w:val="continue"/>
            <w:tcBorders/>
            <w:shd w:fill="auto" w:val="clear"/>
            <w:tcMar>
              <w:top w:w="0" w:type="dxa"/>
              <w:left w:w="0" w:type="dxa"/>
              <w:bottom w:w="0" w:type="dxa"/>
              <w:right w:w="0" w:type="dxa"/>
            </w:tcMar>
            <w:vAlign w:val="center"/>
          </w:tcPr>
          <w:p>
            <w:pPr>
              <w:pStyle w:val="Normal"/>
              <w:rPr/>
            </w:pPr>
            <w:r>
              <w:rPr/>
            </w:r>
          </w:p>
        </w:tc>
        <w:tc>
          <w:tcPr>
            <w:tcW w:w="1025"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922"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15,118</w:t>
            </w:r>
            <w:r>
              <w:rPr>
                <w:color w:val="000000"/>
              </w:rPr>
              <w:t> </w:t>
            </w:r>
          </w:p>
        </w:tc>
        <w:tc>
          <w:tcPr>
            <w:tcW w:w="199"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14,818 </w:t>
            </w:r>
          </w:p>
        </w:tc>
        <w:tc>
          <w:tcPr>
            <w:tcW w:w="20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1,755</w:t>
            </w:r>
            <w:r>
              <w:rPr>
                <w:color w:val="000000"/>
              </w:rPr>
              <w:t>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paid</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(1,436)</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(1,201)</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19" w:type="dxa"/>
            <w:gridSpan w:val="3"/>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w:t>
            </w:r>
          </w:p>
        </w:tc>
        <w:tc>
          <w:tcPr>
            <w:tcW w:w="826" w:type="dxa"/>
            <w:gridSpan w:val="2"/>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15,400</w:t>
            </w:r>
            <w:r>
              <w:rPr>
                <w:color w:val="000000"/>
              </w:rPr>
              <w:t> </w:t>
            </w:r>
          </w:p>
        </w:tc>
        <w:tc>
          <w:tcPr>
            <w:tcW w:w="199" w:type="dxa"/>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15,118 </w:t>
            </w:r>
          </w:p>
        </w:tc>
        <w:tc>
          <w:tcPr>
            <w:tcW w:w="201" w:type="dxa"/>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Vedanta's future principal payments for the long-term loan as of December 31, 2022:</w:t>
      </w:r>
    </w:p>
    <w:tbl>
      <w:tblPr>
        <w:tblW w:w="9063" w:type="dxa"/>
        <w:jc w:val="left"/>
        <w:tblInd w:w="0" w:type="dxa"/>
        <w:tblCellMar>
          <w:top w:w="28" w:type="dxa"/>
          <w:left w:w="28" w:type="dxa"/>
          <w:bottom w:w="28" w:type="dxa"/>
          <w:right w:w="28" w:type="dxa"/>
        </w:tblCellMar>
      </w:tblPr>
      <w:tblGrid>
        <w:gridCol w:w="2396"/>
        <w:gridCol w:w="1545"/>
        <w:gridCol w:w="1549"/>
        <w:gridCol w:w="109"/>
        <w:gridCol w:w="109"/>
        <w:gridCol w:w="308"/>
        <w:gridCol w:w="308"/>
        <w:gridCol w:w="156"/>
        <w:gridCol w:w="308"/>
        <w:gridCol w:w="308"/>
        <w:gridCol w:w="156"/>
        <w:gridCol w:w="308"/>
        <w:gridCol w:w="308"/>
        <w:gridCol w:w="156"/>
        <w:gridCol w:w="412"/>
        <w:gridCol w:w="414"/>
        <w:gridCol w:w="213"/>
      </w:tblGrid>
      <w:tr>
        <w:trPr/>
        <w:tc>
          <w:tcPr>
            <w:tcW w:w="2396"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4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Balance Type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2023</w:t>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2024</w:t>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2025</w:t>
            </w:r>
          </w:p>
        </w:tc>
        <w:tc>
          <w:tcPr>
            <w:tcW w:w="103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tc>
      </w:tr>
      <w:tr>
        <w:trPr/>
        <w:tc>
          <w:tcPr>
            <w:tcW w:w="549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Principal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5,156 </w:t>
            </w:r>
          </w:p>
        </w:tc>
        <w:tc>
          <w:tcPr>
            <w:tcW w:w="1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5,625 </w:t>
            </w:r>
          </w:p>
        </w:tc>
        <w:tc>
          <w:tcPr>
            <w:tcW w:w="1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4,219 </w:t>
            </w:r>
          </w:p>
        </w:tc>
        <w:tc>
          <w:tcPr>
            <w:tcW w:w="15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15,000 </w:t>
            </w:r>
          </w:p>
        </w:tc>
        <w:tc>
          <w:tcPr>
            <w:tcW w:w="21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of accreted premium net of unamortized issuance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3"/>
            <w:tcBorders>
              <w:top w:val="single" w:sz="2" w:space="0" w:color="183964"/>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2" w:space="0" w:color="183964"/>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2" w:space="0" w:color="183964"/>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400 </w:t>
            </w:r>
          </w:p>
        </w:tc>
        <w:tc>
          <w:tcPr>
            <w:tcW w:w="213"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9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15,400</w:t>
            </w:r>
            <w:r>
              <w:rPr>
                <w:color w:val="000000"/>
              </w:rPr>
              <w:t> </w:t>
            </w:r>
          </w:p>
        </w:tc>
        <w:tc>
          <w:tcPr>
            <w:tcW w:w="213"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long-term loan is presented as follows in the Statement of Financial Position as of December 31, 2022 and 2021: </w:t>
      </w:r>
    </w:p>
    <w:tbl>
      <w:tblPr>
        <w:tblW w:w="5040" w:type="dxa"/>
        <w:jc w:val="left"/>
        <w:tblInd w:w="0" w:type="dxa"/>
        <w:tblCellMar>
          <w:top w:w="28" w:type="dxa"/>
          <w:left w:w="28" w:type="dxa"/>
          <w:bottom w:w="28" w:type="dxa"/>
          <w:right w:w="28" w:type="dxa"/>
        </w:tblCellMar>
      </w:tblPr>
      <w:tblGrid>
        <w:gridCol w:w="1065"/>
        <w:gridCol w:w="934"/>
        <w:gridCol w:w="940"/>
        <w:gridCol w:w="413"/>
        <w:gridCol w:w="413"/>
        <w:gridCol w:w="199"/>
        <w:gridCol w:w="360"/>
        <w:gridCol w:w="361"/>
        <w:gridCol w:w="201"/>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7"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Long-term loan</w:t>
            </w:r>
          </w:p>
        </w:tc>
        <w:tc>
          <w:tcPr>
            <w:tcW w:w="154" w:type="dxa"/>
            <w:tcBorders/>
            <w:shd w:fill="auto" w:val="clear"/>
          </w:tcPr>
          <w:p>
            <w:pPr>
              <w:pStyle w:val="TableContents"/>
              <w:spacing w:before="0" w:after="283"/>
              <w:rPr>
                <w:sz w:val="4"/>
                <w:szCs w:val="4"/>
              </w:rPr>
            </w:pPr>
            <w:r>
              <w:rPr>
                <w:sz w:val="4"/>
                <w:szCs w:val="4"/>
              </w:rPr>
            </w:r>
          </w:p>
        </w:tc>
      </w:tr>
      <w:tr>
        <w:trPr/>
        <w:tc>
          <w:tcPr>
            <w:tcW w:w="293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22"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2939" w:type="dxa"/>
            <w:gridSpan w:val="3"/>
            <w:vMerge w:val="continue"/>
            <w:tcBorders/>
            <w:shd w:fill="auto" w:val="clear"/>
            <w:tcMar>
              <w:top w:w="0" w:type="dxa"/>
              <w:left w:w="0" w:type="dxa"/>
              <w:bottom w:w="0" w:type="dxa"/>
              <w:right w:w="0" w:type="dxa"/>
            </w:tcMar>
            <w:vAlign w:val="center"/>
          </w:tcPr>
          <w:p>
            <w:pPr>
              <w:pStyle w:val="Normal"/>
              <w:rPr/>
            </w:pPr>
            <w:r>
              <w:rPr/>
            </w:r>
          </w:p>
        </w:tc>
        <w:tc>
          <w:tcPr>
            <w:tcW w:w="1025"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922"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portion of Long-term loan</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5,156</w:t>
            </w:r>
            <w:r>
              <w:rPr>
                <w:color w:val="000000"/>
              </w:rPr>
              <w:t> </w:t>
            </w:r>
          </w:p>
        </w:tc>
        <w:tc>
          <w:tcPr>
            <w:tcW w:w="199"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857 </w:t>
            </w:r>
          </w:p>
        </w:tc>
        <w:tc>
          <w:tcPr>
            <w:tcW w:w="20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10,244</w:t>
            </w: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14,261 </w:t>
            </w:r>
          </w:p>
        </w:tc>
        <w:tc>
          <w:tcPr>
            <w:tcW w:w="2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93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Long-term loan</w:t>
            </w:r>
          </w:p>
        </w:tc>
        <w:tc>
          <w:tcPr>
            <w:tcW w:w="826" w:type="dxa"/>
            <w:gridSpan w:val="2"/>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15,400</w:t>
            </w:r>
            <w:r>
              <w:rPr>
                <w:color w:val="000000"/>
              </w:rPr>
              <w:t> </w:t>
            </w:r>
          </w:p>
        </w:tc>
        <w:tc>
          <w:tcPr>
            <w:tcW w:w="199" w:type="dxa"/>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15,118 </w:t>
            </w:r>
          </w:p>
        </w:tc>
        <w:tc>
          <w:tcPr>
            <w:tcW w:w="201" w:type="dxa"/>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25730"/>
                <wp:effectExtent l="0" t="0" r="0" b="0"/>
                <wp:wrapNone/>
                <wp:docPr id="120" name="Frame119"/>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F-47</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21     Leases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activity related to the Group’s right of use asset and lease liability for the years ended December 31, 2022 and 2021 is as follows:</w:t>
      </w:r>
    </w:p>
    <w:tbl>
      <w:tblPr>
        <w:tblW w:w="5627" w:type="dxa"/>
        <w:jc w:val="left"/>
        <w:tblInd w:w="0" w:type="dxa"/>
        <w:tblCellMar>
          <w:top w:w="28" w:type="dxa"/>
          <w:left w:w="28" w:type="dxa"/>
          <w:bottom w:w="28" w:type="dxa"/>
          <w:right w:w="28" w:type="dxa"/>
        </w:tblCellMar>
      </w:tblPr>
      <w:tblGrid>
        <w:gridCol w:w="1194"/>
        <w:gridCol w:w="1049"/>
        <w:gridCol w:w="1056"/>
        <w:gridCol w:w="548"/>
        <w:gridCol w:w="287"/>
        <w:gridCol w:w="287"/>
        <w:gridCol w:w="478"/>
        <w:gridCol w:w="287"/>
        <w:gridCol w:w="287"/>
        <w:gridCol w:w="154"/>
      </w:tblGrid>
      <w:tr>
        <w:trPr/>
        <w:tc>
          <w:tcPr>
            <w:tcW w:w="119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Right of use asset, net</w:t>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52"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vMerge w:val="continue"/>
            <w:tcBorders/>
            <w:shd w:fill="auto" w:val="clear"/>
            <w:tcMar>
              <w:top w:w="0" w:type="dxa"/>
              <w:left w:w="0" w:type="dxa"/>
              <w:bottom w:w="0" w:type="dxa"/>
              <w:right w:w="0" w:type="dxa"/>
            </w:tcMar>
            <w:vAlign w:val="center"/>
          </w:tcPr>
          <w:p>
            <w:pPr>
              <w:pStyle w:val="Normal"/>
              <w:rPr/>
            </w:pPr>
            <w:r>
              <w:rPr/>
            </w:r>
          </w:p>
        </w:tc>
        <w:tc>
          <w:tcPr>
            <w:tcW w:w="1122"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052"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83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17,166</w:t>
            </w:r>
            <w:r>
              <w:rPr>
                <w:color w:val="000000"/>
              </w:rPr>
              <w:t> </w:t>
            </w:r>
          </w:p>
        </w:tc>
        <w:tc>
          <w:tcPr>
            <w:tcW w:w="28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20,098 </w:t>
            </w:r>
          </w:p>
        </w:tc>
        <w:tc>
          <w:tcPr>
            <w:tcW w:w="28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83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163</w:t>
            </w:r>
            <w:r>
              <w:rPr>
                <w:color w:val="000000"/>
              </w:rPr>
              <w:t> </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739 </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Tenant improvement - lease incentive</w:t>
            </w:r>
          </w:p>
        </w:tc>
        <w:tc>
          <w:tcPr>
            <w:tcW w:w="83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(733)</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83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(3,047)</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(2,938)</w:t>
            </w:r>
          </w:p>
        </w:tc>
        <w:tc>
          <w:tcPr>
            <w:tcW w:w="28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299"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w:t>
            </w:r>
          </w:p>
        </w:tc>
        <w:tc>
          <w:tcPr>
            <w:tcW w:w="835"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14,281</w:t>
            </w:r>
            <w:r>
              <w:rPr>
                <w:color w:val="000000"/>
              </w:rPr>
              <w:t> </w:t>
            </w:r>
          </w:p>
        </w:tc>
        <w:tc>
          <w:tcPr>
            <w:tcW w:w="287"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5"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17,166 </w:t>
            </w:r>
          </w:p>
        </w:tc>
        <w:tc>
          <w:tcPr>
            <w:tcW w:w="287"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tbl>
      <w:tblPr>
        <w:tblW w:w="6425" w:type="dxa"/>
        <w:jc w:val="left"/>
        <w:tblInd w:w="0" w:type="dxa"/>
        <w:tblCellMar>
          <w:top w:w="28" w:type="dxa"/>
          <w:left w:w="28" w:type="dxa"/>
          <w:bottom w:w="28" w:type="dxa"/>
          <w:right w:w="28" w:type="dxa"/>
        </w:tblCellMar>
      </w:tblPr>
      <w:tblGrid>
        <w:gridCol w:w="1531"/>
        <w:gridCol w:w="1345"/>
        <w:gridCol w:w="1354"/>
        <w:gridCol w:w="472"/>
        <w:gridCol w:w="354"/>
        <w:gridCol w:w="247"/>
        <w:gridCol w:w="412"/>
        <w:gridCol w:w="309"/>
        <w:gridCol w:w="247"/>
        <w:gridCol w:w="154"/>
      </w:tblGrid>
      <w:tr>
        <w:trPr/>
        <w:tc>
          <w:tcPr>
            <w:tcW w:w="153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lease liability</w:t>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68"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vMerge w:val="continue"/>
            <w:tcBorders/>
            <w:shd w:fill="auto" w:val="clear"/>
            <w:tcMar>
              <w:top w:w="0" w:type="dxa"/>
              <w:left w:w="0" w:type="dxa"/>
              <w:bottom w:w="0" w:type="dxa"/>
              <w:right w:w="0" w:type="dxa"/>
            </w:tcMar>
            <w:vAlign w:val="center"/>
          </w:tcPr>
          <w:p>
            <w:pPr>
              <w:pStyle w:val="Normal"/>
              <w:rPr/>
            </w:pPr>
            <w:r>
              <w:rPr/>
            </w:r>
          </w:p>
        </w:tc>
        <w:tc>
          <w:tcPr>
            <w:tcW w:w="1073"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968"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32,990</w:t>
            </w:r>
            <w:r>
              <w:rPr>
                <w:color w:val="000000"/>
              </w:rPr>
              <w:t> </w:t>
            </w:r>
          </w:p>
        </w:tc>
        <w:tc>
          <w:tcPr>
            <w:tcW w:w="24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35,348 </w:t>
            </w:r>
          </w:p>
        </w:tc>
        <w:tc>
          <w:tcPr>
            <w:tcW w:w="24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163</w:t>
            </w:r>
            <w:r>
              <w:rPr>
                <w:color w:val="000000"/>
              </w:rPr>
              <w:t>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1,016 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paid for rent - principal - financing cash flow</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(4,025)</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(3,375)</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Cash paid for rent - interest </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(1,982)</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1,982</w:t>
            </w:r>
            <w:r>
              <w:rPr>
                <w:color w:val="000000"/>
              </w:rPr>
              <w:t>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230"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w:t>
            </w:r>
          </w:p>
        </w:tc>
        <w:tc>
          <w:tcPr>
            <w:tcW w:w="826"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29,128</w:t>
            </w:r>
            <w:r>
              <w:rPr>
                <w:color w:val="000000"/>
              </w:rPr>
              <w:t> </w:t>
            </w:r>
          </w:p>
        </w:tc>
        <w:tc>
          <w:tcPr>
            <w:tcW w:w="247"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32,990 </w:t>
            </w:r>
          </w:p>
        </w:tc>
        <w:tc>
          <w:tcPr>
            <w:tcW w:w="247"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the right-of-use assets, which virtually all consist of leased real estate, is included in the General and administrative expenses and Research and development expenses line items in the Consolidated Statements of Comprehensive Income/(Loss). The Company recorded depreciation expense of $3.0 million, $2.9 million and $2.7 million for the years ended December 31, 2022, 2021 and 2020 respectively.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details the short term and long-term portion of the lease liability as of December 31, 2022 and 2021:</w:t>
      </w:r>
    </w:p>
    <w:tbl>
      <w:tblPr>
        <w:tblW w:w="5315" w:type="dxa"/>
        <w:jc w:val="left"/>
        <w:tblInd w:w="0" w:type="dxa"/>
        <w:tblCellMar>
          <w:top w:w="28" w:type="dxa"/>
          <w:left w:w="28" w:type="dxa"/>
          <w:bottom w:w="28" w:type="dxa"/>
          <w:right w:w="28" w:type="dxa"/>
        </w:tblCellMar>
      </w:tblPr>
      <w:tblGrid>
        <w:gridCol w:w="1129"/>
        <w:gridCol w:w="994"/>
        <w:gridCol w:w="997"/>
        <w:gridCol w:w="471"/>
        <w:gridCol w:w="355"/>
        <w:gridCol w:w="247"/>
        <w:gridCol w:w="412"/>
        <w:gridCol w:w="309"/>
        <w:gridCol w:w="247"/>
        <w:gridCol w:w="154"/>
      </w:tblGrid>
      <w:tr>
        <w:trPr/>
        <w:tc>
          <w:tcPr>
            <w:tcW w:w="112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lease liability</w:t>
            </w:r>
          </w:p>
        </w:tc>
        <w:tc>
          <w:tcPr>
            <w:tcW w:w="154" w:type="dxa"/>
            <w:tcBorders/>
            <w:shd w:fill="auto" w:val="clear"/>
          </w:tcPr>
          <w:p>
            <w:pPr>
              <w:pStyle w:val="TableContents"/>
              <w:spacing w:before="0" w:after="283"/>
              <w:rPr>
                <w:sz w:val="4"/>
                <w:szCs w:val="4"/>
              </w:rPr>
            </w:pPr>
            <w:r>
              <w:rPr>
                <w:sz w:val="4"/>
                <w:szCs w:val="4"/>
              </w:rPr>
            </w:r>
          </w:p>
        </w:tc>
      </w:tr>
      <w:tr>
        <w:trPr/>
        <w:tc>
          <w:tcPr>
            <w:tcW w:w="3120"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68" w:type="dxa"/>
            <w:gridSpan w:val="3"/>
            <w:vMerge w:val="restart"/>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3120" w:type="dxa"/>
            <w:gridSpan w:val="3"/>
            <w:vMerge w:val="continue"/>
            <w:tcBorders/>
            <w:shd w:fill="auto" w:val="clear"/>
            <w:tcMar>
              <w:top w:w="0" w:type="dxa"/>
              <w:left w:w="0" w:type="dxa"/>
              <w:bottom w:w="0" w:type="dxa"/>
              <w:right w:w="0" w:type="dxa"/>
            </w:tcMar>
            <w:vAlign w:val="center"/>
          </w:tcPr>
          <w:p>
            <w:pPr>
              <w:pStyle w:val="Normal"/>
              <w:rPr/>
            </w:pPr>
            <w:r>
              <w:rPr/>
            </w:r>
          </w:p>
        </w:tc>
        <w:tc>
          <w:tcPr>
            <w:tcW w:w="1073"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968" w:type="dxa"/>
            <w:gridSpan w:val="3"/>
            <w:vMerge w:val="continue"/>
            <w:tcBorders>
              <w:top w:val="single" w:sz="2" w:space="0" w:color="183964"/>
            </w:tcBorders>
            <w:shd w:fill="auto" w:val="clear"/>
            <w:tcMar>
              <w:top w:w="3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Portion of Lease Liability</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4,972</w:t>
            </w:r>
            <w:r>
              <w:rPr>
                <w:color w:val="000000"/>
              </w:rPr>
              <w:t> </w:t>
            </w:r>
          </w:p>
        </w:tc>
        <w:tc>
          <w:tcPr>
            <w:tcW w:w="24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3,950 </w:t>
            </w:r>
          </w:p>
        </w:tc>
        <w:tc>
          <w:tcPr>
            <w:tcW w:w="24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Portion of Lease Liability</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24,155</w:t>
            </w:r>
            <w:r>
              <w:rPr>
                <w:color w:val="000000"/>
              </w:rPr>
              <w:t>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29,040 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120"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Lease Liability</w:t>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29,128</w:t>
            </w:r>
            <w:r>
              <w:rPr>
                <w:color w:val="000000"/>
              </w:rPr>
              <w:t> </w:t>
            </w:r>
          </w:p>
        </w:tc>
        <w:tc>
          <w:tcPr>
            <w:tcW w:w="247"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32,990 </w:t>
            </w:r>
          </w:p>
        </w:tc>
        <w:tc>
          <w:tcPr>
            <w:tcW w:w="247"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details the future maturities of the lease liability, showing the undiscounted lease payments to be paid after the reporting date:</w:t>
      </w:r>
    </w:p>
    <w:tbl>
      <w:tblPr>
        <w:tblW w:w="4656" w:type="dxa"/>
        <w:jc w:val="left"/>
        <w:tblInd w:w="0" w:type="dxa"/>
        <w:tblCellMar>
          <w:top w:w="28" w:type="dxa"/>
          <w:left w:w="28" w:type="dxa"/>
          <w:bottom w:w="28" w:type="dxa"/>
          <w:right w:w="28" w:type="dxa"/>
        </w:tblCellMar>
      </w:tblPr>
      <w:tblGrid>
        <w:gridCol w:w="1266"/>
        <w:gridCol w:w="1107"/>
        <w:gridCol w:w="1122"/>
        <w:gridCol w:w="413"/>
        <w:gridCol w:w="413"/>
        <w:gridCol w:w="181"/>
        <w:gridCol w:w="154"/>
      </w:tblGrid>
      <w:tr>
        <w:trPr/>
        <w:tc>
          <w:tcPr>
            <w:tcW w:w="1266"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vMerge w:val="continue"/>
            <w:tcBorders/>
            <w:shd w:fill="FFFFFF"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Less than one year</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6,673</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One to two years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6,763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Two to three years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5,168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Three to four years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4,419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Four to five years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4,551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five years</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7,483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undiscounted lease maturities</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35,056</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w:t>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5,928</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lease liability</w:t>
            </w:r>
          </w:p>
        </w:tc>
        <w:tc>
          <w:tcPr>
            <w:tcW w:w="826"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29,128</w:t>
            </w:r>
            <w:r>
              <w:rPr>
                <w:color w:val="000000"/>
              </w:rPr>
              <w:t> </w:t>
            </w:r>
          </w:p>
        </w:tc>
        <w:tc>
          <w:tcPr>
            <w:tcW w:w="181"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2019, PureTech entered into a lease agreement for certain premises consisting of approximately 50,858 rentable square feet of space located at 6 Tide Street. The lease commenced on April 26, 2019 (“Commencement Date”) for an initial term consisting of ten years and three months and there is an option to extend for two consecutive periods of five years each. The Company assessed at lease commencement date whether it is reasonably certain to exercise the extension options and deemed such options not reasonably certain to be exercised. The Company will reassess whether it is reasonably certain to exercise the options only if there is a significant event or significant changes in circumstances within its control.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25730"/>
                <wp:effectExtent l="0" t="0" r="0" b="0"/>
                <wp:wrapNone/>
                <wp:docPr id="121" name="Frame120"/>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F-48</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26, 2019, PureTech executed a sublease agreement with Gelesis. The lease is for the approximately 9,446 rentable square feet located on the sixth floor of the Company’s former offices at the 501 Boylston Street building. The sublessee obtained possession of the premises on June 1, 2019 and the rent period term began on June 1, 2019 and expires on August 31, 2025. The sublease was determined to be a finance lease. As of December 31, 2022, the balances related to the sublease were as follows:</w:t>
      </w:r>
    </w:p>
    <w:tbl>
      <w:tblPr>
        <w:tblW w:w="5252" w:type="dxa"/>
        <w:jc w:val="left"/>
        <w:tblInd w:w="0" w:type="dxa"/>
        <w:tblCellMar>
          <w:top w:w="28" w:type="dxa"/>
          <w:left w:w="28" w:type="dxa"/>
          <w:bottom w:w="28" w:type="dxa"/>
          <w:right w:w="28" w:type="dxa"/>
        </w:tblCellMar>
      </w:tblPr>
      <w:tblGrid>
        <w:gridCol w:w="1234"/>
        <w:gridCol w:w="1082"/>
        <w:gridCol w:w="1088"/>
        <w:gridCol w:w="564"/>
        <w:gridCol w:w="564"/>
        <w:gridCol w:w="566"/>
        <w:gridCol w:w="154"/>
      </w:tblGrid>
      <w:tr>
        <w:trPr/>
        <w:tc>
          <w:tcPr>
            <w:tcW w:w="123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0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lease receivable</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3404" w:type="dxa"/>
            <w:gridSpan w:val="3"/>
            <w:vMerge w:val="continue"/>
            <w:tcBorders/>
            <w:shd w:fill="auto" w:val="clear"/>
            <w:tcMar>
              <w:top w:w="0" w:type="dxa"/>
              <w:left w:w="0" w:type="dxa"/>
              <w:bottom w:w="0" w:type="dxa"/>
              <w:right w:w="0" w:type="dxa"/>
            </w:tcMar>
            <w:vAlign w:val="center"/>
          </w:tcPr>
          <w:p>
            <w:pPr>
              <w:pStyle w:val="Normal"/>
              <w:rPr/>
            </w:pPr>
            <w:r>
              <w:rPr/>
            </w:r>
          </w:p>
        </w:tc>
        <w:tc>
          <w:tcPr>
            <w:tcW w:w="1694"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Portion of Lease Receivable</w:t>
            </w:r>
          </w:p>
        </w:tc>
        <w:tc>
          <w:tcPr>
            <w:tcW w:w="1128"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450 </w:t>
            </w:r>
          </w:p>
        </w:tc>
        <w:tc>
          <w:tcPr>
            <w:tcW w:w="56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Portion of Lease Receivable</w:t>
            </w:r>
          </w:p>
        </w:tc>
        <w:tc>
          <w:tcPr>
            <w:tcW w:w="11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835 </w:t>
            </w:r>
          </w:p>
        </w:tc>
        <w:tc>
          <w:tcPr>
            <w:tcW w:w="5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04"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Lease Receivable</w:t>
            </w:r>
          </w:p>
        </w:tc>
        <w:tc>
          <w:tcPr>
            <w:tcW w:w="1128"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1,285</w:t>
            </w:r>
            <w:r>
              <w:rPr>
                <w:color w:val="000000"/>
              </w:rPr>
              <w:t> </w:t>
            </w:r>
          </w:p>
        </w:tc>
        <w:tc>
          <w:tcPr>
            <w:tcW w:w="56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details the future maturities of the lease receivable, showing the undiscounted lease payments to be received after the reporting date:</w:t>
      </w:r>
    </w:p>
    <w:tbl>
      <w:tblPr>
        <w:tblW w:w="4536" w:type="dxa"/>
        <w:jc w:val="left"/>
        <w:tblInd w:w="0" w:type="dxa"/>
        <w:tblCellMar>
          <w:top w:w="28" w:type="dxa"/>
          <w:left w:w="28" w:type="dxa"/>
          <w:bottom w:w="28" w:type="dxa"/>
          <w:right w:w="28" w:type="dxa"/>
        </w:tblCellMar>
      </w:tblPr>
      <w:tblGrid>
        <w:gridCol w:w="1265"/>
        <w:gridCol w:w="1108"/>
        <w:gridCol w:w="1122"/>
        <w:gridCol w:w="353"/>
        <w:gridCol w:w="353"/>
        <w:gridCol w:w="181"/>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vMerge w:val="continue"/>
            <w:tcBorders/>
            <w:shd w:fill="auto" w:val="clear"/>
            <w:tcMar>
              <w:top w:w="0" w:type="dxa"/>
              <w:left w:w="0" w:type="dxa"/>
              <w:bottom w:w="0" w:type="dxa"/>
              <w:right w:w="0" w:type="dxa"/>
            </w:tcMar>
            <w:vAlign w:val="center"/>
          </w:tcPr>
          <w:p>
            <w:pPr>
              <w:pStyle w:val="Normal"/>
              <w:rPr/>
            </w:pPr>
            <w:r>
              <w:rPr/>
            </w:r>
          </w:p>
        </w:tc>
        <w:tc>
          <w:tcPr>
            <w:tcW w:w="88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Less than one year</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513</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One to two years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523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Two to three years</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353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undiscounted lease receivable</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1,389</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Unearned Finance income</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103</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495"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Net investment in the lease</w:t>
            </w:r>
          </w:p>
        </w:tc>
        <w:tc>
          <w:tcPr>
            <w:tcW w:w="70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1,285</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2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August 6, 2019, PureTech executed a sublease agreement with Dewpoint Therapeutics, Inc. (“Dewpoint”). The sublease was for approximately 11,852 rentable square feet located on the third floor of the 6 Tide Street building, where the Company’s offices are currently located. Dewpoint obtained possession of the premises on September 1, 2019 with a rent period term that began on September 1, 2019, and expired on August 31, 2021. The sublease was determined to be an operating lease.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Rental income recognized by the Company during the years ended December 31, 2021 and 2020 was $0.6 million and $1.1 million, respectively and is included in the Other income/(expense) line item in the Consolidated Statements of Comprehensive Income/(Loss).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22.     Capital and Financial Risk Management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Capital Risk Management</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capital and financial risk management policy is to maintain a strong capital base so as to support its strategic priorities, maintain investor, creditor and market confidence as well as sustain the future development of the business. The Group’s objectives when managing capital are to safeguard its ability to continue as a going concern in order to provide returns for shareholders and benefits for other stakeholders and to maintain an optimal capital structure to reduce the cost of capital. To maintain or adjust the capital structure, the Group may issue new shares or incur new debt. The Group has some external debt and no material externally imposed capital requirements. The Group’s share capital is clearly set out in Note 14.</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Management continuously monitors the level of capital deployed and available for deployment in the Internal segment and at the corporate level as well as at Controlled Founded Entities. The Directors seek to maintain a balance between the higher returns that might be possible with higher levels of deployed capital and the advantages and security afforded by a sound capital position.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Directors have overall responsibility for establishment and oversight of the Group's capital and risk management framework. The Group is exposed to certain risks through its normal course of operations. The Group’s main objective in using financial instruments is to promote the development and commercialization of intellectual property through the raising and investing of funds for this purpose. The Group’s policies in calculating the nature, amount and timing of investments are determined by planned future investment activity. Due to the nature of activities and with the aim to maintain the investors’ funds as secure and protected, the Group’s policy is to hold any excess funds in highly liquid and readily available financial instruments and maintain insignificant exposure to other financial risks.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exposure to the following risks arising from financial instruments: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Credit Risk</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Credit risk is the risk of financial loss to the Group if a customer or counterparty to a financial instrument fails to meet its contractual obligations. Financial instruments that potentially subject the Group to concentrations of credit risk consist principally of cash and cash equivalents, short term investments, and trade and other receivables. The Group held the following balances (not including the income tax receivable resulting from overpayment of income taxes, see Note 25):</w:t>
      </w:r>
    </w:p>
    <w:tbl>
      <w:tblPr>
        <w:tblW w:w="4777" w:type="dxa"/>
        <w:jc w:val="left"/>
        <w:tblInd w:w="0" w:type="dxa"/>
        <w:tblCellMar>
          <w:top w:w="28" w:type="dxa"/>
          <w:left w:w="28" w:type="dxa"/>
          <w:bottom w:w="28" w:type="dxa"/>
          <w:right w:w="28" w:type="dxa"/>
        </w:tblCellMar>
      </w:tblPr>
      <w:tblGrid>
        <w:gridCol w:w="902"/>
        <w:gridCol w:w="791"/>
        <w:gridCol w:w="796"/>
        <w:gridCol w:w="473"/>
        <w:gridCol w:w="473"/>
        <w:gridCol w:w="181"/>
        <w:gridCol w:w="413"/>
        <w:gridCol w:w="413"/>
        <w:gridCol w:w="181"/>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149,866</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465,708 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200,229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946" w:type="dxa"/>
            <w:gridSpan w:val="2"/>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361,961</w:t>
            </w:r>
            <w:r>
              <w:rPr>
                <w:color w:val="000000"/>
              </w:rPr>
              <w:t> </w:t>
            </w:r>
          </w:p>
        </w:tc>
        <w:tc>
          <w:tcPr>
            <w:tcW w:w="181" w:type="dxa"/>
            <w:tcBorders>
              <w:top w:val="single" w:sz="2" w:space="0" w:color="183964"/>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468,882 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invests its excess cash in U.S. Treasury Bills (presented as short-term investments), and money market accounts, which the Group believes are of high credit quality. Further the Group's cash and cash equivalents and short-term investments are held at diverse, investment-grade financial institutions.</w:t>
      </w:r>
    </w:p>
    <w:p>
      <w:pPr>
        <w:pStyle w:val="HorizontalLine"/>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25730"/>
                <wp:effectExtent l="0" t="0" r="0" b="0"/>
                <wp:wrapNone/>
                <wp:docPr id="122" name="Frame121"/>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F-49</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assesses the credit quality of customers on an ongoing basis. The credit quality of financial assets is assessed by historical and recent payment history, counterparty financial position, reference to credit ratings (if available) or to historical information about counterparty default rates. The Group does not have expected credit losses owing largely to a small number of counterparties and the high credit quality of most counterparties (primarily the US government and large funds with respect to grant income and large high credit quality corporations).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aging of trade and other receivables that were not impaired at December 31 is as follows:</w:t>
      </w:r>
    </w:p>
    <w:tbl>
      <w:tblPr>
        <w:tblW w:w="3427" w:type="dxa"/>
        <w:jc w:val="left"/>
        <w:tblInd w:w="0" w:type="dxa"/>
        <w:tblCellMar>
          <w:top w:w="28" w:type="dxa"/>
          <w:left w:w="28" w:type="dxa"/>
          <w:bottom w:w="28" w:type="dxa"/>
          <w:right w:w="28" w:type="dxa"/>
        </w:tblCellMar>
      </w:tblPr>
      <w:tblGrid>
        <w:gridCol w:w="532"/>
        <w:gridCol w:w="467"/>
        <w:gridCol w:w="470"/>
        <w:gridCol w:w="413"/>
        <w:gridCol w:w="413"/>
        <w:gridCol w:w="181"/>
        <w:gridCol w:w="308"/>
        <w:gridCol w:w="308"/>
        <w:gridCol w:w="181"/>
        <w:gridCol w:w="154"/>
      </w:tblGrid>
      <w:tr>
        <w:trPr/>
        <w:tc>
          <w:tcPr>
            <w:tcW w:w="532"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vMerge w:val="continue"/>
            <w:tcBorders/>
            <w:shd w:fill="auto"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79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impaired</w:t>
            </w:r>
          </w:p>
        </w:tc>
        <w:tc>
          <w:tcPr>
            <w:tcW w:w="826"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154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181" w:type="dxa"/>
            <w:tcBorders>
              <w:top w:val="single" w:sz="2" w:space="0" w:color="00154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11,867</w:t>
            </w:r>
            <w:r>
              <w:rPr>
                <w:color w:val="000000"/>
              </w:rPr>
              <w:t> </w:t>
            </w:r>
          </w:p>
        </w:tc>
        <w:tc>
          <w:tcPr>
            <w:tcW w:w="181" w:type="dxa"/>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3,174 </w:t>
            </w:r>
          </w:p>
        </w:tc>
        <w:tc>
          <w:tcPr>
            <w:tcW w:w="181" w:type="dxa"/>
            <w:tcBorders>
              <w:top w:val="single" w:sz="2" w:space="0" w:color="00154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 regard to the Note from associate, such note is presented at fair value which incorporates, among other factors, the credit risk of the counterparty. See Note 16 for details.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Liquidity Risk</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Liquidity risk is the risk that the Group will encounter difficulty in meeting the obligations associated with its financial liabilities that are settled by delivering cash or another financial asset. The Group actively manages its risk of a funds shortage by closely monitoring the maturity of its financial assets and liabilities and projected cash flows from operations, under both normal and stressed conditions, without incurring unacceptable losses or risking damage to the Group’s reputation. Due to the nature of these financial liabilities, the funds are available on demand to provide optimal financial flexibility.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table below summarizes the maturity profile of the Group’s financial liabilities, including subsidiary preferred shares that have customary liquidation preferences, as of December 31, 2022 and 2021, based on contractual undiscounted payments:</w:t>
      </w:r>
    </w:p>
    <w:tbl>
      <w:tblPr>
        <w:tblW w:w="10205" w:type="dxa"/>
        <w:jc w:val="left"/>
        <w:tblInd w:w="0" w:type="dxa"/>
        <w:tblCellMar>
          <w:top w:w="28" w:type="dxa"/>
          <w:left w:w="28" w:type="dxa"/>
          <w:bottom w:w="28" w:type="dxa"/>
          <w:right w:w="28" w:type="dxa"/>
        </w:tblCellMar>
      </w:tblPr>
      <w:tblGrid>
        <w:gridCol w:w="1112"/>
        <w:gridCol w:w="959"/>
        <w:gridCol w:w="949"/>
        <w:gridCol w:w="449"/>
        <w:gridCol w:w="437"/>
        <w:gridCol w:w="416"/>
        <w:gridCol w:w="544"/>
        <w:gridCol w:w="500"/>
        <w:gridCol w:w="491"/>
        <w:gridCol w:w="601"/>
        <w:gridCol w:w="555"/>
        <w:gridCol w:w="558"/>
        <w:gridCol w:w="474"/>
        <w:gridCol w:w="453"/>
        <w:gridCol w:w="427"/>
        <w:gridCol w:w="473"/>
        <w:gridCol w:w="473"/>
        <w:gridCol w:w="334"/>
      </w:tblGrid>
      <w:tr>
        <w:trPr/>
        <w:tc>
          <w:tcPr>
            <w:tcW w:w="111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302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718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r>
      <w:tr>
        <w:trPr/>
        <w:tc>
          <w:tcPr>
            <w:tcW w:w="3020" w:type="dxa"/>
            <w:gridSpan w:val="3"/>
            <w:vMerge w:val="continue"/>
            <w:tcBorders/>
            <w:shd w:fill="auto" w:val="clear"/>
            <w:tcMar>
              <w:top w:w="0" w:type="dxa"/>
              <w:left w:w="0" w:type="dxa"/>
              <w:bottom w:w="0" w:type="dxa"/>
              <w:right w:w="0" w:type="dxa"/>
            </w:tcMar>
            <w:vAlign w:val="center"/>
          </w:tcPr>
          <w:p>
            <w:pPr>
              <w:pStyle w:val="Normal"/>
              <w:rPr/>
            </w:pPr>
            <w:r>
              <w:rPr/>
            </w:r>
          </w:p>
        </w:tc>
        <w:tc>
          <w:tcPr>
            <w:tcW w:w="1302"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Carrying Amount</w:t>
              <w:br/>
              <w:t>$000s</w:t>
            </w:r>
          </w:p>
        </w:tc>
        <w:tc>
          <w:tcPr>
            <w:tcW w:w="153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Within Three Months</w:t>
              <w:br/>
              <w:t>$000s</w:t>
            </w:r>
          </w:p>
        </w:tc>
        <w:tc>
          <w:tcPr>
            <w:tcW w:w="17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Three to Twelve Months</w:t>
              <w:br/>
              <w:t>$000s</w:t>
            </w:r>
          </w:p>
        </w:tc>
        <w:tc>
          <w:tcPr>
            <w:tcW w:w="13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One to Five Years</w:t>
              <w:br/>
              <w:t>$000s</w:t>
            </w:r>
          </w:p>
        </w:tc>
        <w:tc>
          <w:tcPr>
            <w:tcW w:w="128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Total</w:t>
              <w:br/>
              <w:t>$000s (*)</w:t>
            </w:r>
          </w:p>
        </w:tc>
      </w:tr>
      <w:tr>
        <w:trPr/>
        <w:tc>
          <w:tcPr>
            <w:tcW w:w="302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 (non-current + current)</w:t>
            </w:r>
          </w:p>
        </w:tc>
        <w:tc>
          <w:tcPr>
            <w:tcW w:w="88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15,400</w:t>
            </w:r>
            <w:r>
              <w:rPr>
                <w:color w:val="000000"/>
              </w:rPr>
              <w:t> </w:t>
            </w:r>
          </w:p>
        </w:tc>
        <w:tc>
          <w:tcPr>
            <w:tcW w:w="416"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1,838</w:t>
            </w:r>
            <w:r>
              <w:rPr>
                <w:color w:val="000000"/>
              </w:rPr>
              <w:t> </w:t>
            </w:r>
          </w:p>
        </w:tc>
        <w:tc>
          <w:tcPr>
            <w:tcW w:w="49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5,281</w:t>
            </w:r>
            <w:r>
              <w:rPr>
                <w:color w:val="000000"/>
              </w:rPr>
              <w:t> </w:t>
            </w:r>
          </w:p>
        </w:tc>
        <w:tc>
          <w:tcPr>
            <w:tcW w:w="558"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11,413</w:t>
            </w:r>
            <w:r>
              <w:rPr>
                <w:color w:val="000000"/>
              </w:rPr>
              <w:t> </w:t>
            </w:r>
          </w:p>
        </w:tc>
        <w:tc>
          <w:tcPr>
            <w:tcW w:w="42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18,531</w:t>
            </w:r>
            <w:r>
              <w:rPr>
                <w:color w:val="000000"/>
              </w:rPr>
              <w:t> </w:t>
            </w:r>
          </w:p>
        </w:tc>
        <w:tc>
          <w:tcPr>
            <w:tcW w:w="33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4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4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2,345</w:t>
            </w:r>
            <w:r>
              <w:rPr>
                <w:color w:val="000000"/>
              </w:rPr>
              <w:t>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54,840</w:t>
            </w:r>
            <w:r>
              <w:rPr>
                <w:color w:val="000000"/>
              </w:rPr>
              <w:t> </w:t>
            </w:r>
          </w:p>
        </w:tc>
        <w:tc>
          <w:tcPr>
            <w:tcW w:w="4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54,840</w:t>
            </w:r>
            <w:r>
              <w:rPr>
                <w:color w:val="000000"/>
              </w:rPr>
              <w:t> </w:t>
            </w:r>
          </w:p>
        </w:tc>
        <w:tc>
          <w:tcPr>
            <w:tcW w:w="4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54,840</w:t>
            </w:r>
            <w:r>
              <w:rPr>
                <w:color w:val="000000"/>
              </w:rPr>
              <w:t>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Warrants</w:t>
            </w:r>
            <w:r>
              <w:rPr>
                <w:rFonts w:ascii="Avenir LT Pro 45 Book;sans-serif" w:hAnsi="Avenir LT Pro 45 Book;sans-serif"/>
                <w:b w:val="false"/>
                <w:color w:val="000000"/>
                <w:sz w:val="11"/>
              </w:rPr>
              <w:t>2</w:t>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4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4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47</w:t>
            </w:r>
            <w:r>
              <w:rPr>
                <w:color w:val="000000"/>
              </w:rPr>
              <w:t>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Subsidiary preferred shares (Note 15)</w:t>
            </w:r>
            <w:r>
              <w:rPr>
                <w:rFonts w:ascii="Avenir LT Pro 45 Book;sans-serif" w:hAnsi="Avenir LT Pro 45 Book;sans-serif"/>
                <w:b w:val="false"/>
                <w:color w:val="000000"/>
                <w:sz w:val="11"/>
              </w:rPr>
              <w:t>1</w:t>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4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4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27,339</w:t>
            </w:r>
            <w:r>
              <w:rPr>
                <w:color w:val="000000"/>
              </w:rPr>
              <w:t> </w:t>
            </w:r>
          </w:p>
        </w:tc>
        <w:tc>
          <w:tcPr>
            <w:tcW w:w="3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0"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8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99,971</w:t>
            </w:r>
            <w:r>
              <w:rPr>
                <w:color w:val="000000"/>
              </w:rPr>
              <w:t> </w:t>
            </w:r>
          </w:p>
        </w:tc>
        <w:tc>
          <w:tcPr>
            <w:tcW w:w="416"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86,409</w:t>
            </w:r>
            <w:r>
              <w:rPr>
                <w:color w:val="000000"/>
              </w:rPr>
              <w:t> </w:t>
            </w:r>
          </w:p>
        </w:tc>
        <w:tc>
          <w:tcPr>
            <w:tcW w:w="49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5,281</w:t>
            </w:r>
            <w:r>
              <w:rPr>
                <w:color w:val="000000"/>
              </w:rPr>
              <w:t> </w:t>
            </w:r>
          </w:p>
        </w:tc>
        <w:tc>
          <w:tcPr>
            <w:tcW w:w="558"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11,413</w:t>
            </w:r>
            <w:r>
              <w:rPr>
                <w:color w:val="000000"/>
              </w:rPr>
              <w:t> </w:t>
            </w:r>
          </w:p>
        </w:tc>
        <w:tc>
          <w:tcPr>
            <w:tcW w:w="427"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103,103</w:t>
            </w:r>
            <w:r>
              <w:rPr>
                <w:color w:val="000000"/>
              </w:rPr>
              <w:t> </w:t>
            </w:r>
          </w:p>
        </w:tc>
        <w:tc>
          <w:tcPr>
            <w:tcW w:w="33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55"/>
        <w:gridCol w:w="1002"/>
        <w:gridCol w:w="1010"/>
        <w:gridCol w:w="434"/>
        <w:gridCol w:w="430"/>
        <w:gridCol w:w="420"/>
        <w:gridCol w:w="529"/>
        <w:gridCol w:w="511"/>
        <w:gridCol w:w="507"/>
        <w:gridCol w:w="584"/>
        <w:gridCol w:w="569"/>
        <w:gridCol w:w="572"/>
        <w:gridCol w:w="449"/>
        <w:gridCol w:w="435"/>
        <w:gridCol w:w="430"/>
        <w:gridCol w:w="412"/>
        <w:gridCol w:w="414"/>
        <w:gridCol w:w="342"/>
      </w:tblGrid>
      <w:tr>
        <w:trPr/>
        <w:tc>
          <w:tcPr>
            <w:tcW w:w="1155"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16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7038"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3167" w:type="dxa"/>
            <w:gridSpan w:val="3"/>
            <w:vMerge w:val="continue"/>
            <w:tcBorders/>
            <w:shd w:fill="auto" w:val="clear"/>
            <w:tcMar>
              <w:top w:w="0" w:type="dxa"/>
              <w:left w:w="0" w:type="dxa"/>
              <w:bottom w:w="0" w:type="dxa"/>
              <w:right w:w="0" w:type="dxa"/>
            </w:tcMar>
            <w:vAlign w:val="center"/>
          </w:tcPr>
          <w:p>
            <w:pPr>
              <w:pStyle w:val="Normal"/>
              <w:rPr/>
            </w:pPr>
            <w:r>
              <w:rPr/>
            </w:r>
          </w:p>
        </w:tc>
        <w:tc>
          <w:tcPr>
            <w:tcW w:w="128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Carrying Amount</w:t>
              <w:br/>
              <w:t>$000s</w:t>
            </w:r>
          </w:p>
        </w:tc>
        <w:tc>
          <w:tcPr>
            <w:tcW w:w="154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Within Three Months</w:t>
              <w:br/>
              <w:t>$000s</w:t>
            </w:r>
          </w:p>
        </w:tc>
        <w:tc>
          <w:tcPr>
            <w:tcW w:w="172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Three to Twelve Months</w:t>
              <w:br/>
              <w:t>$000s</w:t>
            </w:r>
          </w:p>
        </w:tc>
        <w:tc>
          <w:tcPr>
            <w:tcW w:w="131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One to Five Years</w:t>
              <w:br/>
              <w:t>$000s</w:t>
            </w:r>
          </w:p>
        </w:tc>
        <w:tc>
          <w:tcPr>
            <w:tcW w:w="1168"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$000s (*)</w:t>
            </w:r>
          </w:p>
        </w:tc>
      </w:tr>
      <w:tr>
        <w:trPr/>
        <w:tc>
          <w:tcPr>
            <w:tcW w:w="316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86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15,118 </w:t>
            </w:r>
          </w:p>
        </w:tc>
        <w:tc>
          <w:tcPr>
            <w:tcW w:w="42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296 </w:t>
            </w:r>
          </w:p>
        </w:tc>
        <w:tc>
          <w:tcPr>
            <w:tcW w:w="507"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2,182 </w:t>
            </w:r>
          </w:p>
        </w:tc>
        <w:tc>
          <w:tcPr>
            <w:tcW w:w="57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16,274 </w:t>
            </w:r>
          </w:p>
        </w:tc>
        <w:tc>
          <w:tcPr>
            <w:tcW w:w="430"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18,752 </w:t>
            </w:r>
          </w:p>
        </w:tc>
        <w:tc>
          <w:tcPr>
            <w:tcW w:w="342"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4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5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4,641 </w:t>
            </w:r>
          </w:p>
        </w:tc>
        <w:tc>
          <w:tcPr>
            <w:tcW w:w="3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35,817 </w:t>
            </w:r>
          </w:p>
        </w:tc>
        <w:tc>
          <w:tcPr>
            <w:tcW w:w="4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35,817 </w:t>
            </w:r>
          </w:p>
        </w:tc>
        <w:tc>
          <w:tcPr>
            <w:tcW w:w="5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35,817 </w:t>
            </w:r>
          </w:p>
        </w:tc>
        <w:tc>
          <w:tcPr>
            <w:tcW w:w="3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Warrants</w:t>
            </w:r>
            <w:r>
              <w:rPr>
                <w:rFonts w:ascii="Avenir LT Pro 45 Book;sans-serif" w:hAnsi="Avenir LT Pro 45 Book;sans-serif"/>
                <w:b w:val="false"/>
                <w:color w:val="000000"/>
                <w:sz w:val="11"/>
              </w:rPr>
              <w:t>2</w:t>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4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5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6,787 </w:t>
            </w:r>
          </w:p>
        </w:tc>
        <w:tc>
          <w:tcPr>
            <w:tcW w:w="3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Subsidiary preferred shares (Note 15)</w:t>
            </w:r>
            <w:r>
              <w:rPr>
                <w:rFonts w:ascii="Avenir LT Pro 45 Book;sans-serif" w:hAnsi="Avenir LT Pro 45 Book;sans-serif"/>
                <w:b w:val="false"/>
                <w:color w:val="000000"/>
                <w:sz w:val="11"/>
              </w:rPr>
              <w:t>1</w:t>
            </w:r>
          </w:p>
        </w:tc>
        <w:tc>
          <w:tcPr>
            <w:tcW w:w="8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4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5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5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3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7"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w:t>
            </w:r>
          </w:p>
        </w:tc>
        <w:tc>
          <w:tcPr>
            <w:tcW w:w="864"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236,381 </w:t>
            </w:r>
          </w:p>
        </w:tc>
        <w:tc>
          <w:tcPr>
            <w:tcW w:w="420"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221,559 </w:t>
            </w:r>
          </w:p>
        </w:tc>
        <w:tc>
          <w:tcPr>
            <w:tcW w:w="507"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53"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2,182 </w:t>
            </w:r>
          </w:p>
        </w:tc>
        <w:tc>
          <w:tcPr>
            <w:tcW w:w="572"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84"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16,274 </w:t>
            </w:r>
          </w:p>
        </w:tc>
        <w:tc>
          <w:tcPr>
            <w:tcW w:w="430"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240,015 </w:t>
            </w:r>
          </w:p>
        </w:tc>
        <w:tc>
          <w:tcPr>
            <w:tcW w:w="342"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Redeemable only upon a liquidation or Deemed liquidation event, as defined in the applicable shareholder documents.</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Warrants issued by subsidiaries to third parties to purchase preferred shares.</w:t>
      </w:r>
    </w:p>
    <w:p>
      <w:pPr>
        <w:pStyle w:val="TextBody"/>
        <w:spacing w:lineRule="auto" w:line="288" w:before="0" w:after="40"/>
        <w:ind w:left="0" w:right="0" w:hanging="283"/>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Does not include payments in respect of lease obligations. For the contractual future payments related to lease obligations, see Note 21.</w:t>
      </w:r>
    </w:p>
    <w:p>
      <w:pPr>
        <w:pStyle w:val="TextBody"/>
        <w:spacing w:before="0" w:after="40"/>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Interest Rate Sensitivity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the Group had cash and cash equivalents of $149.9 million, and short term investments of $200.2 million. The Group's exposure to interest rate sensitivity is impacted by changes in the underlying U.K. and U.S. bank interest rates. The Group has not entered into investments for trading or speculative purposes. Due to the conservative nature of the Group's investment portfolio, which is predicated on capital preservation and investments in short duration, high-quality U.S. Treasury Bills and related money market accounts, a change in interest rates would not have a material effect on the fair market value of the Group's portfolio, and therefore the Group does not expect operating results or cash flows to be significantly affected by changes in market interest rates.</w:t>
      </w:r>
    </w:p>
    <w:p>
      <w:pPr>
        <w:pStyle w:val="HorizontalLine"/>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25730"/>
                <wp:effectExtent l="0" t="0" r="0" b="0"/>
                <wp:wrapNone/>
                <wp:docPr id="123" name="Frame122"/>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F-50</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Controlled Founded Entity Investments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maintains investments in certain Controlled Founded Entities. The Group’s investments in Controlled Founded Entities are eliminated as intercompany transactions upon financial consolidation. The Group is however exposed to a preferred share liability owing to the terms of existing preferred shares and the ownership of Controlled Founded Entities preferred shares by third parties. As discussed in Note 15, certain of the Group’s subsidiaries have issued preferred shares that include the right to receive a payment in the event of any voluntary or involuntary liquidation, dissolution or winding up of a subsidiary, including in the event of "deemed liquidation" as defined in the incorporation documents of the entities, which shall be paid out of the assets of the subsidiary available for distribution to shareholders and before any payment shall be made to holders of ordinary shares. The liability of preferred shares is maintained at fair value through the profit and loss. The Group’s strong cash position, budgeting and forecasting processes, as well as decision making and risk mitigation framework enable the Group to robustly monitor and support the business activities of the Controlled Founded Entities to ensure no exposure to dissolution or liquidation. Accordingly, the Group views exposure to 3rd party preferred share liability as low.</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Non-Controlled Founded Entity Investments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maintains certain investments in Non-Controlled Founded Entities which are deemed either as investments and accounted for as investments held at fair value or associates and accounted for under the equity method (please refer to Note 1). The Group's exposure to investments held at fair value is $251.9 million as of December 31, 2022, and the Group may or may not be able to realize the value in the future. Accordingly, the Group views the risk as high. The Group’s exposure to investments in associates is limited to the carrying amount of the investment in an Associate. The Group is not exposed to further contractual obligations or contingent liabilities beyond the value of the investments. Accordingly, the Group does not view this as a high risk. As of December 31, 2022, Gelesis and Sonde are the only associates. The carrying amount of the investment in Gelesis and Sonde as associates was $9.1 million. Please refer to Notes 5, 6 and 16 for further information regarding the Group's exposure to Non-Controlled Founded Entity Investments.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Equity Price Risk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the Group held 1,054,464 common shares of Karuna, 2,671,800 common shares of Vor and 12,527,477 common shares of Akili. The fair value of these investments in Karuna, Vor and Akili was $239.0 million.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investments in Karuna, Vor and Akili are exposed to fluctuations in the market price of these common shares. The effect of a 10.0 percent adverse change in the market price of Karuna, Vor and Akili common shares as of December 31, 2022, would have been a loss of approximately $23.9 million, that would have been recognized as a component of Other income (expense) in the Consolidated Statements of Comprehensive Income/(Loss).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Foreign Exchange Risk</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maintains consolidated financial statements in the Group's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See Note 9.</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does not currently engage in currency hedging activities since its foreign currency risk is limited, but the Group may begin to do so in the future if and when its foreign currency risk exposure changes.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23    Commitments and Contingencies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is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December 31, 2022, these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As of December 31, 2022, payments in respect of developmental milestones that are dependent on events that are outside the control of the Group but are reasonably possible to occur amounted to approximately $8.7 million.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 See Note 12.</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is party to certain sponsored research arrangements as well as arrangements with contract manufacturing and contract research organizations, whereby the counterparty provides the Company with research and/or manufacturing services. As of December 31, 2022, the noncancellable commitments in respect of such contracts amounted to approximately $11.3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25730"/>
                <wp:effectExtent l="0" t="0" r="0" b="0"/>
                <wp:wrapNone/>
                <wp:docPr id="124" name="Frame123"/>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F-51</w:t>
                      </w:r>
                    </w:p>
                  </w:txbxContent>
                </v:textbox>
              </v:rect>
            </w:pict>
          </mc:Fallback>
        </mc:AlternateContent>
      </w:r>
    </w:p>
    <w:p>
      <w:pPr>
        <w:pStyle w:val="TextBody"/>
        <w:spacing w:before="0" w:after="105"/>
        <w:rPr/>
      </w:pPr>
      <w:r>
        <w:rPr/>
      </w: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24.    Related Parties Transactions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Related Party Subleases and royalties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2019, PureTech executed a sublease agreement with a related party, Gelesis. Please refer to Note 21 for further details regarding the sublease.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receives royalties from Gelesis on its product sales. Such royalties amounted to $509 thousand and $231 thousand for the years ended December 31, 2022 and 2021, respectively and are presented in Contract revenue in the Consolidated Statements of Comprehensive Income/(Loss).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Key Management Personnel Compensation</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Key management includes executive directors and members of the executive management team of the Group (not including compensation provided to non-executive directors). The key management personnel compensation of the Group was as follows for the years ended December 31: </w:t>
      </w:r>
    </w:p>
    <w:tbl>
      <w:tblPr>
        <w:tblW w:w="5394" w:type="dxa"/>
        <w:jc w:val="left"/>
        <w:tblInd w:w="0" w:type="dxa"/>
        <w:tblCellMar>
          <w:top w:w="28" w:type="dxa"/>
          <w:left w:w="28" w:type="dxa"/>
          <w:bottom w:w="28" w:type="dxa"/>
          <w:right w:w="28" w:type="dxa"/>
        </w:tblCellMar>
      </w:tblPr>
      <w:tblGrid>
        <w:gridCol w:w="994"/>
        <w:gridCol w:w="873"/>
        <w:gridCol w:w="878"/>
        <w:gridCol w:w="353"/>
        <w:gridCol w:w="353"/>
        <w:gridCol w:w="181"/>
        <w:gridCol w:w="308"/>
        <w:gridCol w:w="308"/>
        <w:gridCol w:w="181"/>
        <w:gridCol w:w="360"/>
        <w:gridCol w:w="361"/>
        <w:gridCol w:w="244"/>
      </w:tblGrid>
      <w:tr>
        <w:trPr/>
        <w:tc>
          <w:tcPr>
            <w:tcW w:w="99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887" w:type="dxa"/>
            <w:gridSpan w:val="3"/>
            <w:vMerge w:val="continue"/>
            <w:tcBorders/>
            <w:shd w:fill="auto" w:val="clear"/>
            <w:tcMar>
              <w:top w:w="0" w:type="dxa"/>
              <w:left w:w="0" w:type="dxa"/>
              <w:bottom w:w="0" w:type="dxa"/>
              <w:right w:w="0" w:type="dxa"/>
            </w:tcMar>
            <w:vAlign w:val="center"/>
          </w:tcPr>
          <w:p>
            <w:pPr>
              <w:pStyle w:val="Normal"/>
              <w:rPr/>
            </w:pPr>
            <w:r>
              <w:rPr/>
            </w:r>
          </w:p>
        </w:tc>
        <w:tc>
          <w:tcPr>
            <w:tcW w:w="797" w:type="dxa"/>
            <w:gridSpan w:val="3"/>
            <w:vMerge w:val="continue"/>
            <w:tcBorders/>
            <w:shd w:fill="auto" w:val="clear"/>
            <w:tcMar>
              <w:top w:w="0" w:type="dxa"/>
              <w:left w:w="0" w:type="dxa"/>
              <w:bottom w:w="0" w:type="dxa"/>
              <w:right w:w="0" w:type="dxa"/>
            </w:tcMar>
            <w:vAlign w:val="center"/>
          </w:tcPr>
          <w:p>
            <w:pPr>
              <w:pStyle w:val="Normal"/>
              <w:rPr/>
            </w:pPr>
            <w:r>
              <w:rPr/>
            </w:r>
          </w:p>
        </w:tc>
        <w:tc>
          <w:tcPr>
            <w:tcW w:w="96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74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employee benefits</w:t>
            </w:r>
          </w:p>
        </w:tc>
        <w:tc>
          <w:tcPr>
            <w:tcW w:w="70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4,369</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4,666 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4,833 </w:t>
            </w:r>
          </w:p>
        </w:tc>
        <w:tc>
          <w:tcPr>
            <w:tcW w:w="244"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expense</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2,741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4,045 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5,822 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70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7,109</w:t>
            </w:r>
            <w:r>
              <w:rPr>
                <w:color w:val="000000"/>
              </w:rPr>
              <w:t>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8,711 </w:t>
            </w:r>
          </w:p>
        </w:tc>
        <w:tc>
          <w:tcPr>
            <w:tcW w:w="181"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10,656 </w:t>
            </w:r>
          </w:p>
        </w:tc>
        <w:tc>
          <w:tcPr>
            <w:tcW w:w="244" w:type="dxa"/>
            <w:tcBorders>
              <w:top w:val="single" w:sz="2" w:space="0" w:color="000000"/>
              <w:bottom w:val="single" w:sz="4"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Short-term employee benefits include salaries, health care and other non-cash benefits. Share-based payments are generally subject to vesting terms over future periods.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cash settlements of share based awards – see Note 8.</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the Company paid remuneration to non-executive directors in the amounts of $655 thousand, $605 thousand and $690 thousand for the years ended December 31, 2022, 2021, and 2020, respectively. Also, the Company incurred $365 thousand and $161 thousand of stock based compensation expense for such non-executive directors for the years ended December 31, 2022 and 2021, respectively. There is no stock based compensation expense for such non-executive directors for the year ended December 31, 2020.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2022 and 2021, the Company incurred $51 thousand, and $181 thousand, respectively of expenses paid to related parties.</w:t>
      </w:r>
    </w:p>
    <w:p>
      <w:pPr>
        <w:pStyle w:val="TextBody"/>
        <w:spacing w:lineRule="auto" w:line="288" w:before="0" w:after="0"/>
        <w:rPr>
          <w:rFonts w:ascii="Avenir LT Pro 45 Book;sans-serif" w:hAnsi="Avenir LT Pro 45 Book;sans-serif"/>
          <w:b w:val="false"/>
          <w:color w:val="183964"/>
          <w:sz w:val="17"/>
          <w:highlight w:val="white"/>
        </w:rPr>
      </w:pPr>
      <w:r>
        <w:rPr>
          <w:rFonts w:ascii="Avenir LT Pro 45 Book;sans-serif" w:hAnsi="Avenir LT Pro 45 Book;sans-serif"/>
          <w:b w:val="false"/>
          <w:color w:val="183964"/>
          <w:sz w:val="17"/>
          <w:highlight w:val="white"/>
        </w:rPr>
        <w:t>Convertible Notes Issued to Directors</w:t>
      </w:r>
    </w:p>
    <w:p>
      <w:pPr>
        <w:pStyle w:val="TextBody"/>
        <w:spacing w:lineRule="auto" w:line="288" w:before="0" w:after="100"/>
        <w:rPr/>
      </w:pPr>
      <w:r>
        <w:rPr>
          <w:rFonts w:ascii="Avenir LT Pro 45 Book;sans-serif" w:hAnsi="Avenir LT Pro 45 Book;sans-serif"/>
          <w:b w:val="false"/>
          <w:color w:val="000000"/>
          <w:sz w:val="17"/>
          <w:highlight w:val="white"/>
        </w:rPr>
        <w:t xml:space="preserve">Certain related parties of the Group have invested in convertible notes issued by the Group’s subsidiaries. As of </w:t>
      </w:r>
      <w:r>
        <w:rPr>
          <w:rFonts w:ascii="Avenir LT Pro 45 Book;sans-serif" w:hAnsi="Avenir LT Pro 45 Book;sans-serif"/>
          <w:b w:val="false"/>
          <w:color w:val="000000"/>
          <w:sz w:val="17"/>
        </w:rPr>
        <w:t>December 31, 2022 and 2021,</w:t>
      </w:r>
      <w:r>
        <w:rPr>
          <w:color w:val="000000"/>
          <w:highlight w:val="white"/>
        </w:rPr>
        <w:t xml:space="preserve"> </w:t>
      </w:r>
      <w:r>
        <w:rPr>
          <w:rFonts w:ascii="Avenir LT Pro 45 Book;sans-serif" w:hAnsi="Avenir LT Pro 45 Book;sans-serif"/>
          <w:b w:val="false"/>
          <w:color w:val="000000"/>
          <w:sz w:val="17"/>
          <w:highlight w:val="white"/>
        </w:rPr>
        <w:t>the outstanding related party notes payable</w:t>
      </w:r>
      <w:r>
        <w:rPr>
          <w:color w:val="000000"/>
        </w:rPr>
        <w:t xml:space="preserve"> </w:t>
      </w:r>
      <w:r>
        <w:rPr>
          <w:rFonts w:ascii="Avenir LT Pro 45 Book;sans-serif" w:hAnsi="Avenir LT Pro 45 Book;sans-serif"/>
          <w:b w:val="false"/>
          <w:color w:val="000000"/>
          <w:sz w:val="17"/>
        </w:rPr>
        <w:t>totaled $99 thousand and $94 thousand</w:t>
      </w:r>
      <w:r>
        <w:rPr>
          <w:color w:val="000000"/>
          <w:highlight w:val="white"/>
        </w:rPr>
        <w:t xml:space="preserve"> </w:t>
      </w:r>
      <w:r>
        <w:rPr>
          <w:rFonts w:ascii="Avenir LT Pro 45 Book;sans-serif" w:hAnsi="Avenir LT Pro 45 Book;sans-serif"/>
          <w:b w:val="false"/>
          <w:color w:val="000000"/>
          <w:sz w:val="17"/>
          <w:highlight w:val="white"/>
        </w:rPr>
        <w:t xml:space="preserve">respectively, including principal and interest.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notes issued to related parties bear interest rates, maturity dates, discounts and other contractual terms that are the same as those issued to outside investors during the same issuances, as described in Note 17.</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Directors’ and Senior Managers’ Shareholdings and Share Incentive Awards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Directors and senior managers hold beneficial interests in shares in the following businesses and sourcing companies as at December 31, 2022:</w:t>
      </w:r>
    </w:p>
    <w:tbl>
      <w:tblPr>
        <w:tblW w:w="10205" w:type="dxa"/>
        <w:jc w:val="left"/>
        <w:tblInd w:w="0" w:type="dxa"/>
        <w:tblCellMar>
          <w:top w:w="28" w:type="dxa"/>
          <w:left w:w="28" w:type="dxa"/>
          <w:bottom w:w="28" w:type="dxa"/>
          <w:right w:w="28" w:type="dxa"/>
        </w:tblCellMar>
      </w:tblPr>
      <w:tblGrid>
        <w:gridCol w:w="590"/>
        <w:gridCol w:w="412"/>
        <w:gridCol w:w="413"/>
        <w:gridCol w:w="723"/>
        <w:gridCol w:w="497"/>
        <w:gridCol w:w="499"/>
        <w:gridCol w:w="653"/>
        <w:gridCol w:w="625"/>
        <w:gridCol w:w="627"/>
        <w:gridCol w:w="774"/>
        <w:gridCol w:w="632"/>
        <w:gridCol w:w="635"/>
        <w:gridCol w:w="753"/>
        <w:gridCol w:w="612"/>
        <w:gridCol w:w="614"/>
        <w:gridCol w:w="293"/>
        <w:gridCol w:w="293"/>
        <w:gridCol w:w="560"/>
      </w:tblGrid>
      <w:tr>
        <w:trPr/>
        <w:tc>
          <w:tcPr>
            <w:tcW w:w="59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Business Name (Share Class)</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shares held as of December 31, 2022</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 held as of December 31, 2022</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RSUs held as of December 31, 2022</w:t>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Ownership</w:t>
              <w:br/>
              <w:t>Interest¹</w:t>
            </w:r>
          </w:p>
        </w:tc>
      </w:tr>
      <w:tr>
        <w:trPr/>
        <w:tc>
          <w:tcPr>
            <w:tcW w:w="141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Directors:</w:t>
            </w:r>
          </w:p>
        </w:tc>
        <w:tc>
          <w:tcPr>
            <w:tcW w:w="1719"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Ms Daphne Zohar²</w:t>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465,121</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3,303,306</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1,349,697</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4.45</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Robert Langer</w:t>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250,000</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82,500</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4.09</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Raju Kucherlapati</w:t>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Enlight (Class B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30,000</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3.00</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139,625</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50,639</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0.12</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Dr John LaMattina</w:t>
            </w:r>
            <w:r>
              <w:rPr>
                <w:rFonts w:ascii="Avenir LT Pro 45 Book;sans-serif" w:hAnsi="Avenir LT Pro 45 Book;sans-serif"/>
                <w:b w:val="false"/>
                <w:color w:val="000000"/>
                <w:sz w:val="11"/>
              </w:rPr>
              <w:t>3</w:t>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Akili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56,554</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0.07</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Gelesis (Common)</w:t>
            </w:r>
            <w:r>
              <w:rPr>
                <w:rFonts w:ascii="Avenir LT Pro 45 Book;sans-serif" w:hAnsi="Avenir LT Pro 45 Book;sans-serif"/>
                <w:b w:val="false"/>
                <w:color w:val="000000"/>
                <w:sz w:val="11"/>
              </w:rPr>
              <w:t>3</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395,035</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37,129</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0.38</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25,000</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0.17</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Senior Managers:</w:t>
            </w:r>
          </w:p>
        </w:tc>
        <w:tc>
          <w:tcPr>
            <w:tcW w:w="1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Bharatt Chowrira</w:t>
            </w:r>
          </w:p>
        </w:tc>
        <w:tc>
          <w:tcPr>
            <w:tcW w:w="17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Karuna (Common)</w:t>
            </w:r>
          </w:p>
        </w:tc>
        <w:tc>
          <w:tcPr>
            <w:tcW w:w="190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5,000</w:t>
            </w:r>
          </w:p>
        </w:tc>
        <w:tc>
          <w:tcPr>
            <w:tcW w:w="20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0.01</w:t>
            </w:r>
            <w:r>
              <w:rPr>
                <w:color w:val="000000"/>
              </w:rPr>
              <w:t> </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Joseph Bolen</w:t>
            </w:r>
          </w:p>
        </w:tc>
        <w:tc>
          <w:tcPr>
            <w:tcW w:w="1719"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Vor (Common)</w:t>
            </w:r>
          </w:p>
        </w:tc>
        <w:tc>
          <w:tcPr>
            <w:tcW w:w="1905"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2041"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9,191</w:t>
            </w:r>
          </w:p>
        </w:tc>
        <w:tc>
          <w:tcPr>
            <w:tcW w:w="1979"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586" w:type="dxa"/>
            <w:gridSpan w:val="2"/>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0.01</w:t>
            </w:r>
            <w:r>
              <w:rPr>
                <w:color w:val="000000"/>
              </w:rPr>
              <w:t> </w:t>
            </w:r>
          </w:p>
        </w:tc>
        <w:tc>
          <w:tcPr>
            <w:tcW w:w="560" w:type="dxa"/>
            <w:tcBorders>
              <w:bottom w:val="single" w:sz="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415" w:type="dxa"/>
            <w:gridSpan w:val="3"/>
            <w:tcBorders/>
            <w:shd w:fill="auto" w:val="clear"/>
            <w:vAlign w:val="center"/>
          </w:tcPr>
          <w:p>
            <w:pPr>
              <w:pStyle w:val="TableContents"/>
              <w:spacing w:before="0" w:after="283"/>
              <w:rPr>
                <w:sz w:val="4"/>
                <w:szCs w:val="4"/>
              </w:rPr>
            </w:pPr>
            <w:r>
              <w:rPr>
                <w:sz w:val="4"/>
                <w:szCs w:val="4"/>
              </w:rPr>
            </w:r>
          </w:p>
        </w:tc>
        <w:tc>
          <w:tcPr>
            <w:tcW w:w="1719" w:type="dxa"/>
            <w:gridSpan w:val="3"/>
            <w:tcBorders/>
            <w:shd w:fill="auto" w:val="clear"/>
            <w:vAlign w:val="center"/>
          </w:tcPr>
          <w:p>
            <w:pPr>
              <w:pStyle w:val="TableContents"/>
              <w:spacing w:before="0" w:after="283"/>
              <w:rPr>
                <w:sz w:val="4"/>
                <w:szCs w:val="4"/>
              </w:rPr>
            </w:pPr>
            <w:r>
              <w:rPr>
                <w:sz w:val="4"/>
                <w:szCs w:val="4"/>
              </w:rPr>
            </w:r>
          </w:p>
        </w:tc>
        <w:tc>
          <w:tcPr>
            <w:tcW w:w="1905" w:type="dxa"/>
            <w:gridSpan w:val="3"/>
            <w:tcBorders/>
            <w:shd w:fill="auto" w:val="clear"/>
            <w:vAlign w:val="center"/>
          </w:tcPr>
          <w:p>
            <w:pPr>
              <w:pStyle w:val="TableContents"/>
              <w:spacing w:before="0" w:after="283"/>
              <w:rPr>
                <w:sz w:val="4"/>
                <w:szCs w:val="4"/>
              </w:rPr>
            </w:pPr>
            <w:r>
              <w:rPr>
                <w:sz w:val="4"/>
                <w:szCs w:val="4"/>
              </w:rPr>
            </w:r>
          </w:p>
        </w:tc>
        <w:tc>
          <w:tcPr>
            <w:tcW w:w="2041"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Ownership interests as of December 31, 2022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Common shares, RSUs and options held by Yishai Zohar, who is the husband of Ms. Zohar. Ms. Zohar does not have any direct interest in the share capital of Gelesis. Ms. Zohar recuses herself from any and all material decisions with regard to Gelesis.</w:t>
      </w:r>
    </w:p>
    <w:p>
      <w:pPr>
        <w:pStyle w:val="TextBody"/>
        <w:spacing w:lineRule="auto" w:line="288" w:before="0" w:after="40"/>
        <w:ind w:left="0" w:right="0" w:hanging="284"/>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Dr John and Ms Mary LaMattina hold 345,035 shares of common shares in Gelesis. Individually, Dr LaMattina holds 50,000 shares of Gelesis and convertible notes issued by Appeering in the aggregate principal amount o $50,000.</w:t>
      </w:r>
    </w:p>
    <w:p>
      <w:pPr>
        <w:pStyle w:val="TextBody"/>
        <w:spacing w:before="0" w:after="40"/>
        <w:ind w:left="0" w:right="0" w:hanging="284"/>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Directors and senior managers hold 25,371,839 ordinary shares and 9.1 percent voting rights of the Company as of December 31, 2022. This amount excludes options to purchase 2,350,000 ordinary shares. This amount also excludes 6,448,899 shares, which are issuable based on the terms of performance based RSU awards granted to certain senior managers covering the financial years 2022, 2021 and 2020, and 172,056 shares, which are issuable to directors immediately prior to the Company's 2023 Annual General Meeting of Stockholders based on the terms of the RSU awards granted to non-executive directors in 2022. Such shares will be issued to such senior managers and non executive directors in future periods provided that </w:t>
      </w:r>
    </w:p>
    <w:p>
      <w:pPr>
        <w:pStyle w:val="HorizontalLine"/>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25730"/>
                <wp:effectExtent l="0" t="0" r="0" b="0"/>
                <wp:wrapNone/>
                <wp:docPr id="125" name="Frame124"/>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F-52</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performance and/or service conditions are met and certain of the shares will be withheld for payment of customary withholding taxes.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Note from Associate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See Note 16 for details on the notes issued by Gelesis to the Company. The Company recognized finance income of 1.6 million with respect to interest and changes in fair value related to the notes.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2022 the Group has a receivable from an associate in the amount of 1.1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25.     Taxation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on the profit or loss for the year comprises current and deferred income tax. Tax is recognized in the Consolidated Statements of Comprehensive Income/(Loss) except to the extent that it relates to items recognized directly in equity.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years ended December 31, 2022, 2021 and 2020, the Group filed a consolidated U.S. federal income tax return which included all subsidiaries in which the Company owned greater than 80 percent of the vote and value. For the years ended December 31, 2022, 2021 and 2020, the Group filed certain consolidated state income tax returns which included all subsidiaries in which the Company owned greater than 50 percent of the vote and value. The remaining subsidiaries file separate U.S. tax returns.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Amounts recognized in Consolidated Statements of Comprehensive Income/(Loss):</w:t>
      </w:r>
    </w:p>
    <w:tbl>
      <w:tblPr>
        <w:tblW w:w="5647" w:type="dxa"/>
        <w:jc w:val="left"/>
        <w:tblInd w:w="0" w:type="dxa"/>
        <w:tblCellMar>
          <w:top w:w="28" w:type="dxa"/>
          <w:left w:w="28" w:type="dxa"/>
          <w:bottom w:w="28" w:type="dxa"/>
          <w:right w:w="28" w:type="dxa"/>
        </w:tblCellMar>
      </w:tblPr>
      <w:tblGrid>
        <w:gridCol w:w="946"/>
        <w:gridCol w:w="829"/>
        <w:gridCol w:w="834"/>
        <w:gridCol w:w="457"/>
        <w:gridCol w:w="458"/>
        <w:gridCol w:w="181"/>
        <w:gridCol w:w="398"/>
        <w:gridCol w:w="398"/>
        <w:gridCol w:w="181"/>
        <w:gridCol w:w="360"/>
        <w:gridCol w:w="361"/>
        <w:gridCol w:w="244"/>
      </w:tblGrid>
      <w:tr>
        <w:trPr/>
        <w:tc>
          <w:tcPr>
            <w:tcW w:w="94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7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977" w:type="dxa"/>
            <w:gridSpan w:val="3"/>
            <w:vMerge w:val="continue"/>
            <w:tcBorders/>
            <w:shd w:fill="auto" w:val="clear"/>
            <w:tcMar>
              <w:top w:w="0" w:type="dxa"/>
              <w:left w:w="0" w:type="dxa"/>
              <w:bottom w:w="0" w:type="dxa"/>
              <w:right w:w="0" w:type="dxa"/>
            </w:tcMar>
            <w:vAlign w:val="center"/>
          </w:tcPr>
          <w:p>
            <w:pPr>
              <w:pStyle w:val="Normal"/>
              <w:rPr/>
            </w:pPr>
            <w:r>
              <w:rPr/>
            </w:r>
          </w:p>
        </w:tc>
        <w:tc>
          <w:tcPr>
            <w:tcW w:w="96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609"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91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(37,065)</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181"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4,568 </w:t>
            </w:r>
          </w:p>
        </w:tc>
        <w:tc>
          <w:tcPr>
            <w:tcW w:w="244"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expense/(benefit)</w:t>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(55,719)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91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(92,783)</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181"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18,969 </w:t>
            </w:r>
          </w:p>
        </w:tc>
        <w:tc>
          <w:tcPr>
            <w:tcW w:w="244"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Recognized income tax expense/(benefit):</w:t>
      </w:r>
    </w:p>
    <w:tbl>
      <w:tblPr>
        <w:tblW w:w="7537" w:type="dxa"/>
        <w:jc w:val="left"/>
        <w:tblInd w:w="0" w:type="dxa"/>
        <w:tblCellMar>
          <w:top w:w="28" w:type="dxa"/>
          <w:left w:w="28" w:type="dxa"/>
          <w:bottom w:w="28" w:type="dxa"/>
          <w:right w:w="28" w:type="dxa"/>
        </w:tblCellMar>
      </w:tblPr>
      <w:tblGrid>
        <w:gridCol w:w="1630"/>
        <w:gridCol w:w="1431"/>
        <w:gridCol w:w="1439"/>
        <w:gridCol w:w="457"/>
        <w:gridCol w:w="458"/>
        <w:gridCol w:w="181"/>
        <w:gridCol w:w="396"/>
        <w:gridCol w:w="399"/>
        <w:gridCol w:w="181"/>
        <w:gridCol w:w="360"/>
        <w:gridCol w:w="361"/>
        <w:gridCol w:w="244"/>
      </w:tblGrid>
      <w:tr>
        <w:trPr/>
        <w:tc>
          <w:tcPr>
            <w:tcW w:w="163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97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9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976" w:type="dxa"/>
            <w:gridSpan w:val="3"/>
            <w:vMerge w:val="continue"/>
            <w:tcBorders/>
            <w:shd w:fill="auto" w:val="clear"/>
            <w:tcMar>
              <w:top w:w="0" w:type="dxa"/>
              <w:left w:w="0" w:type="dxa"/>
              <w:bottom w:w="0" w:type="dxa"/>
              <w:right w:w="0" w:type="dxa"/>
            </w:tcMar>
            <w:vAlign w:val="center"/>
          </w:tcPr>
          <w:p>
            <w:pPr>
              <w:pStyle w:val="Normal"/>
              <w:rPr/>
            </w:pPr>
            <w:r>
              <w:rPr/>
            </w:r>
          </w:p>
        </w:tc>
        <w:tc>
          <w:tcPr>
            <w:tcW w:w="96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500"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Federal</w:t>
            </w:r>
          </w:p>
        </w:tc>
        <w:tc>
          <w:tcPr>
            <w:tcW w:w="91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13,065</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22,138 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21,796 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Foreign</w:t>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w:t>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1,336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income tax expense/(benefit)</w:t>
            </w:r>
          </w:p>
        </w:tc>
        <w:tc>
          <w:tcPr>
            <w:tcW w:w="91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14,401</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22,247 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21,796 </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Federal</w:t>
            </w:r>
          </w:p>
        </w:tc>
        <w:tc>
          <w:tcPr>
            <w:tcW w:w="91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(48,240)</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(15,416)</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(7,349)</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Foreign</w:t>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w:t>
            </w:r>
          </w:p>
        </w:tc>
        <w:tc>
          <w:tcPr>
            <w:tcW w:w="91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(21,880)</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(3,075)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deferred income tax expense/(benefit)</w:t>
            </w:r>
          </w:p>
        </w:tc>
        <w:tc>
          <w:tcPr>
            <w:tcW w:w="91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(70,120)</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(18,491)</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(7,395)</w:t>
            </w:r>
          </w:p>
        </w:tc>
        <w:tc>
          <w:tcPr>
            <w:tcW w:w="244"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income tax expense/(benefit), recognized</w:t>
            </w:r>
          </w:p>
        </w:tc>
        <w:tc>
          <w:tcPr>
            <w:tcW w:w="91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(55,719)</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14,401 </w:t>
            </w:r>
          </w:p>
        </w:tc>
        <w:tc>
          <w:tcPr>
            <w:tcW w:w="244"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tax expense/(benefit) was $(55.7) million, $3.8 million and $14.4 million in 2022, 2021 and 2020 respectively. The increase in tax benefit for the year ended December 31, 2022 is primarily the result of the loss before taxes in entities in the U.S. Federal and Massachusetts consolidated return groups of the Company. </w:t>
      </w:r>
    </w:p>
    <w:p>
      <w:pPr>
        <w:pStyle w:val="HorizontalLine"/>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25730"/>
                <wp:effectExtent l="0" t="0" r="0" b="0"/>
                <wp:wrapNone/>
                <wp:docPr id="126" name="Frame125"/>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F-53</w:t>
                      </w:r>
                    </w:p>
                  </w:txbxContent>
                </v:textbox>
              </v:rect>
            </w:pict>
          </mc:Fallback>
        </mc:AlternateContent>
      </w:r>
    </w:p>
    <w:p>
      <w:pPr>
        <w:pStyle w:val="TextBody"/>
        <w:spacing w:before="0" w:after="105"/>
        <w:rPr/>
      </w:pPr>
      <w:r>
        <w:rPr/>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Reconciliation of Effective Tax Rate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is primarily subject to taxation in the U.S. A reconciliation of the U.S. federal statutory tax rate to the effective tax rate is as follows:</w:t>
      </w:r>
    </w:p>
    <w:tbl>
      <w:tblPr>
        <w:tblW w:w="10205" w:type="dxa"/>
        <w:jc w:val="left"/>
        <w:tblInd w:w="0" w:type="dxa"/>
        <w:tblCellMar>
          <w:top w:w="28" w:type="dxa"/>
          <w:left w:w="28" w:type="dxa"/>
          <w:bottom w:w="28" w:type="dxa"/>
          <w:right w:w="28" w:type="dxa"/>
        </w:tblCellMar>
      </w:tblPr>
      <w:tblGrid>
        <w:gridCol w:w="1695"/>
        <w:gridCol w:w="1238"/>
        <w:gridCol w:w="1248"/>
        <w:gridCol w:w="439"/>
        <w:gridCol w:w="440"/>
        <w:gridCol w:w="181"/>
        <w:gridCol w:w="379"/>
        <w:gridCol w:w="380"/>
        <w:gridCol w:w="109"/>
        <w:gridCol w:w="109"/>
        <w:gridCol w:w="109"/>
        <w:gridCol w:w="109"/>
        <w:gridCol w:w="383"/>
        <w:gridCol w:w="383"/>
        <w:gridCol w:w="181"/>
        <w:gridCol w:w="330"/>
        <w:gridCol w:w="331"/>
        <w:gridCol w:w="109"/>
        <w:gridCol w:w="109"/>
        <w:gridCol w:w="109"/>
        <w:gridCol w:w="109"/>
        <w:gridCol w:w="359"/>
        <w:gridCol w:w="362"/>
        <w:gridCol w:w="181"/>
        <w:gridCol w:w="330"/>
        <w:gridCol w:w="331"/>
        <w:gridCol w:w="162"/>
      </w:tblGrid>
      <w:tr>
        <w:trPr/>
        <w:tc>
          <w:tcPr>
            <w:tcW w:w="169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8"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2020</w:t>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60"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868"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77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823"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181"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US federal statutory rate</w:t>
            </w:r>
          </w:p>
        </w:tc>
        <w:tc>
          <w:tcPr>
            <w:tcW w:w="87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(19,486)</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21.00</w:t>
            </w:r>
            <w:r>
              <w:rPr>
                <w:color w:val="000000"/>
              </w:rPr>
              <w:t> </w:t>
            </w:r>
          </w:p>
        </w:tc>
        <w:tc>
          <w:tcPr>
            <w:tcW w:w="109"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(12,380)</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21.00 </w:t>
            </w:r>
          </w:p>
        </w:tc>
        <w:tc>
          <w:tcPr>
            <w:tcW w:w="109"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3,984 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21.00 </w:t>
            </w:r>
          </w:p>
        </w:tc>
        <w:tc>
          <w:tcPr>
            <w:tcW w:w="162"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Effects of state tax rate in U.S.</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(8,043)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8.67</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(4,484)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9.72 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R&amp;D and orphan drug tax credits</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(6,876)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7.41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(5,642)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(29.74)</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 deductible share based payment expenses</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788</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fair value accounting</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(28,783)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31.02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(2,017)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4.84 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with respect to associate for which no deferred tax asset is recognized</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1,413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11,542 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blended state rate impact due to state apportionment change</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(8,856)</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9.54</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Transaction Costs</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(0.52)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1.91 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69</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(0.07)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(2,258)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(11.91)</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Executive Compensation</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300</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827 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4.36 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Recognition of deferred tax assets and tax benefits not previously recognized</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(184)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0.20</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(414)</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year losses for which no deferred tax asset is recognized</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17,287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(18.63)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14,375 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(24.38)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13,948 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73.53 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 Deconsolidation</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(3,572)</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3.85</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87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224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(0.25)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(0.62)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0.48 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1" w:type="dxa"/>
            <w:gridSpan w:val="3"/>
            <w:tcBorders>
              <w:top w:val="single" w:sz="2" w:space="0" w:color="000000"/>
              <w:bottom w:val="single" w:sz="4" w:space="0" w:color="183964"/>
            </w:tcBorders>
            <w:shd w:fill="FFFFFF" w:val="clear"/>
            <w:tcMar>
              <w:left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(55,719)</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59"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60.05</w:t>
            </w:r>
            <w:r>
              <w:rPr>
                <w:color w:val="000000"/>
              </w:rPr>
              <w:t> </w:t>
            </w:r>
          </w:p>
        </w:tc>
        <w:tc>
          <w:tcPr>
            <w:tcW w:w="109"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661"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(6.37)</w:t>
            </w:r>
          </w:p>
        </w:tc>
        <w:tc>
          <w:tcPr>
            <w:tcW w:w="109"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w:t>
            </w:r>
          </w:p>
        </w:tc>
        <w:tc>
          <w:tcPr>
            <w:tcW w:w="661" w:type="dxa"/>
            <w:gridSpan w:val="2"/>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75.92 </w:t>
            </w:r>
          </w:p>
        </w:tc>
        <w:tc>
          <w:tcPr>
            <w:tcW w:w="162" w:type="dxa"/>
            <w:tcBorders>
              <w:top w:val="single" w:sz="2" w:space="0" w:color="000000"/>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Company is also subject to taxation in the UK but to date no taxable income has been generated in the UK. Changes in corporate tax rates can change both the current tax expense (benefit) as well as the deferred tax expense (benefit).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Deferred Tax Assets and Liabilities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have been recognized in the U.S. jurisdiction in respect of the following items:</w:t>
      </w:r>
    </w:p>
    <w:tbl>
      <w:tblPr>
        <w:tblW w:w="6756" w:type="dxa"/>
        <w:jc w:val="left"/>
        <w:tblInd w:w="0" w:type="dxa"/>
        <w:tblCellMar>
          <w:top w:w="28" w:type="dxa"/>
          <w:left w:w="28" w:type="dxa"/>
          <w:bottom w:w="28" w:type="dxa"/>
          <w:right w:w="28" w:type="dxa"/>
        </w:tblCellMar>
      </w:tblPr>
      <w:tblGrid>
        <w:gridCol w:w="1592"/>
        <w:gridCol w:w="1397"/>
        <w:gridCol w:w="1405"/>
        <w:gridCol w:w="473"/>
        <w:gridCol w:w="473"/>
        <w:gridCol w:w="181"/>
        <w:gridCol w:w="448"/>
        <w:gridCol w:w="452"/>
        <w:gridCol w:w="181"/>
        <w:gridCol w:w="154"/>
      </w:tblGrid>
      <w:tr>
        <w:trPr/>
        <w:tc>
          <w:tcPr>
            <w:tcW w:w="1592"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127" w:type="dxa"/>
            <w:gridSpan w:val="3"/>
            <w:vMerge w:val="continue"/>
            <w:tcBorders/>
            <w:shd w:fill="auto" w:val="clear"/>
            <w:tcMar>
              <w:top w:w="0" w:type="dxa"/>
              <w:left w:w="0" w:type="dxa"/>
              <w:bottom w:w="0" w:type="dxa"/>
              <w:right w:w="0" w:type="dxa"/>
            </w:tcMar>
            <w:vAlign w:val="center"/>
          </w:tcPr>
          <w:p>
            <w:pPr>
              <w:pStyle w:val="Normal"/>
              <w:rPr/>
            </w:pPr>
            <w:r>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tax losses</w:t>
            </w:r>
          </w:p>
        </w:tc>
        <w:tc>
          <w:tcPr>
            <w:tcW w:w="946"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48,317</w:t>
            </w:r>
            <w:r>
              <w:rPr>
                <w:color w:val="000000"/>
              </w:rPr>
              <w:t>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46,982 </w:t>
            </w:r>
          </w:p>
        </w:tc>
        <w:tc>
          <w:tcPr>
            <w:tcW w:w="181" w:type="dxa"/>
            <w:tcBorders>
              <w:top w:val="single" w:sz="2"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11,101</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10,673 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8,423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7,265 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Capitalized Research &amp; Experimental Expenditures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36,084</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Associates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13,036</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11,542 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7,143</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8,969 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temporary differences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2,957</w:t>
            </w: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2,665 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127,061</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88,096 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(47,877)</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(96,804)</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ROU asset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(3,519)</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(4,667)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Fixed assets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(2,348)</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(3,547)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liabilities</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(53,744)</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(105,018)</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(liabilities), net</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73,317</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(16,922)</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liabilities, net, recognized</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(19,645)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(89,765)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(liabilities), net, not recognized</w:t>
            </w:r>
          </w:p>
        </w:tc>
        <w:tc>
          <w:tcPr>
            <w:tcW w:w="94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92,962</w:t>
            </w:r>
            <w:r>
              <w:rPr>
                <w:color w:val="000000"/>
              </w:rPr>
              <w:t>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72,843 </w:t>
            </w:r>
          </w:p>
        </w:tc>
        <w:tc>
          <w:tcPr>
            <w:tcW w:w="18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recognized deferred tax assets related to entities in the U.S. Federal and Massachusetts consolidated return groups due to future reversals of existing taxable temporary differences that will be sufficient to recover the net deferred tax assets. Our unrecognized deferred tax assets of $93.0 million are primarily related to tax credit, loss carryforwards and deductible temporary differences in subsidiaries outside the U.S. Federal and Massachusetts consolidated return groups. Such deferred tax assets have not been recognized because it is not probable that future taxable profits will be available to support their realizability. The unrecognized deferred tax assets, to a lesser extent, also relate to unrecognized deferred tax assets with respect to a portion of Section 174 capitalized research &amp; experimental expenditures which became effective in 2022 under the Tax Cuts and Jobs Act and an investment in an associate since the Group does not believe it is probable that such tax benefits will be realized in the foreseeable future.</w:t>
      </w:r>
    </w:p>
    <w:p>
      <w:pPr>
        <w:pStyle w:val="HorizontalLine"/>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25730"/>
                <wp:effectExtent l="0" t="0" r="0" b="0"/>
                <wp:wrapNone/>
                <wp:docPr id="127" name="Frame126"/>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F-54</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There was movement in deferred tax recognized, which impacted income tax expense by approximately $70.1 million benefit, primarily related to changes in the value of investments and Section 174 capitalized research &amp; experimental expenditures. The Company sold a portion of its stock in Karuna and VOR during 2022 resulting in net taxable income and current tax expense of $14.4 million.</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Unrecognized Deferred Tax Assets</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have not been recognized in respect of the following carryforward losses, credits and temporary differences, because it is not probable that future taxable profit will be available against which the Group can use the benefits therefrom.</w:t>
      </w:r>
    </w:p>
    <w:tbl>
      <w:tblPr>
        <w:tblW w:w="8068" w:type="dxa"/>
        <w:jc w:val="left"/>
        <w:tblInd w:w="0" w:type="dxa"/>
        <w:tblCellMar>
          <w:top w:w="28" w:type="dxa"/>
          <w:left w:w="28" w:type="dxa"/>
          <w:bottom w:w="28" w:type="dxa"/>
          <w:right w:w="28" w:type="dxa"/>
        </w:tblCellMar>
      </w:tblPr>
      <w:tblGrid>
        <w:gridCol w:w="1054"/>
        <w:gridCol w:w="925"/>
        <w:gridCol w:w="931"/>
        <w:gridCol w:w="473"/>
        <w:gridCol w:w="473"/>
        <w:gridCol w:w="376"/>
        <w:gridCol w:w="413"/>
        <w:gridCol w:w="413"/>
        <w:gridCol w:w="341"/>
        <w:gridCol w:w="109"/>
        <w:gridCol w:w="109"/>
        <w:gridCol w:w="109"/>
        <w:gridCol w:w="422"/>
        <w:gridCol w:w="404"/>
        <w:gridCol w:w="371"/>
        <w:gridCol w:w="360"/>
        <w:gridCol w:w="361"/>
        <w:gridCol w:w="424"/>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2910"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2489"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910" w:type="dxa"/>
            <w:gridSpan w:val="3"/>
            <w:vMerge w:val="continue"/>
            <w:tcBorders/>
            <w:shd w:fill="FFFFFF" w:val="clear"/>
            <w:tcMar>
              <w:top w:w="0" w:type="dxa"/>
              <w:left w:w="0" w:type="dxa"/>
              <w:bottom w:w="0" w:type="dxa"/>
              <w:right w:w="0" w:type="dxa"/>
            </w:tcMar>
            <w:vAlign w:val="center"/>
          </w:tcPr>
          <w:p>
            <w:pPr>
              <w:pStyle w:val="Normal"/>
              <w:rPr/>
            </w:pPr>
            <w:r>
              <w:rPr/>
            </w:r>
          </w:p>
        </w:tc>
        <w:tc>
          <w:tcPr>
            <w:tcW w:w="132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Gross Amount</w:t>
            </w:r>
          </w:p>
        </w:tc>
        <w:tc>
          <w:tcPr>
            <w:tcW w:w="116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Tax Effected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Gross Amount</w:t>
            </w:r>
          </w:p>
        </w:tc>
        <w:tc>
          <w:tcPr>
            <w:tcW w:w="114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Tax Effected</w:t>
            </w:r>
          </w:p>
        </w:tc>
      </w:tr>
      <w:tr>
        <w:trPr/>
        <w:tc>
          <w:tcPr>
            <w:tcW w:w="2910"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Deductible Temporary Difference</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132,145</w:t>
            </w:r>
            <w:r>
              <w:rPr>
                <w:color w:val="000000"/>
              </w:rPr>
              <w:t> </w:t>
            </w:r>
          </w:p>
        </w:tc>
        <w:tc>
          <w:tcPr>
            <w:tcW w:w="37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33,544</w:t>
            </w:r>
            <w:r>
              <w:rPr>
                <w:color w:val="000000"/>
              </w:rPr>
              <w:t> </w:t>
            </w:r>
          </w:p>
        </w:tc>
        <w:tc>
          <w:tcPr>
            <w:tcW w:w="34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59,925 </w:t>
            </w:r>
          </w:p>
        </w:tc>
        <w:tc>
          <w:tcPr>
            <w:tcW w:w="371"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16,224 </w:t>
            </w:r>
          </w:p>
        </w:tc>
        <w:tc>
          <w:tcPr>
            <w:tcW w:w="424"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219,466</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48,317</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215,425 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46,982 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11,101</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11,101</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9,636 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9,636 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w:t>
            </w:r>
          </w:p>
        </w:tc>
        <w:tc>
          <w:tcPr>
            <w:tcW w:w="94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362,712</w:t>
            </w:r>
            <w:r>
              <w:rPr>
                <w:color w:val="000000"/>
              </w:rPr>
              <w:t> </w:t>
            </w:r>
          </w:p>
        </w:tc>
        <w:tc>
          <w:tcPr>
            <w:tcW w:w="37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92,962</w:t>
            </w:r>
            <w:r>
              <w:rPr>
                <w:color w:val="000000"/>
              </w:rPr>
              <w:t> </w:t>
            </w:r>
          </w:p>
        </w:tc>
        <w:tc>
          <w:tcPr>
            <w:tcW w:w="34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284,986 </w:t>
            </w:r>
          </w:p>
        </w:tc>
        <w:tc>
          <w:tcPr>
            <w:tcW w:w="371"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72,843 </w:t>
            </w:r>
          </w:p>
        </w:tc>
        <w:tc>
          <w:tcPr>
            <w:tcW w:w="424"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 Losses and tax credits carryforwards </w:t>
      </w:r>
    </w:p>
    <w:p>
      <w:pPr>
        <w:pStyle w:val="TextBody"/>
        <w:spacing w:lineRule="auto" w:line="288" w:before="0" w:after="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 and tax credits for which no deferred tax asset was recognized</w:t>
      </w:r>
    </w:p>
    <w:tbl>
      <w:tblPr>
        <w:tblW w:w="7033" w:type="dxa"/>
        <w:jc w:val="left"/>
        <w:tblInd w:w="0" w:type="dxa"/>
        <w:tblCellMar>
          <w:top w:w="28" w:type="dxa"/>
          <w:left w:w="28" w:type="dxa"/>
          <w:bottom w:w="28" w:type="dxa"/>
          <w:right w:w="28" w:type="dxa"/>
        </w:tblCellMar>
      </w:tblPr>
      <w:tblGrid>
        <w:gridCol w:w="679"/>
        <w:gridCol w:w="596"/>
        <w:gridCol w:w="600"/>
        <w:gridCol w:w="473"/>
        <w:gridCol w:w="473"/>
        <w:gridCol w:w="376"/>
        <w:gridCol w:w="413"/>
        <w:gridCol w:w="413"/>
        <w:gridCol w:w="341"/>
        <w:gridCol w:w="109"/>
        <w:gridCol w:w="109"/>
        <w:gridCol w:w="109"/>
        <w:gridCol w:w="422"/>
        <w:gridCol w:w="404"/>
        <w:gridCol w:w="371"/>
        <w:gridCol w:w="360"/>
        <w:gridCol w:w="361"/>
        <w:gridCol w:w="424"/>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1875"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2489"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1875" w:type="dxa"/>
            <w:gridSpan w:val="3"/>
            <w:vMerge w:val="continue"/>
            <w:tcBorders/>
            <w:shd w:fill="FFFFFF" w:val="clear"/>
            <w:tcMar>
              <w:top w:w="0" w:type="dxa"/>
              <w:left w:w="0" w:type="dxa"/>
              <w:bottom w:w="0" w:type="dxa"/>
              <w:right w:w="0" w:type="dxa"/>
            </w:tcMar>
            <w:vAlign w:val="center"/>
          </w:tcPr>
          <w:p>
            <w:pPr>
              <w:pStyle w:val="Normal"/>
              <w:rPr/>
            </w:pPr>
            <w:r>
              <w:rPr/>
            </w:r>
          </w:p>
        </w:tc>
        <w:tc>
          <w:tcPr>
            <w:tcW w:w="2489" w:type="dxa"/>
            <w:gridSpan w:val="6"/>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2"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875" w:type="dxa"/>
            <w:gridSpan w:val="3"/>
            <w:vMerge w:val="continue"/>
            <w:tcBorders/>
            <w:shd w:fill="FFFFFF" w:val="clear"/>
            <w:tcMar>
              <w:top w:w="0" w:type="dxa"/>
              <w:left w:w="0" w:type="dxa"/>
              <w:bottom w:w="0" w:type="dxa"/>
              <w:right w:w="0" w:type="dxa"/>
            </w:tcMar>
            <w:vAlign w:val="center"/>
          </w:tcPr>
          <w:p>
            <w:pPr>
              <w:pStyle w:val="Normal"/>
              <w:rPr/>
            </w:pPr>
            <w:r>
              <w:rPr/>
            </w:r>
          </w:p>
        </w:tc>
        <w:tc>
          <w:tcPr>
            <w:tcW w:w="1322"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Gross Amount</w:t>
            </w:r>
          </w:p>
        </w:tc>
        <w:tc>
          <w:tcPr>
            <w:tcW w:w="1167"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Tax Effected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Gross Amount</w:t>
            </w:r>
          </w:p>
        </w:tc>
        <w:tc>
          <w:tcPr>
            <w:tcW w:w="114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Tax Effected</w:t>
            </w:r>
          </w:p>
        </w:tc>
      </w:tr>
      <w:tr>
        <w:trPr/>
        <w:tc>
          <w:tcPr>
            <w:tcW w:w="187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 expiring:</w:t>
            </w:r>
          </w:p>
        </w:tc>
        <w:tc>
          <w:tcPr>
            <w:tcW w:w="1322"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Within 10 years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23,930</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5,387</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19,735 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4,343 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10 years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42,822</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10,509</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47,937 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11,611 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Available Indefinitely</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152,714</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32,421</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147,753 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31,028 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94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219,466</w:t>
            </w:r>
            <w:r>
              <w:rPr>
                <w:color w:val="000000"/>
              </w:rPr>
              <w:t> </w:t>
            </w:r>
          </w:p>
        </w:tc>
        <w:tc>
          <w:tcPr>
            <w:tcW w:w="376"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48,317</w:t>
            </w:r>
            <w:r>
              <w:rPr>
                <w:color w:val="000000"/>
              </w:rPr>
              <w:t> </w:t>
            </w:r>
          </w:p>
        </w:tc>
        <w:tc>
          <w:tcPr>
            <w:tcW w:w="34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215,425 </w:t>
            </w:r>
          </w:p>
        </w:tc>
        <w:tc>
          <w:tcPr>
            <w:tcW w:w="371"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46,982 </w:t>
            </w:r>
          </w:p>
        </w:tc>
        <w:tc>
          <w:tcPr>
            <w:tcW w:w="424" w:type="dxa"/>
            <w:tcBorders>
              <w:top w:val="single" w:sz="2" w:space="0" w:color="183964"/>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top w:val="single" w:sz="4" w:space="0" w:color="183964"/>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 expiring:</w:t>
            </w:r>
          </w:p>
        </w:tc>
        <w:tc>
          <w:tcPr>
            <w:tcW w:w="1322"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183964"/>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4" w:space="0" w:color="183964"/>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4" w:space="0" w:color="183964"/>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Within 10 years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43</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10 years</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11,058</w:t>
            </w: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11,058</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9,632 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9,632 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Available indefinitely</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3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83964"/>
              </w:rPr>
            </w:pPr>
            <w:r>
              <w:rPr>
                <w:color w:val="183964"/>
              </w:rPr>
              <w:t>— </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94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11,101</w:t>
            </w:r>
            <w:r>
              <w:rPr>
                <w:color w:val="000000"/>
              </w:rPr>
              <w:t> </w:t>
            </w:r>
          </w:p>
        </w:tc>
        <w:tc>
          <w:tcPr>
            <w:tcW w:w="376"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11,101</w:t>
            </w:r>
            <w:r>
              <w:rPr>
                <w:color w:val="000000"/>
              </w:rPr>
              <w:t> </w:t>
            </w:r>
          </w:p>
        </w:tc>
        <w:tc>
          <w:tcPr>
            <w:tcW w:w="341" w:type="dxa"/>
            <w:tcBorders>
              <w:top w:val="single" w:sz="2" w:space="0" w:color="183964"/>
              <w:bottom w:val="single" w:sz="4" w:space="0" w:color="183964"/>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183964"/>
              <w:bottom w:val="single" w:sz="4" w:space="0" w:color="183964"/>
            </w:tcBorders>
            <w:shd w:fill="auto"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9,636 </w:t>
            </w:r>
          </w:p>
        </w:tc>
        <w:tc>
          <w:tcPr>
            <w:tcW w:w="371"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9,636 </w:t>
            </w:r>
          </w:p>
        </w:tc>
        <w:tc>
          <w:tcPr>
            <w:tcW w:w="424"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had U.S. federal net operating losses carry forwards (“NOLs”) of approximately $219.5 million, $215.4 million and $169.7 million as of December 31, 2022, 2021 and 2020, respectively, which are available to offset future taxable income. These NOLs expire through 2037 with the exception of $152.7 million which is not subject to expiration. The Group had U.S. Federal research and development tax credits of approximately $4.5 million, $3.9 million and $3.9 million as of December 31, 2022, 2021 and 2020, respectively, which are available to offset future taxes that expire at various dates through 2042. The Group also had Federal Orphan Drug credits of approximately $6.1 million and $5.7 million as of December 31, 2022, and 2021, which are available to offset future taxes that expire at various dates through 2042. A portion of these Federal NOLs and credits can only be used to offset the profits from the Company’s subsidiaries who file separate Federal tax returns. These NOLs and credits are subject to review and possible adjustment by the Internal Revenue Service.</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had state net operating losses carry forwards (“NOLs”) of approximately $71.7 million, $27.9 million and $67.4 million for the years ended December 31, 2022, 2021 and 2020, respectively, which are available to offset future taxable income. These NOLs expire at various dates beginning in 2030. The Group had Massachusetts research and development tax credits of approximately $0.6 million, $1.3 million and $2.1 million for the years ended December 31, 2022, 2021 and 2020, respectively, which are available to offset future taxes and expire at various dates through 2037. These NOLs and credits are subject to review and possible adjustment by the Massachusetts Department of Revenue. </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Utilization of the NOLs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notes that a 382 analysis was performed through December 31, 2022. The results of this analysis concluded that certain net operating losses were subject to limitation under Section 382 of the Internal Revenue Code. None of the Company’s tax attributes which are subject to a restrictive Section 382 limitation have been recognized in the financial statements. </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Tax Balances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current tax related balances are presented in the Statement of Financial Position as follows:</w:t>
      </w:r>
    </w:p>
    <w:tbl>
      <w:tblPr>
        <w:tblW w:w="4777" w:type="dxa"/>
        <w:jc w:val="left"/>
        <w:tblInd w:w="0" w:type="dxa"/>
        <w:tblCellMar>
          <w:top w:w="28" w:type="dxa"/>
          <w:left w:w="28" w:type="dxa"/>
          <w:bottom w:w="28" w:type="dxa"/>
          <w:right w:w="28" w:type="dxa"/>
        </w:tblCellMar>
      </w:tblPr>
      <w:tblGrid>
        <w:gridCol w:w="1021"/>
        <w:gridCol w:w="896"/>
        <w:gridCol w:w="902"/>
        <w:gridCol w:w="413"/>
        <w:gridCol w:w="413"/>
        <w:gridCol w:w="181"/>
        <w:gridCol w:w="308"/>
        <w:gridCol w:w="308"/>
        <w:gridCol w:w="181"/>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19"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0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2022</w:t>
            </w:r>
          </w:p>
          <w:p>
            <w:pPr>
              <w:pStyle w:val="TableContents"/>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shd w:fill="auto" w:val="clear"/>
          </w:tcPr>
          <w:p>
            <w:pPr>
              <w:pStyle w:val="TableContents"/>
              <w:spacing w:before="0" w:after="283"/>
              <w:rPr>
                <w:sz w:val="4"/>
                <w:szCs w:val="4"/>
              </w:rPr>
            </w:pPr>
            <w:r>
              <w:rPr>
                <w:sz w:val="4"/>
                <w:szCs w:val="4"/>
              </w:rPr>
            </w:r>
          </w:p>
        </w:tc>
      </w:tr>
      <w:tr>
        <w:trPr/>
        <w:tc>
          <w:tcPr>
            <w:tcW w:w="2819" w:type="dxa"/>
            <w:gridSpan w:val="3"/>
            <w:vMerge w:val="continue"/>
            <w:tcBorders/>
            <w:shd w:fill="FFFFFF" w:val="clear"/>
            <w:tcMar>
              <w:top w:w="0" w:type="dxa"/>
              <w:left w:w="0" w:type="dxa"/>
              <w:bottom w:w="0" w:type="dxa"/>
              <w:right w:w="0" w:type="dxa"/>
            </w:tcMar>
            <w:vAlign w:val="center"/>
          </w:tcPr>
          <w:p>
            <w:pPr>
              <w:pStyle w:val="Normal"/>
              <w:rPr/>
            </w:pPr>
            <w:r>
              <w:rPr/>
            </w:r>
          </w:p>
        </w:tc>
        <w:tc>
          <w:tcPr>
            <w:tcW w:w="1007" w:type="dxa"/>
            <w:gridSpan w:val="3"/>
            <w:vMerge w:val="continue"/>
            <w:tcBorders/>
            <w:shd w:fill="auto" w:val="clear"/>
            <w:tcMar>
              <w:top w:w="0" w:type="dxa"/>
              <w:left w:w="0" w:type="dxa"/>
              <w:bottom w:w="0" w:type="dxa"/>
              <w:right w:w="0" w:type="dxa"/>
            </w:tcMar>
            <w:vAlign w:val="center"/>
          </w:tcPr>
          <w:p>
            <w:pPr>
              <w:pStyle w:val="Normal"/>
              <w:rPr/>
            </w:pPr>
            <w:r>
              <w:rPr/>
            </w:r>
          </w:p>
        </w:tc>
        <w:tc>
          <w:tcPr>
            <w:tcW w:w="797"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top w:val="single" w:sz="2" w:space="0" w:color="183964"/>
            </w:tcBorders>
            <w:shd w:fill="FFFFFF"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Income tax receivable – current </w:t>
            </w:r>
          </w:p>
        </w:tc>
        <w:tc>
          <w:tcPr>
            <w:tcW w:w="82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7"/>
              </w:rPr>
              <w:t>10,040</w:t>
            </w:r>
            <w:r>
              <w:rPr>
                <w:color w:val="000000"/>
              </w:rPr>
              <w:t>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2" w:space="0" w:color="183964"/>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4,514 </w:t>
            </w:r>
          </w:p>
        </w:tc>
        <w:tc>
          <w:tcPr>
            <w:tcW w:w="181" w:type="dxa"/>
            <w:tcBorders>
              <w:top w:val="single" w:sz="2" w:space="0" w:color="183964"/>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19" w:type="dxa"/>
            <w:gridSpan w:val="3"/>
            <w:tcBorders>
              <w:bottom w:val="single" w:sz="2" w:space="0" w:color="183964"/>
            </w:tcBorders>
            <w:shd w:fill="FFFFFF" w:val="clear"/>
            <w:tcMar>
              <w:top w:w="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2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(57)</w:t>
            </w:r>
          </w:p>
        </w:tc>
        <w:tc>
          <w:tcPr>
            <w:tcW w:w="181"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2" w:space="0" w:color="183964"/>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w:t>
            </w:r>
          </w:p>
        </w:tc>
        <w:tc>
          <w:tcPr>
            <w:tcW w:w="181" w:type="dxa"/>
            <w:tcBorders>
              <w:bottom w:val="single" w:sz="2" w:space="0" w:color="183964"/>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Uncertain Tax Positions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has no uncertain tax positions as of December 31, 2022. U.S. corporations are routinely subject to audit by federal and state tax authorities in the normal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100"/>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26.    Subsequent Events </w:t>
      </w:r>
    </w:p>
    <w:p>
      <w:pPr>
        <w:pStyle w:val="HorizontalLine"/>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25730"/>
                <wp:effectExtent l="0" t="0" r="0" b="0"/>
                <wp:wrapNone/>
                <wp:docPr id="128" name="Frame127"/>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F-55</w:t>
                      </w:r>
                    </w:p>
                  </w:txbxContent>
                </v:textbox>
              </v:rect>
            </w:pict>
          </mc:Fallback>
        </mc:AlternateContent>
      </w:r>
    </w:p>
    <w:p>
      <w:pPr>
        <w:pStyle w:val="TextBody"/>
        <w:spacing w:before="0" w:after="105"/>
        <w:rPr/>
      </w:pPr>
      <w:r>
        <w:rPr/>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has evaluated subsequent events after December 31, 2022, the date of issuance of the Consolidated Financial Statements, and has not identified any recordable or disclosable events not otherwise reported in these Consolidated Financial Statements or notes thereto, except for the following:</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1, 2023 Vedanta issued convertible debt to a syndicate of investors. The initial close of the debt was for proceeds of approximately $88.5 million. The note carries an interest rate of 9 percent per annum. The debt has various conversion triggers and the conversion price is established at the lower of 80% of the equity price of the last financing round, or a certain pre-money valuation cap established in the agreement. As part of the issuance of the debt, the convertible debt holders were granted representation in Vedanta's Board of Directors and PureTech lost control over Vedanta. On April 24, 2023, Vedanta closed the second tranche of the convertible debt for additional proceeds of $18.0 million, of which $5.0 million were invested by the Company.</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22, 2023, the Company entered into an agreement with Royalty Pharma according to which Royalty Pharma acquired an interset in the Group's royalty from Karuna's KarXT, with $100.0 million in cash up-front, and up to $400.0 million in additional cash consideration, contingent on the achievement of certain regulatory and commercial milestones.</w:t>
      </w:r>
    </w:p>
    <w:p>
      <w:pPr>
        <w:pStyle w:val="TextBody"/>
        <w:spacing w:lineRule="auto" w:line="288" w:before="0" w:after="0"/>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21, 2023, the Company entered into a Note and Warrant Purchase agreement with Gelesis for $5.0 million cash consideration. As part of the agreement, the Company received a short term convertible senior secured note of $5.0 million and warrants to purchase additional shares of Gelesis' common stock. The note carries an interest rate of 12 percent per annum and holds an initial maturity date of July 31, 2023 unless the note is earlier converted or redeemed by the issuer.</w:t>
      </w:r>
    </w:p>
    <w:p>
      <w:pPr>
        <w:pStyle w:val="TextBody"/>
        <w:spacing w:lineRule="auto" w:line="288" w:before="0" w:after="100"/>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April 10, 2023, the NYSE commenced proceedings to delist the common stock of Gelesis from the NYSE due to Gelesis ceasing to meet certain conditions to trade on such stock exchange. Trading in the Gelesis’s common stock was suspended immediately, and it was subsequently delisted from the NYSE. The common stock of Gelesis is currently available for trading in the over-the-counter (“OTC”) market under the symbol GLSH. </w:t>
      </w:r>
    </w:p>
    <w:p>
      <w:pPr>
        <w:pStyle w:val="TextBody"/>
        <w:spacing w:lineRule="auto" w:line="268"/>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in April 2023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25730"/>
                <wp:effectExtent l="0" t="0" r="0" b="0"/>
                <wp:wrapNone/>
                <wp:docPr id="129" name="Frame128"/>
                <a:graphic xmlns:a="http://schemas.openxmlformats.org/drawingml/2006/main">
                  <a:graphicData uri="http://schemas.microsoft.com/office/word/2010/wordprocessingShape">
                    <wps:wsp>
                      <wps:cNvSpPr txBox="1"/>
                      <wps:spPr>
                        <a:xfrm>
                          <a:off x="0" y="0"/>
                          <a:ext cx="6480175" cy="125730"/>
                        </a:xfrm>
                        <a:prstGeom prst="rect"/>
                      </wps:spPr>
                      <wps:txb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F-56</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spacing w:before="0" w:after="0"/>
        <w:jc w:val="right"/>
        <w:rPr/>
      </w:pPr>
      <w:r>
        <w:rPr/>
      </w:r>
    </w:p>
    <w:p>
      <w:pPr>
        <w:pStyle w:val="TextBody"/>
        <w:spacing w:lineRule="auto" w:line="333" w:before="0" w:after="0"/>
        <w:rPr>
          <w:rFonts w:ascii="Times New Roman;sans-serif" w:hAnsi="Times New Roman;sans-serif"/>
          <w:b/>
          <w:i/>
          <w:color w:val="000000"/>
          <w:sz w:val="20"/>
        </w:rPr>
      </w:pPr>
      <w:r>
        <w:rPr>
          <w:rFonts w:ascii="Times New Roman;sans-serif" w:hAnsi="Times New Roman;sans-serif"/>
          <w:b/>
          <w:i/>
          <w:color w:val="000000"/>
          <w:sz w:val="20"/>
        </w:rPr>
        <w:t>Description of Securities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description of the securities registered under Section 12 of the Securities Exchange Act of 1934 of PureTech Health plc (“PureTech,” “us,” “our,” “we” or the “Company”) is a summary of the rights of our American Depository Shares and certain provisions of our articles of association in effect as of December 31, 2021 (the “Articles”). This summary does not purport to be complete and is qualified in its entirety by the provisions of our Articles previously filed with the Securities and Exchange Commission and incorporated by reference as an exhibit to the Annual Report on Form 20</w:t>
        <w:noBreakHyphen/>
        <w:t>F of which this Exhibit 2.3 is a part, as well as to the applicable provisions of the laws and regulations of England and Wales. We encourage you to read our Articles and applicable legislation on England and Wales carefully.</w:t>
      </w:r>
    </w:p>
    <w:p>
      <w:pPr>
        <w:pStyle w:val="TextBody"/>
        <w:spacing w:lineRule="auto" w:line="333" w:before="360" w:after="283"/>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Ordinary Shares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holders of our ordinary shares, par value £0.01 per share, are entitled to receive dividends in proportion to the number of ordinary shares held by them and according to the amount paid up on such ordinary shares during any portion or portions of the period in respect of which the dividend is paid. Holders of ordinary shares are entitled, in proportion to the number of ordinary shares held by them and to the amounts paid up thereon, to share in any surplus in the event of our winding up. The holders of ordinary shares are entitled to receive notice of, attend either in person or by proxy or, being a corporation, by a duly authorized representative, and vote at general meetings of shareholders.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Share Register</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Companies Act 2006, we must enter an allotment of shares in our share register as soon as practicable and in any event within two months of the allotment. We are also required by the Companies Act 2006 to register a transfer of shares (or give the transferee notice of and reasons for refusal) as soon as practicable and in any event within two months of receiving notice of the transfer.</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any of our shareholders or any other affected person may apply to the court for rectification of the share register if:</w:t>
      </w:r>
    </w:p>
    <w:p>
      <w:pPr>
        <w:pStyle w:val="TextBody"/>
        <w:spacing w:lineRule="auto" w:line="333" w:before="0" w:after="0"/>
        <w:rPr>
          <w:color w:val="000000"/>
          <w:highlight w:val="white"/>
        </w:rPr>
      </w:pPr>
      <w:r>
        <w:rPr>
          <w:color w:val="000000"/>
          <w:highlight w:val="white"/>
        </w:rPr>
        <w:t> </w:t>
      </w:r>
    </w:p>
    <w:tbl>
      <w:tblPr>
        <w:tblW w:w="828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130"/>
        <w:gridCol w:w="2130"/>
        <w:gridCol w:w="30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name of any person is wrongly entered in or omitted from our register of members; or</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 failure or unnecessary delay in amending the register of members to show the date a member ceased to be a member.</w:t>
            </w:r>
          </w:p>
        </w:tc>
      </w:tr>
    </w:tbl>
    <w:p>
      <w:pPr>
        <w:pStyle w:val="TextBody"/>
        <w:spacing w:before="120" w:after="283"/>
        <w:rPr/>
      </w:pPr>
      <w:r>
        <w:rPr/>
      </w:r>
    </w:p>
    <w:p>
      <w:pPr>
        <w:pStyle w:val="TextBody"/>
        <w:spacing w:lineRule="auto" w:line="333" w:before="12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Objects</w:t>
      </w:r>
      <w:r>
        <w:br w:type="page"/>
      </w:r>
    </w:p>
    <w:p>
      <w:pPr>
        <w:pStyle w:val="TextBody"/>
        <w:spacing w:before="0" w:after="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351790"/>
                <wp:effectExtent l="0" t="0" r="0" b="0"/>
                <wp:wrapNone/>
                <wp:docPr id="130" name="Frame129"/>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Section 31 of the Companies Act 2006 provides that the objects of a company are unrestricted unless any restrictions are set out in the articles. There are no such restrictions in the Articles and our objects are therefore unrestricted.</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Voting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any rights or restrictions attached to any shares, on a show of hands:</w:t>
      </w:r>
    </w:p>
    <w:p>
      <w:pPr>
        <w:pStyle w:val="TextBody"/>
        <w:spacing w:lineRule="auto" w:line="333" w:before="0" w:after="0"/>
        <w:rPr>
          <w:color w:val="000000"/>
          <w:highlight w:val="white"/>
        </w:rPr>
      </w:pPr>
      <w:r>
        <w:rPr>
          <w:color w:val="000000"/>
          <w:highlight w:val="white"/>
        </w:rPr>
        <w:t> </w:t>
      </w:r>
    </w:p>
    <w:tbl>
      <w:tblPr>
        <w:tblW w:w="933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442"/>
        <w:gridCol w:w="2442"/>
        <w:gridCol w:w="34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34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every shareholder who is entitled to vote on the resolution and who is present in person has one vote;</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every proxy present who has be duly appointed by one or more shareholders entitled to vote on the resolution(s) has one vote;</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proxy has one vote for and one vote against the resolution(s) if he has been duly appointed by more than one shareholder entitled to vote on the resolution and either (i) is instructed by one or more of those shareholders to vote for the resolution and by one or more others to vote against it; or (ii) is instructed by one or more of those shareholders to vote in one way and is given a discretion as to how to vote by one or more others (and wishes to use that discretion to vote in the other way);</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any rights or restrictions attached to any shares, on a poll every shareholder who is entitled to vote on the resolutions and is present in person or by proxy shall have one vote for every share of which he is the holder;</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where there are joint holders of a share, the vote of the senior who tenders a vote, whether in person or by proxy, shall be accepted to the exclusion of the vote or votes of the other joint holder or holders. Seniority is determined by the order in which the names of the holders stand in the register; and</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Board otherwise determines, a shareholder shall not be entitled to vote unless all calls or other sums due and payable from him in respect of shares in our company have been paid.</w:t>
            </w:r>
          </w:p>
        </w:tc>
      </w:tr>
    </w:tbl>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Dividends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Companies Act 2006 and the Articles, we may by ordinary resolution declare dividends, but no such dividends shall exceed the amount recommended by the Board. Subject to the Companies Act 2006, the Board may declare and pay such interim dividends (including any dividend payable at a fixed rate) as appear to the Board to be justified by the profits of our company available for distribution.</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Except as otherwise provided by the rights attached to shares, all dividends shall be declared and paid according to the amounts paid up or credited as paid up (other than amounts paid in advance of calls) on the shares in respect of which the dividend is paid and shall be apportioned and paid proportionately to the amounts paid up on such shares during any portion or portions of the period in respect of which the dividend is paid.</w:t>
      </w:r>
      <w:r>
        <w:br w:type="page"/>
      </w:r>
    </w:p>
    <w:p>
      <w:pPr>
        <w:pStyle w:val="TextBody"/>
        <w:spacing w:before="0" w:after="0"/>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51790"/>
                <wp:effectExtent l="0" t="0" r="0" b="0"/>
                <wp:wrapNone/>
                <wp:docPr id="131" name="Frame130"/>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Dividends may be declared or paid in whatever currency the Board decides. Unless otherwise provided by the rights attached to the shares, dividends shall not carry a right to receive interest.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All dividends unclaimed for a period of 12 years after having been declared or becoming due for payment shall be forfeited and cease to remain owing by us.</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with the authority of an ordinary resolution of our company:</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holders of ordinary shares the right to elect to receive further ordinary shares, credited as fully paid, instead of cash in respect of all or part of any dividend or dividends specified by the ordinary resolution; and</w:t>
            </w:r>
          </w:p>
        </w:tc>
      </w:tr>
    </w:tbl>
    <w:p>
      <w:pPr>
        <w:pStyle w:val="TextBody"/>
        <w:spacing w:lineRule="auto" w:line="333" w:before="120" w:after="283"/>
        <w:rPr>
          <w:color w:val="000000"/>
          <w:highlight w:val="white"/>
        </w:rPr>
      </w:pPr>
      <w:r>
        <w:rPr>
          <w:color w:val="000000"/>
          <w:highlight w:val="white"/>
        </w:rPr>
        <w:t> </w:t>
      </w:r>
    </w:p>
    <w:tbl>
      <w:tblPr>
        <w:tblW w:w="1017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85"/>
        <w:gridCol w:w="2685"/>
        <w:gridCol w:w="380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0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that payment of all or part of any dividend declared may be satisfied by the distribution of specific assets.</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are no fixed or specified dates on which entitlements to dividends payable by us arise.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Pre-Emption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certain circumstances, shareholders may have statutory pre-emption rights under the Companies Act 2006 in respect of the allotment of new shares in our company. These statutory pre-emption rights would require us to offer new shares for allotment to existing shareholders on a pro rata basis before allotting them to other persons. In such circumstances, the procedure for the exercise of such statutory pre-emption rights would be set out in the documentation by which such shares would be offered to shareholders.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Distribution of Assets on a Winding-Up</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 winding up, a liquidator may, with the authority of a special resolution of our company and any other sanction required by law divide among the shareholders in kind the whole or any part of the assets of our company, whether or not the assets consist of property of one kind or different kinds and may for such purposes set such value as he considers fair upon any one or more class or classes of property and may determine how such division shall be carried out as between the Shareholders or different classes of Shareholders. The liquidator may, with the same authority, transfer any part of the assets to trustees on such trusts for the benefit of shareholders as the liquidator, with the same authority, thinks fit and the liquidation may then be closed and our company dissolved, but so that no Shareholder shall be compelled to accept any shares or other property in respect of which there is a liability.</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Transfer of Shares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Every transfer of shares which are in certificated form must be in writing in any usual form or in any form approved by the Board and shall be executed by or on behalf of the transferor and (in the case of a transfer of a share which is not fully paid up) by or on behalf of the transferee.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Every transfer of shares which are in uncertificated form must be made by means of a relevant system (such as CREST).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Board may, in its absolute discretion and without giving reason, refuse to register any transfer of certificated shares if: (a) it is in respect of a share which is not fully paid up (provided that, if such share is admitted to trading </w:t>
      </w:r>
      <w:r>
        <w:br w:type="page"/>
      </w:r>
    </w:p>
    <w:p>
      <w:pPr>
        <w:pStyle w:val="TextBody"/>
        <w:spacing w:before="0" w:after="0"/>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351790"/>
                <wp:effectExtent l="0" t="0" r="0" b="0"/>
                <wp:wrapNone/>
                <wp:docPr id="132" name="Frame131"/>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 recognised investment exchange, the refusal does not prevent dealings in our company’s shares from taking place on an open and proper basis); (b) it is in respect of more than one class of share; (c) it is not duly stamped (if so required)or duly certified or otherwise shown to the satisfaction of the Board to be exempt from stamp duty; or (d) it is not delivered for registration to the registered office of our company or such other place as the Board may from time to time determine, accompanied (except in the case of a transfer by a recognized person (as defined in the Articles) where a certificate has not been issued) by the relevant share certificate and such other evidence as the Board may reasonably require to show the right of the transferor to make the transfer and, if the transfer is signed by some other person on his behalf, the authority of that person to do so.</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in its absolute discretion and without giving reason, refuse to register any transfer or allotment of shares which is in favor of: (a) a child, bankrupt or person of unsound mind; or (b) more than four joint transferees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Restrictions on Voting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a member or any person appearing to be interested in shares held by such a member has been duly served with a notice under section 793 of the Companies Act 2006 and has failed in relation to any shares (“default shares”)</w:t>
      </w:r>
    </w:p>
    <w:p>
      <w:pPr>
        <w:pStyle w:val="TextBody"/>
        <w:spacing w:lineRule="auto" w:line="333" w:before="0" w:after="0"/>
        <w:rPr>
          <w:color w:val="000000"/>
          <w:highlight w:val="white"/>
        </w:rPr>
      </w:pPr>
      <w:r>
        <w:rPr>
          <w:color w:val="000000"/>
          <w:highlight w:val="white"/>
        </w:rPr>
        <w:t> </w:t>
      </w:r>
    </w:p>
    <w:p>
      <w:pPr>
        <w:pStyle w:val="TextBody"/>
        <w:spacing w:lineRule="auto" w:line="333"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Variation of Class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Companies Act 2006, all or any of the rights or privileges attached to any class of shares in our company may be varied or abrogated in such manner (if any) as may be provided by such rights, or, in the absence of any such provision, either with the consent in writing of the holders of at least three-fourths of the nominal amount of the issued shares of that class or with the sanction of a special resolution passed at a separate meeting of such holders of shares of that class, but not otherwise. The quorum at any such meeting (other than an adjourned meeting) is two persons holding or representing by proxy at least one third in nominal amount of the issued shares of the class in question.</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rights attached to any class of shares shall not, unless otherwise expressly provided in the rights attaching to such shares, be deemed to be varied or abrogated by the creation or issue of shares ranking pari passu with or subsequent to them or by the purchase or redemption by us of any of our own shares.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Share Capital, Changes in Capital and Purchase of Own Shares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Companies Act 2006 and to the Articles, the power to allot and issue shares shall be exercised by the Board at such times and on such terms and conditions as the Board may determine.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Articles and to any rights attached to any existing shares, any share may be issued with such rights or restrictions as we may from time to time determine by ordinary resolution.</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may issue redeemable shares and the Board may determine the terms, conditions and manner of redemption of such shares, provided it does so before the shares are allotted.</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General Meetings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convene a general meeting whenever it thinks fit.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Companies Act 2006, an annual general meeting shall be called on not less than 21 clear days’ notice. All other general meetings shall be called by not less than 14 clear days’ notice.</w:t>
      </w:r>
      <w:r>
        <w:br w:type="page"/>
      </w:r>
    </w:p>
    <w:p>
      <w:pPr>
        <w:pStyle w:val="TextBody"/>
        <w:spacing w:before="0" w:after="0"/>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351790"/>
                <wp:effectExtent l="0" t="0" r="0" b="0"/>
                <wp:wrapNone/>
                <wp:docPr id="133" name="Frame132"/>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quorum for a general meeting is two shareholders present in person or by proxy and entitled to vote.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and, at any general meeting, the chairman of the meeting may make any arrangement and impose any requirement or restriction which it or he considers appropriate to ensure the security or orderly conduct of the meeting. This may include requirements for evidence of identity to be produced by those attending, the searching of their personal property and the restriction of items which may be taken into the meeting place.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Appointment of Directors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Unless otherwise determined by ordinary resolution, there shall be no maximum number of directors, but the number of directors shall not be less than two. Subject to the Companies Act 2006 and the Articles, we may by 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appoint any director to hold any employment or executive office in our company and may also revoke or terminate any such appointment (without prejudice to any claim for damages for breach of any service contract between the director and our company). The Board may by 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appoint any director to hold any employment or executive office in our company and may also revoke or terminate any such appointment (without prejudice to any claim for damages for breach of any service contract between the director and our company).</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Retirement and Removal of Directors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Articles provide that at each annual general meeting of our company, one-third of the directors who are subject to retirement by rotation or, if their number is not three, the number nearest to but not exceeding one third shall retire from office unless there are fewer than three directors who are subject to retirement by rotation, in which case only one shall retire from office. However, in accordance with the U.K. Corporate Governance Code and best practice, at each annual general meeting all of our directors retire from office and put themselves forward for re-election. In addition, any director who has been a director at each of the preceding two annual general meetings shall also retire. Each such director may, if eligible, offer himself for re-election. If our company, at the meeting at which a director retires, does not fill the vacancy the retiring director shall, if willing, be deemed to have been reappointed unless it is expressly resolved not to fill the vacancy or a resolution for the reappointment of the director is put to the meeting and lost.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Without prejudice to the provisions of the Companies Act 2006, our company may by ordinary resolution remove any director before the expiration of his period of office and may by ordinary resolution appoint another director in his place.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Directors’ Interests</w:t>
      </w:r>
      <w:r>
        <w:br w:type="page"/>
      </w:r>
    </w:p>
    <w:p>
      <w:pPr>
        <w:pStyle w:val="TextBody"/>
        <w:spacing w:before="0" w:after="0"/>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351790"/>
                <wp:effectExtent l="0" t="0" r="0" b="0"/>
                <wp:wrapNone/>
                <wp:docPr id="134" name="Frame133"/>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Companies Act 2006 and provided that he has disclosed to the directors the nature and extent of any interest, a director is able to enter into contracts or other arrangements with us, hold any other office (except auditor) with us or be a director, employee or otherwise interested in any company in which our company is interested. Such a director shall not be liable to account to us for any profit, remuneration or other benefit realized by any such office, employment, contract, arrangement or proposal.</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Save as otherwise provided by the Articles, a director shall not vote on, or be counted in the quorum in relation to, any resolution of the Board concerning any contract, arrangement, transaction or proposal to which our company is or is to be a party and in which he (together with any person connected with him) is to his knowledge materially interested, directly or indirectly. Interests of which the director is not aware, interests which cannot reasonably be regarded as likely to give rise to a conflict of interest and interests arising purely as a result of an interest in our company’s shares, debentures or other securities are disregarded. However, a director can vote and be counted in the quorum where the resolution relates to any of the following:</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giving of any guarantee, security or indemnity in respect of (i) money lent or obligations incurred by him or by any other person at the request of or for the benefit of our company or any of its subsidiary undertakings or (ii) a debt or obligation of our company or any of its subsidiary undertakings for which the director himself has assumed responsibility in whole or in part under a guarantee or indemnity or by the giving of security;</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participation of the director, in an offer of securities of our company or any of its subsidiary undertakings, including participation in the underwriting or sub-underwriting of the offer;</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proposal involving another company in which he and any persons connected with him has a direct or indirect interest of any kind, unless he and any persons connected with him hold an interest in shares representing one percent or more of either any class of equity share capital, or the voting rights, in such company;</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arrangement for the benefit of employees of our company or of any of its subsidiary undertakings which does not award the director any privilege or benefit not generally awarded to the employees to whom such arrangement relates;</w:t>
            </w:r>
          </w:p>
        </w:tc>
      </w:tr>
    </w:tbl>
    <w:p>
      <w:pPr>
        <w:pStyle w:val="TextBody"/>
        <w:spacing w:lineRule="auto" w:line="333" w:before="120" w:after="283"/>
        <w:rPr>
          <w:color w:val="000000"/>
          <w:highlight w:val="white"/>
        </w:rPr>
      </w:pPr>
      <w:r>
        <w:rPr>
          <w:color w:val="000000"/>
          <w:highlight w:val="white"/>
        </w:rPr>
        <w:t> </w:t>
      </w:r>
    </w:p>
    <w:tbl>
      <w:tblPr>
        <w:tblW w:w="981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580"/>
        <w:gridCol w:w="2580"/>
        <w:gridCol w:w="36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2580" w:type="dxa"/>
            <w:tcBorders/>
            <w:shd w:fill="auto" w:val="clear"/>
            <w:vAlign w:val="center"/>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proposal concerning the purchase or maintenance of any insurance policy under which he may benefit;</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proposal concerning indemnities in favor of directors or the funding of expenditure by one or more directors on defending proceedings against such director(s).</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director shall not vote or be counted in the quorum on any resolution of the Board concerning his own appointment (including fixing or varying the terms of his appointment or its termination) as the holder of any office or place of profit with our company or any company in which our company is interested.</w:t>
      </w:r>
      <w:r>
        <w:br w:type="page"/>
      </w:r>
    </w:p>
    <w:p>
      <w:pPr>
        <w:pStyle w:val="TextBody"/>
        <w:spacing w:before="0" w:after="0"/>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351790"/>
                <wp:effectExtent l="0" t="0" r="0" b="0"/>
                <wp:wrapNone/>
                <wp:docPr id="135" name="Frame134"/>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Board may authorize any matter that would otherwise involve a Director breaching his duty under the Companies Act 2006 to avoid conflicts of interest, provided that the interested director(s) do not vote or count in the quorum in relation to any resolution authorizing the matter. The Board may authorize the relevant matter on such terms as it may determine including:</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88"/>
        <w:gridCol w:w="2688"/>
        <w:gridCol w:w="38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2688" w:type="dxa"/>
            <w:tcBorders/>
            <w:shd w:fill="auto" w:val="clear"/>
            <w:vAlign w:val="center"/>
          </w:tcPr>
          <w:p>
            <w:pPr>
              <w:pStyle w:val="TableContents"/>
              <w:spacing w:before="0" w:after="283"/>
              <w:rPr>
                <w:sz w:val="4"/>
                <w:szCs w:val="4"/>
              </w:rPr>
            </w:pPr>
            <w:r>
              <w:rPr>
                <w:sz w:val="4"/>
                <w:szCs w:val="4"/>
              </w:rPr>
            </w:r>
          </w:p>
        </w:tc>
        <w:tc>
          <w:tcPr>
            <w:tcW w:w="38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the interested director(s) may vote or be counted in the quorum in relation to any resolution relating to the relevant matter;</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2694" w:type="dxa"/>
            <w:tcBorders/>
            <w:shd w:fill="auto" w:val="clear"/>
            <w:vAlign w:val="center"/>
          </w:tcPr>
          <w:p>
            <w:pPr>
              <w:pStyle w:val="TableContents"/>
              <w:spacing w:before="0" w:after="283"/>
              <w:rPr>
                <w:sz w:val="4"/>
                <w:szCs w:val="4"/>
              </w:rPr>
            </w:pPr>
            <w:r>
              <w:rPr>
                <w:sz w:val="4"/>
                <w:szCs w:val="4"/>
              </w:rPr>
            </w:r>
          </w:p>
        </w:tc>
        <w:tc>
          <w:tcPr>
            <w:tcW w:w="382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exclusion of the interested director(s) from all information and discussion by our company of the relevant matter; and</w:t>
            </w:r>
          </w:p>
        </w:tc>
      </w:tr>
    </w:tbl>
    <w:p>
      <w:pPr>
        <w:pStyle w:val="TextBody"/>
        <w:spacing w:lineRule="auto" w:line="333" w:before="120" w:after="283"/>
        <w:rPr>
          <w:color w:val="000000"/>
          <w:highlight w:val="white"/>
        </w:rPr>
      </w:pPr>
      <w:r>
        <w:rPr>
          <w:color w:val="000000"/>
          <w:highlight w:val="white"/>
        </w:rPr>
        <w:t> </w:t>
      </w:r>
    </w:p>
    <w:tbl>
      <w:tblPr>
        <w:tblW w:w="708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783"/>
        <w:gridCol w:w="1783"/>
        <w:gridCol w:w="25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imposition of confidentiality obligations on the interested director(s).</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 interested director must act in accordance with any terms determined by the Board. An authorization of a relevant matter may also provide that where the interested director obtains information that is confidential to a third party (other than through his position as director) he will not be obliged to disclose it to our company or to use it in relation to our company’s affairs, if to do so would amount to a breach of that confidence.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Powers of the Directors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Subject to the Articles and to any directions given by special resolution of the Company, the business of the Company shall be managed by the Board, which may exercise all the powers of the Company whether relating to the management of the business or not.</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Differences in Corporate Law</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applicable provisions of the Companies Act 2006 differ from laws applicable to U.S. corporations and their shareholders. Set forth below is a summary of certain differences between the provisions of the Companies Act 2006 applicable to us and the Delaware General Corporation Law relating to shareholders’ rights and protections. This summary is not intended to be a complete discussion of the respective rights and it is qualified in its entirety by reference to Delaware law and English law.</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378"/>
        <w:gridCol w:w="332"/>
        <w:gridCol w:w="334"/>
        <w:gridCol w:w="109"/>
        <w:gridCol w:w="109"/>
        <w:gridCol w:w="109"/>
        <w:gridCol w:w="1665"/>
        <w:gridCol w:w="1665"/>
        <w:gridCol w:w="1668"/>
        <w:gridCol w:w="109"/>
        <w:gridCol w:w="109"/>
        <w:gridCol w:w="109"/>
        <w:gridCol w:w="1025"/>
        <w:gridCol w:w="1025"/>
        <w:gridCol w:w="1459"/>
      </w:tblGrid>
      <w:tr>
        <w:trPr/>
        <w:tc>
          <w:tcPr>
            <w:tcW w:w="37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1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ENGLAND AND WALES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r>
      <w:tr>
        <w:trPr/>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public limited company must have at least two directors and the number of directors may be fixed by or in the manner provided in a company’s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corporation must have at least one director and the number of directors shall be fixed by or in the manner provided in the bylaws.</w:t>
            </w:r>
          </w:p>
        </w:tc>
      </w:tr>
    </w:tbl>
    <w:p>
      <w:pPr>
        <w:pStyle w:val="TextBody"/>
        <w:spacing w:lineRule="auto" w:line="333" w:before="120" w:after="283"/>
        <w:rPr>
          <w:color w:val="000000"/>
          <w:highlight w:val="white"/>
        </w:rPr>
      </w:pPr>
      <w:r>
        <w:rPr>
          <w:color w:val="000000"/>
          <w:highlight w:val="white"/>
        </w:rPr>
        <w:t> </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351790"/>
                <wp:effectExtent l="0" t="0" r="0" b="0"/>
                <wp:wrapNone/>
                <wp:docPr id="136" name="Frame135"/>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34"/>
        <w:gridCol w:w="305"/>
        <w:gridCol w:w="307"/>
        <w:gridCol w:w="109"/>
        <w:gridCol w:w="109"/>
        <w:gridCol w:w="109"/>
        <w:gridCol w:w="1411"/>
        <w:gridCol w:w="1411"/>
        <w:gridCol w:w="1414"/>
        <w:gridCol w:w="109"/>
        <w:gridCol w:w="109"/>
        <w:gridCol w:w="109"/>
        <w:gridCol w:w="1248"/>
        <w:gridCol w:w="1248"/>
        <w:gridCol w:w="1773"/>
      </w:tblGrid>
      <w:tr>
        <w:trPr/>
        <w:tc>
          <w:tcPr>
            <w:tcW w:w="43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r>
      <w:tr>
        <w:trPr/>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tc>
      </w:tr>
      <w:tr>
        <w:trPr/>
        <w:tc>
          <w:tcPr>
            <w:tcW w:w="1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Vacancies on the Board of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351790"/>
                <wp:effectExtent l="0" t="0" r="0" b="0"/>
                <wp:wrapNone/>
                <wp:docPr id="137" name="Frame136"/>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75"/>
        <w:gridCol w:w="329"/>
        <w:gridCol w:w="330"/>
        <w:gridCol w:w="109"/>
        <w:gridCol w:w="109"/>
        <w:gridCol w:w="109"/>
        <w:gridCol w:w="1352"/>
        <w:gridCol w:w="1352"/>
        <w:gridCol w:w="1355"/>
        <w:gridCol w:w="109"/>
        <w:gridCol w:w="109"/>
        <w:gridCol w:w="109"/>
        <w:gridCol w:w="1303"/>
        <w:gridCol w:w="1303"/>
        <w:gridCol w:w="1852"/>
      </w:tblGrid>
      <w:tr>
        <w:trPr/>
        <w:tc>
          <w:tcPr>
            <w:tcW w:w="37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General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public limited company must hold an annual general meeting within the six-month period following the company’s annual accounting reference date.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the annual meeting of stockholders shall be held at such place, on such date and at such time as may be designated from time to time by the board of directors or as provided in the certificate of incorporation or by the bylaws.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328"/>
        <w:gridCol w:w="287"/>
        <w:gridCol w:w="289"/>
        <w:gridCol w:w="109"/>
        <w:gridCol w:w="109"/>
        <w:gridCol w:w="109"/>
        <w:gridCol w:w="1759"/>
        <w:gridCol w:w="1759"/>
        <w:gridCol w:w="1763"/>
        <w:gridCol w:w="109"/>
        <w:gridCol w:w="109"/>
        <w:gridCol w:w="109"/>
        <w:gridCol w:w="984"/>
        <w:gridCol w:w="984"/>
        <w:gridCol w:w="1398"/>
      </w:tblGrid>
      <w:tr>
        <w:trPr/>
        <w:tc>
          <w:tcPr>
            <w:tcW w:w="32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r>
      <w:tr>
        <w:trPr/>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81"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general meeting of the shareholders of a public limited company may be called by the directors.</w:t>
            </w:r>
          </w:p>
          <w:p>
            <w:pPr>
              <w:pStyle w:val="TableContents"/>
              <w:spacing w:lineRule="auto" w:line="333" w:before="0" w:after="0"/>
              <w:jc w:val="left"/>
              <w:rPr>
                <w:color w:val="000000"/>
              </w:rPr>
            </w:pPr>
            <w:r>
              <w:rPr>
                <w:color w:val="000000"/>
              </w:rPr>
              <w:t>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holding at least 5 percent of the paid-up capital of the company carrying voting rights at general meetings can require the directors to call a general meeting and, if the directors fail to do so within 21 days (with the meeting to be held not more than 28 days after the date of the notice), may themselves convene a general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special meetings of the stockholders may be called by the board of directors or by such person or persons as may be authorized by the certificate of incorporation or by the bylaws.</w:t>
            </w:r>
          </w:p>
        </w:tc>
      </w:tr>
      <w:tr>
        <w:trPr/>
        <w:tc>
          <w:tcPr>
            <w:tcW w:w="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351790"/>
                <wp:effectExtent l="0" t="0" r="0" b="0"/>
                <wp:wrapNone/>
                <wp:docPr id="138" name="Frame137"/>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52"/>
        <w:gridCol w:w="310"/>
        <w:gridCol w:w="311"/>
        <w:gridCol w:w="109"/>
        <w:gridCol w:w="109"/>
        <w:gridCol w:w="109"/>
        <w:gridCol w:w="1859"/>
        <w:gridCol w:w="1859"/>
        <w:gridCol w:w="1864"/>
        <w:gridCol w:w="109"/>
        <w:gridCol w:w="109"/>
        <w:gridCol w:w="109"/>
        <w:gridCol w:w="875"/>
        <w:gridCol w:w="875"/>
        <w:gridCol w:w="1246"/>
      </w:tblGrid>
      <w:tr>
        <w:trPr/>
        <w:tc>
          <w:tcPr>
            <w:tcW w:w="3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1859"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General Meetings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percent of those entitled to attend and vote in the case of an annual general meeting and, in the case of any other general meeting, a majority in number of the members having a right to attend and vote at the meeting, being a majority who together hold not less than 95 percent in nominal value of the shares giving a right to attend and vote at the meeting.</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82"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at any meeting of shareholders, a shareholder may designate another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person to attend, speak and vote at the meeting on their behalf by proxy.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tc>
      </w:tr>
    </w:tbl>
    <w:p>
      <w:pPr>
        <w:pStyle w:val="TextBody"/>
        <w:spacing w:lineRule="auto" w:line="333" w:before="120" w:after="283"/>
        <w:rPr>
          <w:color w:val="000000"/>
          <w:highlight w:val="white"/>
        </w:rPr>
      </w:pPr>
      <w:r>
        <w:rPr>
          <w:color w:val="000000"/>
          <w:highlight w:val="white"/>
        </w:rPr>
        <w:t> </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351790"/>
                <wp:effectExtent l="0" t="0" r="0" b="0"/>
                <wp:wrapNone/>
                <wp:docPr id="139" name="Frame138"/>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09"/>
        <w:gridCol w:w="535"/>
        <w:gridCol w:w="537"/>
        <w:gridCol w:w="109"/>
        <w:gridCol w:w="109"/>
        <w:gridCol w:w="109"/>
        <w:gridCol w:w="1724"/>
        <w:gridCol w:w="1724"/>
        <w:gridCol w:w="1728"/>
        <w:gridCol w:w="109"/>
        <w:gridCol w:w="109"/>
        <w:gridCol w:w="109"/>
        <w:gridCol w:w="787"/>
        <w:gridCol w:w="787"/>
        <w:gridCol w:w="1120"/>
      </w:tblGrid>
      <w:tr>
        <w:trPr/>
        <w:tc>
          <w:tcPr>
            <w:tcW w:w="6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1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Pre-emptive Rights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shareholders have no preemptive rights to subscribe to additional issues of stock or to any security convertible into such stock unless, and except to the extent that, such rights are expressly provided for in the certificate of incorporation.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351790"/>
                <wp:effectExtent l="0" t="0" r="0" b="0"/>
                <wp:wrapNone/>
                <wp:docPr id="140" name="Frame139"/>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44"/>
        <w:gridCol w:w="302"/>
        <w:gridCol w:w="304"/>
        <w:gridCol w:w="109"/>
        <w:gridCol w:w="109"/>
        <w:gridCol w:w="109"/>
        <w:gridCol w:w="1646"/>
        <w:gridCol w:w="1646"/>
        <w:gridCol w:w="1650"/>
        <w:gridCol w:w="109"/>
        <w:gridCol w:w="109"/>
        <w:gridCol w:w="109"/>
        <w:gridCol w:w="1069"/>
        <w:gridCol w:w="1069"/>
        <w:gridCol w:w="1521"/>
      </w:tblGrid>
      <w:tr>
        <w:trPr/>
        <w:tc>
          <w:tcPr>
            <w:tcW w:w="34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r>
      <w:tr>
        <w:trPr/>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to Allot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42"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pPr>
            <w:r>
              <w:rPr>
                <w:rFonts w:ascii="Times New Roman;sans-serif" w:hAnsi="Times New Roman;sans-serif"/>
                <w:b w:val="false"/>
                <w:color w:val="000000"/>
                <w:sz w:val="20"/>
              </w:rPr>
              <w:t>Under the Companies Act 2006 the directors of a 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r>
              <w:rPr>
                <w:color w:val="000000"/>
              </w:rPr>
              <w:t xml:space="preserve"> </w:t>
            </w:r>
            <w:r>
              <w:rPr>
                <w:rFonts w:ascii="Times New Roman;sans-serif" w:hAnsi="Times New Roman;sans-serif"/>
                <w:b w:val="false"/>
                <w:color w:val="000000"/>
                <w:sz w:val="20"/>
              </w:rPr>
              <w:t>default, breach of duty or breach of trust in relation to the company is void.</w:t>
            </w:r>
          </w:p>
          <w:p>
            <w:pPr>
              <w:pStyle w:val="TableContents"/>
              <w:spacing w:lineRule="auto" w:line="333" w:before="0" w:after="0"/>
              <w:jc w:val="left"/>
              <w:rPr>
                <w:color w:val="000000"/>
              </w:rPr>
            </w:pPr>
            <w:r>
              <w:rPr>
                <w:color w:val="000000"/>
              </w:rPr>
              <w:t>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not convicted); and (c) provide a “qualifying pension scheme indemnity” (being an indemnity against liability incurred in connection with the company’s activities as trustee of an occupational pension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59"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pPr>
            <w:r>
              <w:rPr>
                <w:rFonts w:ascii="Times New Roman;sans-serif" w:hAnsi="Times New Roman;sans-serif"/>
                <w:b w:val="false"/>
                <w:color w:val="000000"/>
                <w:sz w:val="20"/>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r>
              <w:rPr>
                <w:color w:val="000000"/>
              </w:rPr>
              <w:t xml:space="preserve"> </w:t>
            </w:r>
            <w:r>
              <w:rPr>
                <w:rFonts w:ascii="Times New Roman;sans-serif" w:hAnsi="Times New Roman;sans-serif"/>
                <w:b w:val="false"/>
                <w:color w:val="000000"/>
                <w:sz w:val="20"/>
              </w:rPr>
              <w:t>can limit the liability of a director for:</w:t>
            </w:r>
          </w:p>
          <w:p>
            <w:pPr>
              <w:pStyle w:val="TableContents"/>
              <w:spacing w:lineRule="auto" w:line="333" w:before="0" w:after="0"/>
              <w:jc w:val="left"/>
              <w:rPr>
                <w:color w:val="000000"/>
              </w:rPr>
            </w:pPr>
            <w:r>
              <w:rPr>
                <w:color w:val="000000"/>
              </w:rPr>
              <w:t> </w:t>
            </w:r>
          </w:p>
          <w:p>
            <w:pPr>
              <w:pStyle w:val="TableContents"/>
              <w:spacing w:lineRule="auto" w:line="333" w:before="0" w:after="0"/>
              <w:jc w:val="left"/>
              <w:rPr>
                <w:color w:val="000000"/>
              </w:rPr>
            </w:pPr>
            <w:r>
              <w:rPr>
                <w:color w:val="000000"/>
              </w:rPr>
              <w:t>•  </w:t>
            </w:r>
            <w:r>
              <w:rPr>
                <w:rFonts w:ascii="Times New Roman;sans-serif" w:hAnsi="Times New Roman;sans-serif"/>
                <w:b w:val="false"/>
                <w:color w:val="000000"/>
                <w:sz w:val="20"/>
              </w:rPr>
              <w:t>any breach of the director’s duty of loyalty to the corporation or its stockholders;</w:t>
            </w:r>
          </w:p>
          <w:p>
            <w:pPr>
              <w:pStyle w:val="TableContents"/>
              <w:spacing w:lineRule="auto" w:line="333" w:before="0" w:after="0"/>
              <w:jc w:val="left"/>
              <w:rPr>
                <w:color w:val="000000"/>
              </w:rPr>
            </w:pPr>
            <w:r>
              <w:rPr>
                <w:color w:val="000000"/>
              </w:rPr>
              <w:t> </w:t>
            </w:r>
          </w:p>
          <w:p>
            <w:pPr>
              <w:pStyle w:val="TableContents"/>
              <w:spacing w:lineRule="auto" w:line="333" w:before="0" w:after="0"/>
              <w:jc w:val="left"/>
              <w:rPr>
                <w:color w:val="000000"/>
              </w:rPr>
            </w:pPr>
            <w:r>
              <w:rPr>
                <w:color w:val="000000"/>
              </w:rPr>
              <w:t>•  </w:t>
            </w:r>
            <w:r>
              <w:rPr>
                <w:rFonts w:ascii="Times New Roman;sans-serif" w:hAnsi="Times New Roman;sans-serif"/>
                <w:b w:val="false"/>
                <w:color w:val="000000"/>
                <w:sz w:val="20"/>
              </w:rPr>
              <w:t>acts or omissions not in good faith or that involve intentional misconduct or a knowing violation of law;</w:t>
            </w:r>
          </w:p>
          <w:p>
            <w:pPr>
              <w:pStyle w:val="TableContents"/>
              <w:spacing w:lineRule="auto" w:line="333" w:before="0" w:after="0"/>
              <w:jc w:val="left"/>
              <w:rPr>
                <w:color w:val="000000"/>
              </w:rPr>
            </w:pPr>
            <w:r>
              <w:rPr>
                <w:color w:val="000000"/>
              </w:rPr>
              <w:t> </w:t>
            </w:r>
          </w:p>
          <w:p>
            <w:pPr>
              <w:pStyle w:val="TableContents"/>
              <w:spacing w:lineRule="auto" w:line="333" w:before="0" w:after="0"/>
              <w:jc w:val="left"/>
              <w:rPr>
                <w:color w:val="000000"/>
              </w:rPr>
            </w:pPr>
            <w:r>
              <w:rPr>
                <w:color w:val="000000"/>
              </w:rPr>
              <w:t>•  </w:t>
            </w:r>
            <w:r>
              <w:rPr>
                <w:rFonts w:ascii="Times New Roman;sans-serif" w:hAnsi="Times New Roman;sans-serif"/>
                <w:b w:val="false"/>
                <w:color w:val="000000"/>
                <w:sz w:val="20"/>
              </w:rPr>
              <w:t>intentional or negligent payment of unlawful dividends or stock purchases or redemptions; or</w:t>
            </w:r>
          </w:p>
          <w:p>
            <w:pPr>
              <w:pStyle w:val="TableContents"/>
              <w:spacing w:lineRule="auto" w:line="333" w:before="0" w:after="0"/>
              <w:jc w:val="left"/>
              <w:rPr>
                <w:color w:val="000000"/>
              </w:rPr>
            </w:pPr>
            <w:r>
              <w:rPr>
                <w:color w:val="000000"/>
              </w:rPr>
              <w:t> </w:t>
            </w:r>
          </w:p>
          <w:p>
            <w:pPr>
              <w:pStyle w:val="TableContents"/>
              <w:spacing w:lineRule="auto" w:line="333" w:before="0" w:after="30"/>
              <w:jc w:val="left"/>
              <w:rPr>
                <w:color w:val="000000"/>
              </w:rPr>
            </w:pPr>
            <w:r>
              <w:rPr>
                <w:color w:val="000000"/>
              </w:rPr>
              <w:t>•  </w:t>
            </w:r>
            <w:r>
              <w:rPr>
                <w:rFonts w:ascii="Times New Roman;sans-serif" w:hAnsi="Times New Roman;sans-serif"/>
                <w:b w:val="false"/>
                <w:color w:val="000000"/>
                <w:sz w:val="20"/>
              </w:rPr>
              <w:t>any transaction from which the director derives an improper personal benefit</w:t>
            </w:r>
          </w:p>
        </w:tc>
      </w:tr>
    </w:tbl>
    <w:p>
      <w:pPr>
        <w:pStyle w:val="TextBody"/>
        <w:spacing w:before="120" w:after="283"/>
        <w:rPr/>
      </w:pPr>
      <w:r>
        <w:rPr/>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351790"/>
                <wp:effectExtent l="0" t="0" r="0" b="0"/>
                <wp:wrapNone/>
                <wp:docPr id="141" name="Frame140"/>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65"/>
        <w:gridCol w:w="233"/>
        <w:gridCol w:w="234"/>
        <w:gridCol w:w="109"/>
        <w:gridCol w:w="109"/>
        <w:gridCol w:w="109"/>
        <w:gridCol w:w="109"/>
        <w:gridCol w:w="109"/>
        <w:gridCol w:w="109"/>
        <w:gridCol w:w="2057"/>
        <w:gridCol w:w="2057"/>
        <w:gridCol w:w="2062"/>
        <w:gridCol w:w="109"/>
        <w:gridCol w:w="109"/>
        <w:gridCol w:w="109"/>
        <w:gridCol w:w="676"/>
        <w:gridCol w:w="676"/>
        <w:gridCol w:w="964"/>
      </w:tblGrid>
      <w:tr>
        <w:trPr/>
        <w:tc>
          <w:tcPr>
            <w:tcW w:w="26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Rights</w:t>
            </w:r>
          </w:p>
        </w:tc>
        <w:tc>
          <w:tcPr>
            <w:tcW w:w="6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76"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unless a poll is demanded by the 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percent of the total voting rights of all the shareholders having the right to vote on the resolution; or (c) any shareholder(s) holding shares in the company conferring a right to vote on the resolution being shares on which an aggregate sum has been paid up equal to not less than 10 percent of the total sum paid up on all the shares conferring that right. A company’s articles of association may provide more extensive rights for shareholders to call a poll.</w:t>
            </w:r>
          </w:p>
          <w:p>
            <w:pPr>
              <w:pStyle w:val="TableContents"/>
              <w:spacing w:lineRule="auto" w:line="333" w:before="0" w:after="0"/>
              <w:jc w:val="left"/>
              <w:rPr>
                <w:color w:val="000000"/>
              </w:rPr>
            </w:pPr>
            <w:r>
              <w:rPr>
                <w:color w:val="000000"/>
              </w:rPr>
              <w:t>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an ordinary resolution is passed on a show of hands if it is approved by a simple majority (more than 50 percent)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percent of the votes cast by shareholders present, in person or by proxy, at the meeting and entitled to vote.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provides that, unless otherwise provided in the certificate of incorporation, each stockholder is entitled to one vote for each share of capital stock held by such stockholder.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351790"/>
                <wp:effectExtent l="0" t="0" r="0" b="0"/>
                <wp:wrapNone/>
                <wp:docPr id="142" name="Frame141"/>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24"/>
        <w:gridCol w:w="460"/>
        <w:gridCol w:w="461"/>
        <w:gridCol w:w="109"/>
        <w:gridCol w:w="109"/>
        <w:gridCol w:w="109"/>
        <w:gridCol w:w="732"/>
        <w:gridCol w:w="732"/>
        <w:gridCol w:w="732"/>
        <w:gridCol w:w="732"/>
        <w:gridCol w:w="732"/>
        <w:gridCol w:w="745"/>
        <w:gridCol w:w="109"/>
        <w:gridCol w:w="109"/>
        <w:gridCol w:w="109"/>
        <w:gridCol w:w="1081"/>
        <w:gridCol w:w="1081"/>
        <w:gridCol w:w="1539"/>
      </w:tblGrid>
      <w:tr>
        <w:trPr/>
        <w:tc>
          <w:tcPr>
            <w:tcW w:w="52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r>
      <w:tr>
        <w:trPr/>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Vote on Certain Transactions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05" w:type="dxa"/>
            <w:gridSpan w:val="6"/>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p>
            <w:pPr>
              <w:pStyle w:val="TableContents"/>
              <w:spacing w:lineRule="auto" w:line="333" w:before="0" w:after="0"/>
              <w:jc w:val="left"/>
              <w:rPr>
                <w:color w:val="000000"/>
              </w:rPr>
            </w:pPr>
            <w:r>
              <w:rPr>
                <w:color w:val="000000"/>
              </w:rPr>
              <w:t> </w:t>
            </w:r>
          </w:p>
          <w:p>
            <w:pPr>
              <w:pStyle w:val="TableContents"/>
              <w:spacing w:lineRule="auto" w:line="333" w:before="0" w:after="20"/>
              <w:ind w:left="0" w:right="0" w:hanging="360"/>
              <w:jc w:val="left"/>
              <w:rPr/>
            </w:pPr>
            <w:r>
              <w:rPr>
                <w:color w:val="000000"/>
              </w:rPr>
              <w:t>•  </w:t>
            </w:r>
            <w:r>
              <w:rPr>
                <w:rFonts w:ascii="Times New Roman;sans-serif" w:hAnsi="Times New Roman;sans-serif"/>
                <w:b w:val="false"/>
                <w:color w:val="000000"/>
                <w:sz w:val="20"/>
              </w:rPr>
              <w:t>the approval at a shareholders’ or creditors’ meeting convened by order of the court, of a majority in number of shareholders or creditors representing 75 percent in value of the capital held by, or debt owed</w:t>
            </w:r>
            <w:r>
              <w:rPr>
                <w:color w:val="000000"/>
              </w:rPr>
              <w:t xml:space="preserve"> </w:t>
            </w:r>
            <w:r>
              <w:rPr>
                <w:rFonts w:ascii="Times New Roman;sans-serif" w:hAnsi="Times New Roman;sans-serif"/>
                <w:b w:val="false"/>
                <w:color w:val="000000"/>
                <w:sz w:val="20"/>
              </w:rPr>
              <w:t>to, the class of shareholders or creditors, or class thereof present and voting, either in person or by proxy; and</w:t>
            </w:r>
          </w:p>
          <w:p>
            <w:pPr>
              <w:pStyle w:val="TableContents"/>
              <w:spacing w:lineRule="auto" w:line="333" w:before="0" w:after="20"/>
              <w:ind w:left="0" w:right="0" w:hanging="360"/>
              <w:jc w:val="left"/>
              <w:rPr>
                <w:color w:val="000000"/>
              </w:rPr>
            </w:pPr>
            <w:r>
              <w:rPr>
                <w:color w:val="000000"/>
              </w:rPr>
              <w:t> </w:t>
            </w:r>
          </w:p>
          <w:p>
            <w:pPr>
              <w:pStyle w:val="TableContents"/>
              <w:spacing w:lineRule="auto" w:line="333" w:before="0" w:after="30"/>
              <w:ind w:left="0" w:right="0" w:hanging="360"/>
              <w:jc w:val="left"/>
              <w:rPr>
                <w:color w:val="000000"/>
              </w:rPr>
            </w:pPr>
            <w:r>
              <w:rPr>
                <w:color w:val="000000"/>
              </w:rPr>
              <w:t>•  </w:t>
            </w:r>
            <w:r>
              <w:rPr>
                <w:rFonts w:ascii="Times New Roman;sans-serif" w:hAnsi="Times New Roman;sans-serif"/>
                <w:b w:val="false"/>
                <w:color w:val="000000"/>
                <w:sz w:val="20"/>
              </w:rPr>
              <w:t>the approval of the court.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01"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the approval of the board of directors; and</w:t>
            </w:r>
          </w:p>
          <w:p>
            <w:pPr>
              <w:pStyle w:val="TableContents"/>
              <w:spacing w:lineRule="auto" w:line="333" w:before="0" w:after="0"/>
              <w:jc w:val="left"/>
              <w:rPr>
                <w:color w:val="000000"/>
              </w:rPr>
            </w:pPr>
            <w:r>
              <w:rPr>
                <w:color w:val="000000"/>
              </w:rPr>
              <w:t> </w:t>
            </w:r>
          </w:p>
          <w:p>
            <w:pPr>
              <w:pStyle w:val="TableContents"/>
              <w:spacing w:lineRule="auto" w:line="333" w:before="0" w:after="30"/>
              <w:ind w:left="0" w:right="0" w:hanging="360"/>
              <w:jc w:val="left"/>
              <w:rPr/>
            </w:pPr>
            <w:r>
              <w:rPr>
                <w:color w:val="000000"/>
              </w:rPr>
              <w:t>•  </w:t>
            </w:r>
            <w:r>
              <w:rPr>
                <w:rFonts w:ascii="Times New Roman;sans-serif" w:hAnsi="Times New Roman;sans-serif"/>
                <w:b w:val="false"/>
                <w:color w:val="000000"/>
                <w:sz w:val="20"/>
              </w:rPr>
              <w:t>approval by the vote of the holders of a majority of the outstanding stock or, if the certificate of incorporation provides for more or less than one vote per share, a majority of the votes of the</w:t>
            </w:r>
            <w:r>
              <w:rPr>
                <w:color w:val="000000"/>
              </w:rPr>
              <w:t xml:space="preserve"> </w:t>
            </w:r>
            <w:r>
              <w:rPr>
                <w:rFonts w:ascii="Times New Roman;sans-serif" w:hAnsi="Times New Roman;sans-serif"/>
                <w:b w:val="false"/>
                <w:color w:val="000000"/>
                <w:sz w:val="20"/>
              </w:rPr>
              <w:t>outstanding stock of a corporation entitled to vote on the matter.</w:t>
            </w:r>
          </w:p>
        </w:tc>
      </w:tr>
    </w:tbl>
    <w:p>
      <w:pPr>
        <w:pStyle w:val="TextBody"/>
        <w:spacing w:lineRule="auto" w:line="333" w:before="120" w:after="283"/>
        <w:rPr>
          <w:color w:val="000000"/>
          <w:highlight w:val="white"/>
        </w:rPr>
      </w:pPr>
      <w:r>
        <w:rPr>
          <w:color w:val="000000"/>
          <w:highlight w:val="white"/>
        </w:rPr>
        <w:t> </w:t>
      </w:r>
    </w:p>
    <w:p>
      <w:pPr>
        <w:pStyle w:val="TextBody"/>
        <w:spacing w:before="100" w:after="10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351790"/>
                <wp:effectExtent l="0" t="0" r="0" b="0"/>
                <wp:wrapNone/>
                <wp:docPr id="143" name="Frame142"/>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55"/>
        <w:gridCol w:w="311"/>
        <w:gridCol w:w="313"/>
        <w:gridCol w:w="109"/>
        <w:gridCol w:w="109"/>
        <w:gridCol w:w="109"/>
        <w:gridCol w:w="537"/>
        <w:gridCol w:w="537"/>
        <w:gridCol w:w="539"/>
        <w:gridCol w:w="109"/>
        <w:gridCol w:w="109"/>
        <w:gridCol w:w="109"/>
        <w:gridCol w:w="2036"/>
        <w:gridCol w:w="2036"/>
        <w:gridCol w:w="2887"/>
      </w:tblGrid>
      <w:tr>
        <w:trPr/>
        <w:tc>
          <w:tcPr>
            <w:tcW w:w="35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r>
      <w:tr>
        <w:trPr/>
        <w:tc>
          <w:tcPr>
            <w:tcW w:w="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of Conduct for Directors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13"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a director owes various statutory and fiduciary duties to the company, including:</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act in the way he considers, in good faith, would be most likely to promote the success of the company for the benefit of its members as a whole;</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avoid a situation in which he has, or can have, a direct or indirect interest that conflicts, or possibly conflicts, with the interests of the company;</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act in accordance with the company’s constitution and only exercise his powers for the purposes for which they are conferred;</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exercise independent judgment;</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exercise reasonable care, skill and diligence;</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not to accept benefits from a third party conferred by reason of his being a director or doing, or not doing, anything as a director; and</w:t>
            </w:r>
          </w:p>
          <w:p>
            <w:pPr>
              <w:pStyle w:val="TableContents"/>
              <w:spacing w:lineRule="auto" w:line="333" w:before="0" w:after="0"/>
              <w:jc w:val="left"/>
              <w:rPr>
                <w:color w:val="000000"/>
              </w:rPr>
            </w:pPr>
            <w:r>
              <w:rPr>
                <w:color w:val="000000"/>
              </w:rPr>
              <w:t> </w:t>
            </w:r>
          </w:p>
          <w:p>
            <w:pPr>
              <w:pStyle w:val="TableContents"/>
              <w:spacing w:lineRule="auto" w:line="333" w:before="0" w:after="30"/>
              <w:ind w:left="0" w:right="0" w:hanging="360"/>
              <w:jc w:val="left"/>
              <w:rPr>
                <w:color w:val="000000"/>
              </w:rPr>
            </w:pPr>
            <w:r>
              <w:rPr>
                <w:color w:val="000000"/>
              </w:rPr>
              <w:t>•  </w:t>
            </w:r>
            <w:r>
              <w:rPr>
                <w:rFonts w:ascii="Times New Roman;sans-serif" w:hAnsi="Times New Roman;sans-serif"/>
                <w:b w:val="false"/>
                <w:color w:val="000000"/>
                <w:sz w:val="20"/>
              </w:rPr>
              <w:t>a duty to declare any interest that he has, whether directly or indirectly, in a proposed or existing transaction or arrangement with the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59"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pStyle w:val="TableContents"/>
              <w:spacing w:lineRule="auto" w:line="333" w:before="0" w:after="0"/>
              <w:jc w:val="left"/>
              <w:rPr>
                <w:color w:val="000000"/>
              </w:rPr>
            </w:pPr>
            <w:r>
              <w:rPr>
                <w:color w:val="000000"/>
              </w:rPr>
              <w:t> </w:t>
            </w:r>
          </w:p>
          <w:p>
            <w:pPr>
              <w:pStyle w:val="TableContents"/>
              <w:spacing w:lineRule="auto" w:line="333" w:before="0" w:after="20"/>
              <w:jc w:val="left"/>
              <w:rPr/>
            </w:pPr>
            <w:r>
              <w:rPr>
                <w:rFonts w:ascii="Times New Roman;sans-serif" w:hAnsi="Times New Roman;sans-serif"/>
                <w:b w:val="false"/>
                <w:color w:val="000000"/>
                <w:sz w:val="20"/>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w:t>
            </w:r>
            <w:r>
              <w:rPr>
                <w:color w:val="000000"/>
              </w:rPr>
              <w:t xml:space="preserve"> </w:t>
            </w:r>
            <w:r>
              <w:rPr>
                <w:rFonts w:ascii="Times New Roman;sans-serif" w:hAnsi="Times New Roman;sans-serif"/>
                <w:b w:val="false"/>
                <w:color w:val="000000"/>
                <w:sz w:val="20"/>
              </w:rPr>
              <w:t>standard of conduct upon directors of a Delaware corporation who take any action designed to defeat a threatened change in control of the corporation.</w:t>
            </w:r>
          </w:p>
          <w:p>
            <w:pPr>
              <w:pStyle w:val="TableContents"/>
              <w:spacing w:lineRule="auto" w:line="333" w:before="0" w:after="20"/>
              <w:jc w:val="left"/>
              <w:rPr>
                <w:color w:val="000000"/>
              </w:rPr>
            </w:pPr>
            <w:r>
              <w:rPr>
                <w:color w:val="000000"/>
              </w:rPr>
              <w:t>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351790"/>
                <wp:effectExtent l="0" t="0" r="0" b="0"/>
                <wp:wrapNone/>
                <wp:docPr id="144" name="Frame143"/>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414"/>
        <w:gridCol w:w="365"/>
        <w:gridCol w:w="366"/>
        <w:gridCol w:w="109"/>
        <w:gridCol w:w="109"/>
        <w:gridCol w:w="109"/>
        <w:gridCol w:w="1980"/>
        <w:gridCol w:w="1980"/>
        <w:gridCol w:w="1984"/>
        <w:gridCol w:w="109"/>
        <w:gridCol w:w="109"/>
        <w:gridCol w:w="109"/>
        <w:gridCol w:w="720"/>
        <w:gridCol w:w="720"/>
        <w:gridCol w:w="1022"/>
      </w:tblGrid>
      <w:tr>
        <w:trPr/>
        <w:tc>
          <w:tcPr>
            <w:tcW w:w="41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r>
      <w:tr>
        <w:trPr/>
        <w:tc>
          <w:tcPr>
            <w:tcW w:w="1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Suits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generally, the company, rather than its shareholders, is the proper claimant in an action in respect of a wrong done to the company or where there is an irregularity in the company’s internal management. Notwithstanding this general position, the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2"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stockholder may initiate a derivative action to enforce a right of a corporation if the corporation fails to enforce the right itself. The complaint must:</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state that the plaintiff was a stockholder at the time of the transaction of which the plaintiff complains or that the plaintiffs shares thereafter devolved on the plaintiff by operation of law; and</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allege with particularity the efforts made by the plaintiff to obtain the action the plaintiff desires from the directors and the reasons for the plaintiff’s failure to obtain the action; or</w:t>
            </w:r>
          </w:p>
          <w:p>
            <w:pPr>
              <w:pStyle w:val="TableContents"/>
              <w:spacing w:lineRule="auto" w:line="333" w:before="0" w:after="0"/>
              <w:jc w:val="left"/>
              <w:rPr>
                <w:color w:val="000000"/>
              </w:rPr>
            </w:pPr>
            <w:r>
              <w:rPr>
                <w:color w:val="000000"/>
              </w:rPr>
              <w:t> </w:t>
            </w:r>
          </w:p>
          <w:p>
            <w:pPr>
              <w:pStyle w:val="TableContents"/>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state the reasons for not making the effort.</w:t>
            </w:r>
          </w:p>
          <w:p>
            <w:pPr>
              <w:pStyle w:val="TableContents"/>
              <w:spacing w:lineRule="auto" w:line="333" w:before="0" w:after="0"/>
              <w:jc w:val="left"/>
              <w:rPr>
                <w:color w:val="000000"/>
              </w:rPr>
            </w:pPr>
            <w:r>
              <w:rPr>
                <w:color w:val="000000"/>
              </w:rPr>
              <w:t>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plaintiff must remain a stockholder through the duration of the derivative suit. The action will not be dismissed or compromised without the approval of the Delaware Court of Chancery.</w:t>
            </w:r>
          </w:p>
        </w:tc>
      </w:tr>
    </w:tbl>
    <w:p>
      <w:pPr>
        <w:pStyle w:val="TextBody"/>
        <w:spacing w:before="12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351790"/>
                <wp:effectExtent l="0" t="0" r="0" b="0"/>
                <wp:wrapNone/>
                <wp:docPr id="145" name="Frame144"/>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120" w:after="283"/>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Description of American Depository Shares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Citibank, N.A. has agreed to act as the depositary bank for our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N.A.—London Branch, located at Citigroup Centre Canary Wharf, London E14 5LB D.</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appointed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333-249809 when retrieving such copy.</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spacing w:lineRule="auto" w:line="333" w:before="240" w:after="283"/>
        <w:rPr/>
      </w:pPr>
      <w:r>
        <w:rPr>
          <w:rFonts w:ascii="Times New Roman;sans-serif" w:hAnsi="Times New Roman;sans-serif"/>
          <w:b w:val="false"/>
          <w:color w:val="000000"/>
          <w:sz w:val="20"/>
          <w:highlight w:val="white"/>
        </w:rPr>
        <w:t>Each ADS represents the right to receive, and to exercise the beneficial ownership interests in, ordinary</w:t>
      </w:r>
      <w:r>
        <w:rPr>
          <w:color w:val="000000"/>
          <w:highlight w:val="white"/>
        </w:rPr>
        <w:t> </w:t>
      </w:r>
      <w:r>
        <w:rPr>
          <w:rFonts w:ascii="Times New Roman;sans-serif" w:hAnsi="Times New Roman;sans-serif"/>
          <w:b w:val="false"/>
          <w:color w:val="000000"/>
          <w:sz w:val="20"/>
          <w:highlight w:val="white"/>
        </w:rPr>
        <w:t>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hold all deposited property for the benefit of the holders and beneficial owners of ADSs. The deposited property does not constitute the proprietary assets of the depositary bank, the custodian or their nominees. Beneficial ownership in the deposited property under the terms of the deposit agreement are vested in the beneficial owners of the ADSs. The depositary bank, the custodian and their respective nominees are the record holders of the deposited property represented by the ADSs for the benefit of the holders and beneficial owners of the corresponding ADSs. A beneficial owner of ADSs may or may not be the holder of ADSs. Beneficial owners of ADSs are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spacing w:lineRule="auto" w:line="333" w:before="240" w:after="283"/>
        <w:rPr/>
      </w:pPr>
      <w:r>
        <w:rPr>
          <w:rFonts w:ascii="Times New Roman;sans-serif" w:hAnsi="Times New Roman;sans-serif"/>
          <w:b w:val="false"/>
          <w:color w:val="000000"/>
          <w:sz w:val="20"/>
          <w:highlight w:val="white"/>
        </w:rPr>
        <w:t>If you become (or already are) an owner of ADSs, you will become (or already are) a party to the deposit agreement and therefore will be (or are)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w:t>
      </w:r>
      <w:r>
        <w:rPr>
          <w:color w:val="000000"/>
          <w:highlight w:val="white"/>
        </w:rPr>
        <w:t> </w:t>
      </w:r>
      <w:r>
        <w:rPr>
          <w:rFonts w:ascii="Times New Roman;sans-serif" w:hAnsi="Times New Roman;sans-serif"/>
          <w:b w:val="false"/>
          <w:color w:val="000000"/>
          <w:sz w:val="20"/>
          <w:highlight w:val="white"/>
        </w:rPr>
        <w:t>shares will continue to be governed by the laws of England and Wales, which may be different from the laws of the United States.</w:t>
      </w:r>
      <w:r>
        <w:br w:type="page"/>
      </w:r>
    </w:p>
    <w:p>
      <w:pPr>
        <w:pStyle w:val="TextBody"/>
        <w:spacing w:before="0" w:after="0"/>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351790"/>
                <wp:effectExtent l="0" t="0" r="0" b="0"/>
                <wp:wrapNone/>
                <wp:docPr id="146" name="Frame145"/>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spacing w:lineRule="auto" w:line="333"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As an owner of ADSs, we will not treat you as one of our shareholders and you will not have direct shareholder rights. The depositary bank will hold on your behalf the shareholder rights attached to the ordinary shares underlying your ADSs. An owner of ADSs is able to exercise the shareholders rights for the ordinary shares represented by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spacing w:lineRule="auto" w:line="333" w:before="240" w:after="283"/>
        <w:rPr/>
      </w:pPr>
      <w:r>
        <w:rPr>
          <w:rFonts w:ascii="Times New Roman;sans-serif" w:hAnsi="Times New Roman;sans-serif"/>
          <w:b w:val="false"/>
          <w:color w:val="000000"/>
          <w:sz w:val="20"/>
          <w:highlight w:val="white"/>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w:t>
      </w:r>
      <w:r>
        <w:rPr>
          <w:color w:val="000000"/>
          <w:highlight w:val="white"/>
        </w:rPr>
        <w:t> </w:t>
      </w:r>
      <w:r>
        <w:rPr>
          <w:rFonts w:ascii="Times New Roman;sans-serif" w:hAnsi="Times New Roman;sans-serif"/>
          <w:b w:val="false"/>
          <w:color w:val="000000"/>
          <w:sz w:val="20"/>
          <w:highlight w:val="white"/>
        </w:rPr>
        <w:t>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Dividends and Distributions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r>
        <w:br w:type="page"/>
      </w:r>
    </w:p>
    <w:p>
      <w:pPr>
        <w:pStyle w:val="TextBody"/>
        <w:spacing w:before="0" w:after="0"/>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351790"/>
                <wp:effectExtent l="0" t="0" r="0" b="0"/>
                <wp:wrapNone/>
                <wp:docPr id="147" name="Frame146"/>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0" w:after="0"/>
        <w:rPr>
          <w:color w:val="000000"/>
          <w:highlight w:val="white"/>
        </w:rPr>
      </w:pPr>
      <w:r>
        <w:rPr>
          <w:color w:val="000000"/>
          <w:highlight w:val="white"/>
        </w:rPr>
        <w:t> </w:t>
      </w:r>
    </w:p>
    <w:p>
      <w:pPr>
        <w:pStyle w:val="TextBody"/>
        <w:spacing w:lineRule="auto" w:line="333"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Distributions of Cash</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England and Wales.</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Distributions of Shares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pStyle w:val="TextBody"/>
        <w:spacing w:lineRule="auto" w:line="333" w:before="240" w:after="283"/>
        <w:rPr/>
      </w:pPr>
      <w:r>
        <w:rPr>
          <w:rFonts w:ascii="Times New Roman;sans-serif" w:hAnsi="Times New Roman;sans-serif"/>
          <w:b w:val="false"/>
          <w:color w:val="000000"/>
          <w:sz w:val="20"/>
          <w:highlight w:val="white"/>
        </w:rPr>
        <w:t>No such distribution of new ADSs will be made if it would violate a law (</w:t>
      </w:r>
      <w:r>
        <w:rPr>
          <w:rFonts w:ascii="Times New Roman;sans-serif" w:hAnsi="Times New Roman;sans-serif"/>
          <w:b w:val="false"/>
          <w:i/>
          <w:color w:val="000000"/>
          <w:sz w:val="20"/>
          <w:highlight w:val="white"/>
        </w:rPr>
        <w:t>e.g.</w:t>
      </w:r>
      <w:r>
        <w:rPr>
          <w:rFonts w:ascii="Times New Roman;sans-serif" w:hAnsi="Times New Roman;sans-serif"/>
          <w:b w:val="false"/>
          <w:color w:val="000000"/>
          <w:sz w:val="20"/>
          <w:highlight w:val="white"/>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Distributions of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w:t>
      </w:r>
      <w:r>
        <w:br w:type="page"/>
      </w:r>
    </w:p>
    <w:p>
      <w:pPr>
        <w:pStyle w:val="TextBody"/>
        <w:spacing w:before="0" w:after="0"/>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51790"/>
                <wp:effectExtent l="0" t="0" r="0" b="0"/>
                <wp:wrapNone/>
                <wp:docPr id="148" name="Frame147"/>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obligated to establish procedures to facilitate the distribution and exercise by holders of rights to subscribe for new ordinary shares other than in the form of ADSs.</w:t>
      </w:r>
    </w:p>
    <w:p>
      <w:pPr>
        <w:pStyle w:val="TextBody"/>
        <w:spacing w:lineRule="auto" w:line="333" w:before="240" w:after="283"/>
        <w:rPr/>
      </w:pPr>
      <w:r>
        <w:rPr>
          <w:rFonts w:ascii="Times New Roman;sans-serif" w:hAnsi="Times New Roman;sans-serif"/>
          <w:b w:val="false"/>
          <w:color w:val="000000"/>
          <w:sz w:val="20"/>
          <w:highlight w:val="white"/>
        </w:rPr>
        <w:t>The depositary bank will </w:t>
      </w:r>
      <w:r>
        <w:rPr>
          <w:rFonts w:ascii="Times New Roman;sans-serif" w:hAnsi="Times New Roman;sans-serif"/>
          <w:b w:val="false"/>
          <w:i/>
          <w:color w:val="000000"/>
          <w:sz w:val="20"/>
          <w:highlight w:val="white"/>
        </w:rPr>
        <w:t>not</w:t>
      </w:r>
      <w:r>
        <w:rPr>
          <w:color w:val="000000"/>
          <w:highlight w:val="white"/>
        </w:rPr>
        <w:t> </w:t>
      </w:r>
      <w:r>
        <w:rPr>
          <w:rFonts w:ascii="Times New Roman;sans-serif" w:hAnsi="Times New Roman;sans-serif"/>
          <w:b w:val="false"/>
          <w:color w:val="000000"/>
          <w:sz w:val="20"/>
          <w:highlight w:val="white"/>
        </w:rPr>
        <w:t>distribute the rights to you if:</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timely request that the rights be distributed to you or we request that the rights not be distributed to you; or</w:t>
            </w:r>
          </w:p>
        </w:tc>
      </w:tr>
    </w:tbl>
    <w:p>
      <w:pPr>
        <w:pStyle w:val="TextBody"/>
        <w:spacing w:lineRule="auto" w:line="333" w:before="120" w:after="283"/>
        <w:rPr>
          <w:color w:val="000000"/>
          <w:highlight w:val="white"/>
        </w:rPr>
      </w:pPr>
      <w:r>
        <w:rPr>
          <w:color w:val="000000"/>
          <w:highlight w:val="white"/>
        </w:rPr>
        <w:t> </w:t>
      </w:r>
    </w:p>
    <w:tbl>
      <w:tblPr>
        <w:tblW w:w="659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635"/>
        <w:gridCol w:w="1635"/>
        <w:gridCol w:w="232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fail to deliver satisfactory documents to the depositary bank; or</w:t>
            </w:r>
          </w:p>
        </w:tc>
      </w:tr>
    </w:tbl>
    <w:p>
      <w:pPr>
        <w:pStyle w:val="TextBody"/>
        <w:spacing w:lineRule="auto" w:line="333" w:before="120" w:after="283"/>
        <w:rPr>
          <w:color w:val="000000"/>
          <w:highlight w:val="white"/>
        </w:rPr>
      </w:pPr>
      <w:r>
        <w:rPr>
          <w:color w:val="000000"/>
          <w:highlight w:val="white"/>
        </w:rPr>
        <w:t> </w:t>
      </w:r>
    </w:p>
    <w:tbl>
      <w:tblPr>
        <w:tblW w:w="552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323"/>
        <w:gridCol w:w="1323"/>
        <w:gridCol w:w="18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not reasonably practicable to distribute the rights.</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Elective Distributions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spacing w:lineRule="auto" w:line="333" w:before="240" w:after="283"/>
        <w:rPr/>
      </w:pPr>
      <w:r>
        <w:rPr>
          <w:rFonts w:ascii="Times New Roman;sans-serif" w:hAnsi="Times New Roman;sans-serif"/>
          <w:b w:val="false"/>
          <w:color w:val="000000"/>
          <w:sz w:val="20"/>
          <w:highlight w:val="white"/>
        </w:rPr>
        <w:t>If the election is not made available to you, you will receive either cash or additional ADSs, depending on what a shareholder in England and Wales</w:t>
      </w:r>
      <w:r>
        <w:rPr>
          <w:color w:val="000000"/>
          <w:highlight w:val="white"/>
        </w:rPr>
        <w:t> </w:t>
      </w:r>
      <w:r>
        <w:rPr>
          <w:rFonts w:ascii="Times New Roman;sans-serif" w:hAnsi="Times New Roman;sans-serif"/>
          <w:b w:val="false"/>
          <w:color w:val="000000"/>
          <w:sz w:val="20"/>
          <w:highlight w:val="white"/>
        </w:rPr>
        <w:t>would receive upon failing to make an election, as more fully described in the deposit agreement.</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Other Distributions</w:t>
      </w:r>
    </w:p>
    <w:p>
      <w:pPr>
        <w:pStyle w:val="TextBody"/>
        <w:spacing w:lineRule="auto" w:line="333" w:before="120" w:after="283"/>
        <w:rPr/>
      </w:pPr>
      <w:r>
        <w:rPr>
          <w:rFonts w:ascii="Times New Roman;sans-serif" w:hAnsi="Times New Roman;sans-serif"/>
          <w:b w:val="false"/>
          <w:color w:val="000000"/>
          <w:sz w:val="20"/>
          <w:highlight w:val="white"/>
        </w:rPr>
        <w:t>Whenever we intend to distribute property other than cash, ordinary</w:t>
      </w:r>
      <w:r>
        <w:rPr>
          <w:color w:val="000000"/>
          <w:highlight w:val="white"/>
        </w:rPr>
        <w:t> </w:t>
      </w:r>
      <w:r>
        <w:rPr>
          <w:rFonts w:ascii="Times New Roman;sans-serif" w:hAnsi="Times New Roman;sans-serif"/>
          <w:b w:val="false"/>
          <w:color w:val="000000"/>
          <w:sz w:val="20"/>
          <w:highlight w:val="white"/>
        </w:rPr>
        <w:t>shares or rights to subscribe for additional ordinary</w:t>
      </w:r>
      <w:r>
        <w:rPr>
          <w:color w:val="000000"/>
          <w:highlight w:val="white"/>
        </w:rPr>
        <w:t> </w:t>
      </w:r>
      <w:r>
        <w:rPr>
          <w:rFonts w:ascii="Times New Roman;sans-serif" w:hAnsi="Times New Roman;sans-serif"/>
          <w:b w:val="false"/>
          <w:color w:val="000000"/>
          <w:sz w:val="20"/>
          <w:highlight w:val="white"/>
        </w:rPr>
        <w:t>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distribution will be made net of fees, expenses, taxes and governmental charges payable by holders under the terms of the deposit agreement. In order to pay such taxes and governmental charges, the depositary bank may sell all or a portion of the property received.</w:t>
      </w:r>
      <w:r>
        <w:br w:type="page"/>
      </w:r>
    </w:p>
    <w:p>
      <w:pPr>
        <w:pStyle w:val="TextBody"/>
        <w:spacing w:before="0" w:after="0"/>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351790"/>
                <wp:effectExtent l="0" t="0" r="0" b="0"/>
                <wp:wrapNone/>
                <wp:docPr id="149" name="Frame148"/>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pPr>
      <w:r>
        <w:rPr>
          <w:rFonts w:ascii="Times New Roman;sans-serif" w:hAnsi="Times New Roman;sans-serif"/>
          <w:b w:val="false"/>
          <w:color w:val="000000"/>
          <w:sz w:val="20"/>
          <w:highlight w:val="white"/>
        </w:rPr>
        <w:t>The depositary bank will </w:t>
      </w:r>
      <w:r>
        <w:rPr>
          <w:rFonts w:ascii="Times New Roman;sans-serif" w:hAnsi="Times New Roman;sans-serif"/>
          <w:b w:val="false"/>
          <w:i/>
          <w:color w:val="000000"/>
          <w:sz w:val="20"/>
          <w:highlight w:val="white"/>
        </w:rPr>
        <w:t>not</w:t>
      </w:r>
      <w:r>
        <w:rPr>
          <w:color w:val="000000"/>
          <w:highlight w:val="white"/>
        </w:rPr>
        <w:t> </w:t>
      </w:r>
      <w:r>
        <w:rPr>
          <w:rFonts w:ascii="Times New Roman;sans-serif" w:hAnsi="Times New Roman;sans-serif"/>
          <w:b w:val="false"/>
          <w:color w:val="000000"/>
          <w:sz w:val="20"/>
          <w:highlight w:val="white"/>
        </w:rPr>
        <w:t>distribute the property to you and will sell the property if:</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request that the property be distributed to you or if we request that the property not be distributed to you; or</w:t>
            </w:r>
          </w:p>
        </w:tc>
      </w:tr>
    </w:tbl>
    <w:p>
      <w:pPr>
        <w:pStyle w:val="TextBody"/>
        <w:spacing w:lineRule="auto" w:line="333" w:before="120" w:after="283"/>
        <w:rPr>
          <w:color w:val="000000"/>
          <w:highlight w:val="white"/>
        </w:rPr>
      </w:pPr>
      <w:r>
        <w:rPr>
          <w:color w:val="000000"/>
          <w:highlight w:val="white"/>
        </w:rPr>
        <w:t> </w:t>
      </w:r>
    </w:p>
    <w:tbl>
      <w:tblPr>
        <w:tblW w:w="663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648"/>
        <w:gridCol w:w="1648"/>
        <w:gridCol w:w="234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deliver satisfactory documents to the depositary bank; or</w:t>
            </w:r>
          </w:p>
        </w:tc>
      </w:tr>
    </w:tbl>
    <w:p>
      <w:pPr>
        <w:pStyle w:val="TextBody"/>
        <w:spacing w:lineRule="auto" w:line="333" w:before="120" w:after="283"/>
        <w:rPr>
          <w:color w:val="000000"/>
          <w:highlight w:val="white"/>
        </w:rPr>
      </w:pPr>
      <w:r>
        <w:rPr>
          <w:color w:val="000000"/>
          <w:highlight w:val="white"/>
        </w:rPr>
        <w:t> </w:t>
      </w:r>
    </w:p>
    <w:tbl>
      <w:tblPr>
        <w:tblW w:w="984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589"/>
        <w:gridCol w:w="2589"/>
        <w:gridCol w:w="36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9" w:type="dxa"/>
            <w:tcBorders/>
            <w:shd w:fill="auto" w:val="clear"/>
            <w:vAlign w:val="center"/>
          </w:tcPr>
          <w:p>
            <w:pPr>
              <w:pStyle w:val="TableContents"/>
              <w:spacing w:before="0" w:after="283"/>
              <w:rPr>
                <w:sz w:val="4"/>
                <w:szCs w:val="4"/>
              </w:rPr>
            </w:pPr>
            <w:r>
              <w:rPr>
                <w:sz w:val="4"/>
                <w:szCs w:val="4"/>
              </w:rPr>
            </w:r>
          </w:p>
        </w:tc>
        <w:tc>
          <w:tcPr>
            <w:tcW w:w="2589" w:type="dxa"/>
            <w:tcBorders/>
            <w:shd w:fill="auto" w:val="clear"/>
            <w:vAlign w:val="center"/>
          </w:tcPr>
          <w:p>
            <w:pPr>
              <w:pStyle w:val="TableContents"/>
              <w:spacing w:before="0" w:after="283"/>
              <w:rPr>
                <w:sz w:val="4"/>
                <w:szCs w:val="4"/>
              </w:rPr>
            </w:pPr>
            <w:r>
              <w:rPr>
                <w:sz w:val="4"/>
                <w:szCs w:val="4"/>
              </w:rPr>
            </w:r>
          </w:p>
        </w:tc>
        <w:tc>
          <w:tcPr>
            <w:tcW w:w="367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bank determines that all or a portion of the distribution to you is not reasonably practicable.</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proceeds of such a sale will be distributed to holders as in the case of a cash distribution.</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Redemption</w:t>
      </w:r>
    </w:p>
    <w:p>
      <w:pPr>
        <w:pStyle w:val="TextBody"/>
        <w:spacing w:lineRule="auto" w:line="333" w:before="120" w:after="283"/>
        <w:rPr/>
      </w:pPr>
      <w:r>
        <w:rPr>
          <w:rFonts w:ascii="Times New Roman;sans-serif" w:hAnsi="Times New Roman;sans-serif"/>
          <w:b w:val="false"/>
          <w:color w:val="000000"/>
          <w:sz w:val="20"/>
          <w:highlight w:val="white"/>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 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sans-serif" w:hAnsi="Times New Roman;sans-serif"/>
          <w:b w:val="false"/>
          <w:i/>
          <w:color w:val="000000"/>
          <w:sz w:val="20"/>
          <w:highlight w:val="white"/>
        </w:rPr>
        <w:t>pro rata</w:t>
      </w:r>
      <w:r>
        <w:rPr>
          <w:color w:val="000000"/>
          <w:highlight w:val="white"/>
        </w:rPr>
        <w:t> </w:t>
      </w:r>
      <w:r>
        <w:rPr>
          <w:rFonts w:ascii="Times New Roman;sans-serif" w:hAnsi="Times New Roman;sans-serif"/>
          <w:b w:val="false"/>
          <w:color w:val="000000"/>
          <w:sz w:val="20"/>
          <w:highlight w:val="white"/>
        </w:rPr>
        <w:t>basis, as the depositary bank may determine.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Changes Affecting Ordinary Shares</w:t>
      </w:r>
    </w:p>
    <w:p>
      <w:pPr>
        <w:pStyle w:val="TextBody"/>
        <w:spacing w:lineRule="auto" w:line="333" w:before="120" w:after="283"/>
        <w:rPr/>
      </w:pPr>
      <w:r>
        <w:rPr>
          <w:rFonts w:ascii="Times New Roman;sans-serif" w:hAnsi="Times New Roman;sans-serif"/>
          <w:b w:val="false"/>
          <w:color w:val="000000"/>
          <w:sz w:val="20"/>
          <w:highlight w:val="white"/>
        </w:rPr>
        <w:t>The ordinary</w:t>
      </w:r>
      <w:r>
        <w:rPr>
          <w:color w:val="000000"/>
          <w:highlight w:val="white"/>
        </w:rPr>
        <w:t> </w:t>
      </w:r>
      <w:r>
        <w:rPr>
          <w:rFonts w:ascii="Times New Roman;sans-serif" w:hAnsi="Times New Roman;sans-serif"/>
          <w:b w:val="false"/>
          <w:color w:val="000000"/>
          <w:sz w:val="20"/>
          <w:highlight w:val="white"/>
        </w:rPr>
        <w:t>shares held on deposit for your ADSs may change from time to time. For example, there may be a change in nominal or par value, split-up, cancellation, consolidation or any other reclassification of such ordinary</w:t>
      </w:r>
      <w:r>
        <w:rPr>
          <w:color w:val="000000"/>
          <w:highlight w:val="white"/>
        </w:rPr>
        <w:t> </w:t>
      </w:r>
      <w:r>
        <w:rPr>
          <w:rFonts w:ascii="Times New Roman;sans-serif" w:hAnsi="Times New Roman;sans-serif"/>
          <w:b w:val="false"/>
          <w:color w:val="000000"/>
          <w:sz w:val="20"/>
          <w:highlight w:val="white"/>
        </w:rPr>
        <w:t>shares or a recapitalization, reorganization, merger, consolidation or sale of assets of the company.</w:t>
      </w:r>
    </w:p>
    <w:p>
      <w:pPr>
        <w:pStyle w:val="TextBody"/>
        <w:spacing w:lineRule="auto" w:line="333" w:before="240" w:after="283"/>
        <w:rPr/>
      </w:pPr>
      <w:r>
        <w:rPr>
          <w:rFonts w:ascii="Times New Roman;sans-serif" w:hAnsi="Times New Roman;sans-serif"/>
          <w:b w:val="false"/>
          <w:color w:val="000000"/>
          <w:sz w:val="20"/>
          <w:highlight w:val="white"/>
        </w:rPr>
        <w:t>If any such change were to occur, your ADSs would, to the extent permitted by law and the deposit agreement, represent the right to receive the property received or exchanged in respect of the ordinary</w:t>
      </w:r>
      <w:r>
        <w:rPr>
          <w:color w:val="000000"/>
          <w:highlight w:val="white"/>
        </w:rPr>
        <w:t> </w:t>
      </w:r>
      <w:r>
        <w:rPr>
          <w:rFonts w:ascii="Times New Roman;sans-serif" w:hAnsi="Times New Roman;sans-serif"/>
          <w:b w:val="false"/>
          <w:color w:val="000000"/>
          <w:sz w:val="20"/>
          <w:highlight w:val="white"/>
        </w:rPr>
        <w:t>shares held on deposit.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Issuance of ADSs upon Deposit of Ordinary Shares</w:t>
      </w:r>
    </w:p>
    <w:p>
      <w:pPr>
        <w:pStyle w:val="TextBody"/>
        <w:spacing w:lineRule="auto" w:line="333" w:before="120" w:after="283"/>
        <w:rPr/>
      </w:pPr>
      <w:r>
        <w:rPr>
          <w:rFonts w:ascii="Times New Roman;sans-serif" w:hAnsi="Times New Roman;sans-serif"/>
          <w:b w:val="false"/>
          <w:color w:val="000000"/>
          <w:sz w:val="20"/>
          <w:highlight w:val="white"/>
        </w:rPr>
        <w:t>The ordinary</w:t>
      </w:r>
      <w:r>
        <w:rPr>
          <w:color w:val="000000"/>
          <w:highlight w:val="white"/>
        </w:rPr>
        <w:t> </w:t>
      </w:r>
      <w:r>
        <w:rPr>
          <w:rFonts w:ascii="Times New Roman;sans-serif" w:hAnsi="Times New Roman;sans-serif"/>
          <w:b w:val="false"/>
          <w:color w:val="000000"/>
          <w:sz w:val="20"/>
          <w:highlight w:val="white"/>
        </w:rPr>
        <w:t>shares have been deposited by us with the custodian and the depositary bank has issued ADSs to the holders thereof.</w:t>
      </w:r>
    </w:p>
    <w:p>
      <w:pPr>
        <w:pStyle w:val="TextBody"/>
        <w:spacing w:lineRule="auto" w:line="333" w:before="240" w:after="283"/>
        <w:rPr/>
      </w:pPr>
      <w:r>
        <w:rPr>
          <w:rFonts w:ascii="Times New Roman;sans-serif" w:hAnsi="Times New Roman;sans-serif"/>
          <w:b w:val="false"/>
          <w:color w:val="000000"/>
          <w:sz w:val="20"/>
          <w:highlight w:val="white"/>
        </w:rPr>
        <w:t>The depositary bank may create ADSs on your behalf if you or your broker deposit ordinary</w:t>
      </w:r>
      <w:r>
        <w:rPr>
          <w:color w:val="000000"/>
          <w:highlight w:val="white"/>
        </w:rPr>
        <w:t> </w:t>
      </w:r>
      <w:r>
        <w:rPr>
          <w:rFonts w:ascii="Times New Roman;sans-serif" w:hAnsi="Times New Roman;sans-serif"/>
          <w:b w:val="false"/>
          <w:color w:val="000000"/>
          <w:sz w:val="20"/>
          <w:highlight w:val="white"/>
        </w:rPr>
        <w:t xml:space="preserve">shares with the custodian. The depositary bank will deliver these ADSs to the person you indicate only after you pay any applicable </w:t>
      </w:r>
      <w:r>
        <w:br w:type="page"/>
      </w:r>
    </w:p>
    <w:p>
      <w:pPr>
        <w:pStyle w:val="TextBody"/>
        <w:spacing w:before="0" w:after="0"/>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351790"/>
                <wp:effectExtent l="0" t="0" r="0" b="0"/>
                <wp:wrapNone/>
                <wp:docPr id="150" name="Frame149"/>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pPr>
      <w:r>
        <w:rPr>
          <w:rFonts w:ascii="Times New Roman;sans-serif" w:hAnsi="Times New Roman;sans-serif"/>
          <w:b w:val="false"/>
          <w:color w:val="000000"/>
          <w:sz w:val="20"/>
          <w:highlight w:val="white"/>
        </w:rPr>
        <w:t>issuance fees and any charges and taxes payable for the transfer of the ordinary</w:t>
      </w:r>
      <w:r>
        <w:rPr>
          <w:color w:val="000000"/>
          <w:highlight w:val="white"/>
        </w:rPr>
        <w:t> </w:t>
      </w:r>
      <w:r>
        <w:rPr>
          <w:rFonts w:ascii="Times New Roman;sans-serif" w:hAnsi="Times New Roman;sans-serif"/>
          <w:b w:val="false"/>
          <w:color w:val="000000"/>
          <w:sz w:val="20"/>
          <w:highlight w:val="white"/>
        </w:rPr>
        <w:t>shares to the custodian. Your ability to deposit ordinary</w:t>
      </w:r>
      <w:r>
        <w:rPr>
          <w:color w:val="000000"/>
          <w:highlight w:val="white"/>
        </w:rPr>
        <w:t> </w:t>
      </w:r>
      <w:r>
        <w:rPr>
          <w:rFonts w:ascii="Times New Roman;sans-serif" w:hAnsi="Times New Roman;sans-serif"/>
          <w:b w:val="false"/>
          <w:color w:val="000000"/>
          <w:sz w:val="20"/>
          <w:highlight w:val="white"/>
        </w:rPr>
        <w:t>shares and receive ADSs may be limited by U.S. and English legal considerations applicable at the time of deposit.</w:t>
      </w:r>
    </w:p>
    <w:p>
      <w:pPr>
        <w:pStyle w:val="TextBody"/>
        <w:spacing w:lineRule="auto" w:line="333" w:before="240" w:after="283"/>
        <w:rPr/>
      </w:pPr>
      <w:r>
        <w:rPr>
          <w:rFonts w:ascii="Times New Roman;sans-serif" w:hAnsi="Times New Roman;sans-serif"/>
          <w:b w:val="false"/>
          <w:color w:val="000000"/>
          <w:sz w:val="20"/>
          <w:highlight w:val="white"/>
        </w:rPr>
        <w:t>The issuance of ADSs may be delayed until the depositary bank or the custodian receives confirmation that all required approvals have been given and that the ordinary</w:t>
      </w:r>
      <w:r>
        <w:rPr>
          <w:color w:val="000000"/>
          <w:highlight w:val="white"/>
        </w:rPr>
        <w:t> </w:t>
      </w:r>
      <w:r>
        <w:rPr>
          <w:rFonts w:ascii="Times New Roman;sans-serif" w:hAnsi="Times New Roman;sans-serif"/>
          <w:b w:val="false"/>
          <w:color w:val="000000"/>
          <w:sz w:val="20"/>
          <w:highlight w:val="white"/>
        </w:rPr>
        <w:t>shares have been duly transferred to the custodian. The depositary bank will only issue ADSs in whole numbers.</w:t>
      </w:r>
    </w:p>
    <w:p>
      <w:pPr>
        <w:pStyle w:val="TextBody"/>
        <w:spacing w:lineRule="auto" w:line="333" w:before="240" w:after="283"/>
        <w:rPr/>
      </w:pPr>
      <w:r>
        <w:rPr>
          <w:rFonts w:ascii="Times New Roman;sans-serif" w:hAnsi="Times New Roman;sans-serif"/>
          <w:b w:val="false"/>
          <w:color w:val="000000"/>
          <w:sz w:val="20"/>
          <w:highlight w:val="white"/>
        </w:rPr>
        <w:t>When you make a deposit of ordinary</w:t>
      </w:r>
      <w:r>
        <w:rPr>
          <w:color w:val="000000"/>
          <w:highlight w:val="white"/>
        </w:rPr>
        <w:t> </w:t>
      </w:r>
      <w:r>
        <w:rPr>
          <w:rFonts w:ascii="Times New Roman;sans-serif" w:hAnsi="Times New Roman;sans-serif"/>
          <w:b w:val="false"/>
          <w:color w:val="000000"/>
          <w:sz w:val="20"/>
          <w:highlight w:val="white"/>
        </w:rPr>
        <w:t>shares, you will be responsible for transferring good and valid title to the depositary bank. As such, you will be deemed to represent and warrant that:</w:t>
      </w:r>
    </w:p>
    <w:p>
      <w:pPr>
        <w:pStyle w:val="TextBody"/>
        <w:spacing w:lineRule="auto" w:line="333" w:before="0" w:after="0"/>
        <w:rPr>
          <w:color w:val="000000"/>
          <w:highlight w:val="white"/>
        </w:rPr>
      </w:pPr>
      <w:r>
        <w:rPr>
          <w:color w:val="000000"/>
          <w:highlight w:val="white"/>
        </w:rPr>
        <w:t> </w:t>
      </w:r>
    </w:p>
    <w:tbl>
      <w:tblPr>
        <w:tblW w:w="954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502"/>
        <w:gridCol w:w="2502"/>
        <w:gridCol w:w="35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rPr>
                <w:sz w:val="4"/>
                <w:szCs w:val="4"/>
              </w:rPr>
            </w:pPr>
            <w:r>
              <w:rPr>
                <w:sz w:val="4"/>
                <w:szCs w:val="4"/>
              </w:rPr>
            </w:r>
          </w:p>
        </w:tc>
        <w:tc>
          <w:tcPr>
            <w:tcW w:w="35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50"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are duly authorized, validly issued, fully paid, non-assessable and legally obtained.</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All preemptive (and similar) rights, if any, with respect to such ordinary</w:t>
            </w:r>
            <w:r>
              <w:rPr>
                <w:color w:val="000000"/>
              </w:rPr>
              <w:t> </w:t>
            </w:r>
            <w:r>
              <w:rPr>
                <w:rFonts w:ascii="Times New Roman;sans-serif" w:hAnsi="Times New Roman;sans-serif"/>
                <w:b w:val="false"/>
                <w:color w:val="000000"/>
                <w:sz w:val="20"/>
              </w:rPr>
              <w:t>shares have been validly waived or exercised.</w:t>
            </w:r>
          </w:p>
        </w:tc>
      </w:tr>
    </w:tbl>
    <w:p>
      <w:pPr>
        <w:pStyle w:val="TextBody"/>
        <w:spacing w:lineRule="auto" w:line="333" w:before="120" w:after="283"/>
        <w:rPr>
          <w:color w:val="000000"/>
          <w:highlight w:val="white"/>
        </w:rPr>
      </w:pPr>
      <w:r>
        <w:rPr>
          <w:color w:val="000000"/>
          <w:highlight w:val="white"/>
        </w:rPr>
        <w:t> </w:t>
      </w:r>
    </w:p>
    <w:tbl>
      <w:tblPr>
        <w:tblW w:w="560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348"/>
        <w:gridCol w:w="1348"/>
        <w:gridCol w:w="190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04"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You are duly authorized to deposit the ordinary</w:t>
            </w:r>
            <w:r>
              <w:rPr>
                <w:color w:val="000000"/>
              </w:rPr>
              <w:t> </w:t>
            </w:r>
            <w:r>
              <w:rPr>
                <w:rFonts w:ascii="Times New Roman;sans-serif" w:hAnsi="Times New Roman;sans-serif"/>
                <w:b w:val="false"/>
                <w:color w:val="000000"/>
                <w:sz w:val="20"/>
              </w:rPr>
              <w:t>shares.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presented for deposit are free and clear of any lien, encumbrance, security interest, charge, mortgage or adverse claim, and are not, and the ADSs issuable upon such deposit will not be, “restricted securities” (as defined in the deposit agreement).</w:t>
            </w:r>
          </w:p>
        </w:tc>
      </w:tr>
    </w:tbl>
    <w:p>
      <w:pPr>
        <w:pStyle w:val="TextBody"/>
        <w:spacing w:lineRule="auto" w:line="333" w:before="120" w:after="283"/>
        <w:rPr>
          <w:color w:val="000000"/>
          <w:highlight w:val="white"/>
        </w:rPr>
      </w:pPr>
      <w:r>
        <w:rPr>
          <w:color w:val="000000"/>
          <w:highlight w:val="white"/>
        </w:rPr>
        <w:t> </w:t>
      </w:r>
    </w:p>
    <w:tbl>
      <w:tblPr>
        <w:tblW w:w="875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272"/>
        <w:gridCol w:w="2272"/>
        <w:gridCol w:w="32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755"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presented for deposit have not been stripped of any rights or entitlements.</w:t>
            </w:r>
          </w:p>
        </w:tc>
      </w:tr>
    </w:tbl>
    <w:p>
      <w:pPr>
        <w:pStyle w:val="TextBody"/>
        <w:spacing w:lineRule="auto" w:line="333" w:before="120" w:after="283"/>
        <w:rPr>
          <w:color w:val="000000"/>
          <w:highlight w:val="white"/>
        </w:rPr>
      </w:pPr>
      <w:r>
        <w:rPr>
          <w:color w:val="000000"/>
          <w:highlight w:val="white"/>
        </w:rPr>
        <w:t> </w:t>
      </w:r>
    </w:p>
    <w:p>
      <w:pPr>
        <w:pStyle w:val="TextBody"/>
        <w:spacing w:lineRule="auto" w:line="333"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any of the representations or warranties are incorrect in any way, we and the depositary bank may, at your cost and expense, take any and all actions necessary to correct the consequences of the misrepresentations.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Transfer, Combination and Split Up of ADRs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an ADR holder, you are entitled to transfer, combine or split up your ADRs and the ADSs evidenced thereby. For transfers of ADRs, you will have to surrender the ADRs to be transferred to the depositary bank and also must:</w:t>
      </w:r>
    </w:p>
    <w:p>
      <w:pPr>
        <w:pStyle w:val="TextBody"/>
        <w:spacing w:lineRule="auto" w:line="333" w:before="0" w:after="0"/>
        <w:rPr>
          <w:color w:val="000000"/>
          <w:highlight w:val="white"/>
        </w:rPr>
      </w:pPr>
      <w:r>
        <w:rPr>
          <w:color w:val="000000"/>
          <w:highlight w:val="white"/>
        </w:rPr>
        <w:t> </w:t>
      </w:r>
    </w:p>
    <w:tbl>
      <w:tblPr>
        <w:tblW w:w="867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249"/>
        <w:gridCol w:w="2249"/>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ensure that the surrendered ADR is properly endorsed or otherwise in proper form for transfer;</w:t>
            </w:r>
          </w:p>
        </w:tc>
      </w:tr>
    </w:tbl>
    <w:p>
      <w:pPr>
        <w:pStyle w:val="TextBody"/>
        <w:spacing w:lineRule="auto" w:line="333" w:before="120" w:after="283"/>
        <w:rPr>
          <w:color w:val="000000"/>
          <w:highlight w:val="white"/>
        </w:rPr>
      </w:pPr>
      <w:r>
        <w:rPr>
          <w:color w:val="000000"/>
          <w:highlight w:val="white"/>
        </w:rPr>
        <w:t> </w:t>
      </w:r>
    </w:p>
    <w:tbl>
      <w:tblPr>
        <w:tblW w:w="950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487"/>
        <w:gridCol w:w="2487"/>
        <w:gridCol w:w="35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35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such proof of identity and genuineness of signatures as the depositary bank deems appropriate;</w:t>
            </w:r>
          </w:p>
        </w:tc>
      </w:tr>
    </w:tbl>
    <w:p>
      <w:pPr>
        <w:pStyle w:val="TextBody"/>
        <w:spacing w:lineRule="auto" w:line="333" w:before="120" w:after="283"/>
        <w:rPr>
          <w:color w:val="000000"/>
          <w:highlight w:val="white"/>
        </w:rPr>
      </w:pPr>
      <w:r>
        <w:rPr>
          <w:color w:val="000000"/>
          <w:highlight w:val="white"/>
        </w:rPr>
        <w:t> </w:t>
      </w:r>
    </w:p>
    <w:tbl>
      <w:tblPr>
        <w:tblW w:w="81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109"/>
        <w:gridCol w:w="2109"/>
        <w:gridCol w:w="29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29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any transfer stamps required by the State of New York or the United States; and</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all applicable fees, charges, expenses, taxes and other government charges payable by ADR holders pursuant to the terms of the deposit agreement, upon the transfer of ADRs.</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r>
        <w:br w:type="page"/>
      </w:r>
    </w:p>
    <w:p>
      <w:pPr>
        <w:pStyle w:val="TextBody"/>
        <w:spacing w:before="0" w:after="0"/>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351790"/>
                <wp:effectExtent l="0" t="0" r="0" b="0"/>
                <wp:wrapNone/>
                <wp:docPr id="151" name="Frame150"/>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Withdrawal of Ordinary Shares Upon Cancellation of ADSs</w:t>
      </w:r>
    </w:p>
    <w:p>
      <w:pPr>
        <w:pStyle w:val="TextBody"/>
        <w:spacing w:lineRule="auto" w:line="333" w:before="120" w:after="283"/>
        <w:rPr/>
      </w:pPr>
      <w:r>
        <w:rPr>
          <w:rFonts w:ascii="Times New Roman;sans-serif" w:hAnsi="Times New Roman;sans-serif"/>
          <w:b w:val="false"/>
          <w:color w:val="000000"/>
          <w:sz w:val="20"/>
          <w:highlight w:val="white"/>
        </w:rPr>
        <w:t>As a holder, you are entitled to present your ADSs to the depositary bank for cancellation and then receive the corresponding number of underlying ordinary</w:t>
      </w:r>
      <w:r>
        <w:rPr>
          <w:color w:val="000000"/>
          <w:highlight w:val="white"/>
        </w:rPr>
        <w:t> </w:t>
      </w:r>
      <w:r>
        <w:rPr>
          <w:rFonts w:ascii="Times New Roman;sans-serif" w:hAnsi="Times New Roman;sans-serif"/>
          <w:b w:val="false"/>
          <w:color w:val="000000"/>
          <w:sz w:val="20"/>
          <w:highlight w:val="white"/>
        </w:rPr>
        <w:t>shares</w:t>
      </w:r>
      <w:r>
        <w:rPr>
          <w:color w:val="000000"/>
          <w:highlight w:val="white"/>
        </w:rPr>
        <w:t> </w:t>
      </w:r>
      <w:r>
        <w:rPr>
          <w:rFonts w:ascii="Times New Roman;sans-serif" w:hAnsi="Times New Roman;sans-serif"/>
          <w:b w:val="false"/>
          <w:color w:val="000000"/>
          <w:sz w:val="20"/>
          <w:highlight w:val="white"/>
        </w:rPr>
        <w:t>at the custodian’s offices. Your ability to withdraw the ordinary</w:t>
      </w:r>
      <w:r>
        <w:rPr>
          <w:color w:val="000000"/>
          <w:highlight w:val="white"/>
        </w:rPr>
        <w:t> </w:t>
      </w:r>
      <w:r>
        <w:rPr>
          <w:rFonts w:ascii="Times New Roman;sans-serif" w:hAnsi="Times New Roman;sans-serif"/>
          <w:b w:val="false"/>
          <w:color w:val="000000"/>
          <w:sz w:val="20"/>
          <w:highlight w:val="white"/>
        </w:rPr>
        <w:t>shares held in respect of the ADSs may be limited by U.S. and English law considerations applicable at the time of withdrawal. In order to withdraw the ordinary</w:t>
      </w:r>
      <w:r>
        <w:rPr>
          <w:color w:val="000000"/>
          <w:highlight w:val="white"/>
        </w:rPr>
        <w:t> </w:t>
      </w:r>
      <w:r>
        <w:rPr>
          <w:rFonts w:ascii="Times New Roman;sans-serif" w:hAnsi="Times New Roman;sans-serif"/>
          <w:b w:val="false"/>
          <w:color w:val="000000"/>
          <w:sz w:val="20"/>
          <w:highlight w:val="white"/>
        </w:rPr>
        <w:t>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pStyle w:val="TextBody"/>
        <w:spacing w:lineRule="auto" w:line="333" w:before="240" w:after="283"/>
        <w:rPr/>
      </w:pPr>
      <w:r>
        <w:rPr>
          <w:rFonts w:ascii="Times New Roman;sans-serif" w:hAnsi="Times New Roman;sans-serif"/>
          <w:b w:val="false"/>
          <w:color w:val="000000"/>
          <w:sz w:val="20"/>
          <w:highlight w:val="white"/>
        </w:rPr>
        <w:t>If you hold ADSs registered in your name, the depositary bank may ask you to provide proof of identity and genuineness of any signature and such other documents as the depositary bank may deem appropriate before it will cancel your ADSs. The withdrawal of the ordinary</w:t>
      </w:r>
      <w:r>
        <w:rPr>
          <w:color w:val="000000"/>
          <w:highlight w:val="white"/>
        </w:rPr>
        <w:t> </w:t>
      </w:r>
      <w:r>
        <w:rPr>
          <w:rFonts w:ascii="Times New Roman;sans-serif" w:hAnsi="Times New Roman;sans-serif"/>
          <w:b w:val="false"/>
          <w:color w:val="000000"/>
          <w:sz w:val="20"/>
          <w:highlight w:val="white"/>
        </w:rPr>
        <w:t>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have the right to withdraw the securities represented by your ADSs at any time except for:</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Temporary delays that may arise because (i) the transfer books for the ordinary</w:t>
            </w:r>
            <w:r>
              <w:rPr>
                <w:color w:val="000000"/>
              </w:rPr>
              <w:t> </w:t>
            </w:r>
            <w:r>
              <w:rPr>
                <w:rFonts w:ascii="Times New Roman;sans-serif" w:hAnsi="Times New Roman;sans-serif"/>
                <w:b w:val="false"/>
                <w:color w:val="000000"/>
                <w:sz w:val="20"/>
              </w:rPr>
              <w:t>shares or ADSs are closed, or (ii) ordinary</w:t>
            </w:r>
            <w:r>
              <w:rPr>
                <w:color w:val="000000"/>
              </w:rPr>
              <w:t> </w:t>
            </w:r>
            <w:r>
              <w:rPr>
                <w:rFonts w:ascii="Times New Roman;sans-serif" w:hAnsi="Times New Roman;sans-serif"/>
                <w:b w:val="false"/>
                <w:color w:val="000000"/>
                <w:sz w:val="20"/>
              </w:rPr>
              <w:t>shares are immobilized on account of a shareholders’ meeting or a payment of dividends.</w:t>
            </w:r>
          </w:p>
        </w:tc>
      </w:tr>
    </w:tbl>
    <w:p>
      <w:pPr>
        <w:pStyle w:val="TextBody"/>
        <w:spacing w:lineRule="auto" w:line="333" w:before="120" w:after="283"/>
        <w:rPr>
          <w:color w:val="000000"/>
          <w:highlight w:val="white"/>
        </w:rPr>
      </w:pPr>
      <w:r>
        <w:rPr>
          <w:color w:val="000000"/>
          <w:highlight w:val="white"/>
        </w:rPr>
        <w:t> </w:t>
      </w:r>
    </w:p>
    <w:tbl>
      <w:tblPr>
        <w:tblW w:w="518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224"/>
        <w:gridCol w:w="1224"/>
        <w:gridCol w:w="17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to pay fees, taxes and similar charges.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8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imposed because of laws or regulations applicable to ADSs or the withdrawal of securities on deposit.</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 agreement may not be modified to impair your right to withdraw the securities represented by your ADSs except to comply with mandatory provisions of law.</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Each holder and beneficial owner of ADSs agrees to provide such information as the company may request in a disclosure notice given pursuant to the U.K. Companies Act 2006, as amended, or the Companies Act, or the Articles. Each holder and beneficial owner of ADSs acknowledges that it understands that failure to comply with such request may result in the imposition of sanctions against the holder of the ordinary shares in respect of which the non-complying person is or was, or appears to be or has been, interested as provided in the Companies Act and the Articles which currently include, the withdrawal of the voting rights of such Shares and the imposition of restrictions on the rights to receive dividends on and to transfer such Shares.</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Voting Rights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holder, you generally have the right under the deposit agreement to instruct the depositary bank to exercise the voting rights for the ordinary shares represented by your ADSs. The voting rights of holders of ordinary shares are described in herein above.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At our request, the depositary bank will distribute to you any notice of shareholders’ meeting received from us together with information explaining how to instruct the depositary bank to exercise the voting rights of the </w:t>
      </w:r>
      <w:r>
        <w:br w:type="page"/>
      </w:r>
    </w:p>
    <w:p>
      <w:pPr>
        <w:pStyle w:val="TextBody"/>
        <w:spacing w:before="0" w:after="0"/>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351790"/>
                <wp:effectExtent l="0" t="0" r="0" b="0"/>
                <wp:wrapNone/>
                <wp:docPr id="152" name="Frame151"/>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securities represented by ADSs. In lieu of distributing such materials, the depositary bank may distribute to holders of ADSs instructions on how to retrieve such materials upon request.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the depositary bank timely receives voting instructions from a holder of ADSs, it will endeavor to vote the securities (in person or by proxy) represented by the holder’s ADSs as follows:</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voting by poll, the depositary bank will vote (or cause the Custodian to vote) the ordinary shares held on deposit in accordance with the voting instructions received from the holders of ADSs.</w:t>
            </w:r>
          </w:p>
        </w:tc>
      </w:tr>
    </w:tbl>
    <w:p>
      <w:pPr>
        <w:pStyle w:val="TextBody"/>
        <w:spacing w:lineRule="auto" w:line="333" w:before="240" w:after="283"/>
        <w:rPr/>
      </w:pPr>
      <w:r>
        <w:rPr>
          <w:rFonts w:ascii="Times New Roman;sans-serif" w:hAnsi="Times New Roman;sans-serif"/>
          <w:b w:val="false"/>
          <w:color w:val="000000"/>
          <w:sz w:val="20"/>
          <w:highlight w:val="white"/>
        </w:rPr>
        <w:t>Securities for which no voting instructions have been received will not be voted (except as otherwise contemplated in the deposit agreement).</w:t>
      </w:r>
      <w:r>
        <w:rPr>
          <w:color w:val="000000"/>
          <w:highlight w:val="white"/>
        </w:rPr>
        <w:t> </w:t>
      </w:r>
      <w:r>
        <w:rPr>
          <w:rFonts w:ascii="Times New Roman;sans-serif" w:hAnsi="Times New Roman;sans-serif"/>
          <w:b w:val="false"/>
          <w:color w:val="000000"/>
          <w:sz w:val="20"/>
          <w:highlight w:val="white"/>
        </w:rPr>
        <w:t>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Fees and Charges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an ADS holder, you are required to pay the following fees under the terms of the deposit agreement:</w:t>
      </w:r>
      <w:r>
        <w:br w:type="page"/>
      </w:r>
    </w:p>
    <w:p>
      <w:pPr>
        <w:pStyle w:val="TextBody"/>
        <w:spacing w:before="0" w:after="0"/>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351790"/>
                <wp:effectExtent l="0" t="0" r="0" b="0"/>
                <wp:wrapNone/>
                <wp:docPr id="153" name="Frame152"/>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526"/>
        <w:gridCol w:w="2228"/>
        <w:gridCol w:w="2245"/>
        <w:gridCol w:w="109"/>
        <w:gridCol w:w="109"/>
        <w:gridCol w:w="109"/>
        <w:gridCol w:w="1014"/>
        <w:gridCol w:w="761"/>
        <w:gridCol w:w="1104"/>
      </w:tblGrid>
      <w:tr>
        <w:trPr/>
        <w:tc>
          <w:tcPr>
            <w:tcW w:w="2526"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w:t>
            </w:r>
          </w:p>
        </w:tc>
      </w:tr>
      <w:tr>
        <w:trPr/>
        <w:tc>
          <w:tcPr>
            <w:tcW w:w="69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Issuance of ADSs (e.g., an issuance of ADS upon a deposit of ordinary shares, upon a change in the ADS(s)-to-ordinary share(s) ratio, or for any other reason), excluding ADS issuances as a result of distributions of ordinary shares)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issued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Cancellation of ADSs (e.g., a cancellation of ADSs for delivery of deposited property, upon a change in the ADS(s)-to-ordinary share(s) ratio, or for any other reason)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cancelled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cash dividends or other cash distributions (e.g., upon a sale of rights and other entitlements)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ADSs pursuant to (i) share dividends or other free share distributions, or (ii) exercise of rights to purchase additional ADSs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securities other than ADSs or rights to purchase additional ADSs (e.g., upon a spin-off)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ADS Services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 on the applicable record date(s) established by the depositary bank</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333" w:before="53" w:after="30"/>
              <w:ind w:left="0" w:right="0" w:hanging="360"/>
              <w:jc w:val="left"/>
              <w:rPr/>
            </w:pPr>
            <w:r>
              <w:rPr>
                <w:color w:val="000000"/>
              </w:rPr>
              <w:t>•  </w:t>
            </w:r>
            <w:r>
              <w:rPr>
                <w:rFonts w:ascii="Times New Roman;sans-serif" w:hAnsi="Times New Roman;sans-serif"/>
                <w:b w:val="false"/>
                <w:color w:val="000000"/>
                <w:sz w:val="20"/>
              </w:rPr>
              <w:t>Registration of ADS transfers (e.g., upon a registration of the transfer of registered ownership of ADSs, upon a transfer of ADSs into DTC and </w:t>
            </w:r>
            <w:r>
              <w:rPr>
                <w:rFonts w:ascii="Times New Roman;sans-serif" w:hAnsi="Times New Roman;sans-serif"/>
                <w:b w:val="false"/>
                <w:i/>
                <w:color w:val="000000"/>
                <w:sz w:val="20"/>
              </w:rPr>
              <w:t>vice versa</w:t>
            </w:r>
            <w:r>
              <w:rPr>
                <w:rFonts w:ascii="Times New Roman;sans-serif" w:hAnsi="Times New Roman;sans-serif"/>
                <w:b w:val="false"/>
                <w:color w:val="000000"/>
                <w:sz w:val="20"/>
              </w:rPr>
              <w:t>, or for any other reason)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transferred</w:t>
            </w:r>
          </w:p>
        </w:tc>
      </w:tr>
      <w:tr>
        <w:trPr/>
        <w:tc>
          <w:tcPr>
            <w:tcW w:w="6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9" w:type="dxa"/>
            <w:gridSpan w:val="3"/>
            <w:tcBorders/>
            <w:shd w:fill="auto" w:val="clear"/>
            <w:tcMar>
              <w:top w:w="0" w:type="dxa"/>
              <w:left w:w="0" w:type="dxa"/>
              <w:bottom w:w="0" w:type="dxa"/>
              <w:right w:w="0" w:type="dxa"/>
            </w:tcMar>
            <w:vAlign w:val="center"/>
          </w:tcPr>
          <w:p>
            <w:pPr>
              <w:pStyle w:val="TableContents"/>
              <w:spacing w:lineRule="auto" w:line="333" w:before="53" w:after="30"/>
              <w:ind w:left="0" w:right="0" w:hanging="360"/>
              <w:jc w:val="left"/>
              <w:rPr/>
            </w:pPr>
            <w:r>
              <w:rPr>
                <w:color w:val="000000"/>
              </w:rPr>
              <w:t>•  </w:t>
            </w:r>
            <w:r>
              <w:rPr>
                <w:rFonts w:ascii="Times New Roman;sans-serif" w:hAnsi="Times New Roman;sans-serif"/>
                <w:b w:val="false"/>
                <w:color w:val="000000"/>
                <w:sz w:val="20"/>
              </w:rPr>
              <w:t>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sans-serif" w:hAnsi="Times New Roman;sans-serif"/>
                <w:b w:val="false"/>
                <w:i/>
                <w:color w:val="000000"/>
                <w:sz w:val="20"/>
              </w:rPr>
              <w:t>vice versa</w:t>
            </w: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converted</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an ADS holder you will also be responsible to pay certain charges such as:</w:t>
      </w:r>
      <w:r>
        <w:br w:type="page"/>
      </w:r>
    </w:p>
    <w:p>
      <w:pPr>
        <w:pStyle w:val="TextBody"/>
        <w:spacing w:before="0" w:after="0"/>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351790"/>
                <wp:effectExtent l="0" t="0" r="0" b="0"/>
                <wp:wrapNone/>
                <wp:docPr id="154" name="Frame153"/>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0" w:after="0"/>
        <w:rPr>
          <w:color w:val="000000"/>
          <w:highlight w:val="white"/>
        </w:rPr>
      </w:pPr>
      <w:r>
        <w:rPr>
          <w:color w:val="000000"/>
          <w:highlight w:val="white"/>
        </w:rPr>
        <w:t> </w:t>
      </w:r>
    </w:p>
    <w:tbl>
      <w:tblPr>
        <w:tblW w:w="789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017"/>
        <w:gridCol w:w="2017"/>
        <w:gridCol w:w="28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(including applicable interest and penalties) and other governmental charges;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tc>
      </w:tr>
    </w:tbl>
    <w:p>
      <w:pPr>
        <w:pStyle w:val="TextBody"/>
        <w:spacing w:lineRule="auto" w:line="333" w:before="120" w:after="283"/>
        <w:rPr>
          <w:color w:val="000000"/>
          <w:highlight w:val="white"/>
        </w:rPr>
      </w:pPr>
      <w:r>
        <w:rPr>
          <w:color w:val="000000"/>
          <w:highlight w:val="white"/>
        </w:rPr>
        <w:t> </w:t>
      </w:r>
    </w:p>
    <w:tbl>
      <w:tblPr>
        <w:tblW w:w="677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691"/>
        <w:gridCol w:w="1691"/>
        <w:gridCol w:w="239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cable, telex and facsimile transmission and delivery expenses;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fees, expenses, spreads, taxes and other charges of the depositary bank and/or service providers (which may be a division, branch or affiliate of the depositary bank) in the conversion of foreign currency;</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reasonable and customary out-of-pocket expenses incurred by the depositary bank in connection with compliance with exchange control regulations and other regulatory requirements applicable to ordinary shares, ADSs and ADRs; and</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fees, charges, costs and expenses incurred by the depositary bank, the custodian, or any nominee in connection with the ADR program.</w:t>
            </w:r>
          </w:p>
        </w:tc>
      </w:tr>
    </w:tbl>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r>
        <w:br w:type="page"/>
      </w:r>
    </w:p>
    <w:p>
      <w:pPr>
        <w:pStyle w:val="TextBody"/>
        <w:spacing w:before="0" w:after="0"/>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351790"/>
                <wp:effectExtent l="0" t="0" r="0" b="0"/>
                <wp:wrapNone/>
                <wp:docPr id="155" name="Frame154"/>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240" w:after="283"/>
        <w:rPr/>
      </w:pPr>
      <w:r>
        <w:rPr>
          <w:rFonts w:ascii="Times New Roman;sans-serif" w:hAnsi="Times New Roman;sans-serif"/>
          <w:b w:val="false"/>
          <w:color w:val="000000"/>
          <w:sz w:val="20"/>
          <w:highlight w:val="white"/>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purchase of ADSs.</w:t>
      </w:r>
      <w:r>
        <w:rPr>
          <w:color w:val="000000"/>
          <w:highlight w:val="white"/>
        </w:rPr>
        <w:t> </w:t>
      </w:r>
      <w:r>
        <w:rPr>
          <w:rFonts w:ascii="Times New Roman;sans-serif" w:hAnsi="Times New Roman;sans-serif"/>
          <w:b w:val="false"/>
          <w:color w:val="000000"/>
          <w:sz w:val="20"/>
          <w:highlight w:val="white"/>
        </w:rPr>
        <w:t>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Amendments and Termination</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Termination</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spacing w:lineRule="auto" w:line="333" w:before="240" w:after="283"/>
        <w:rPr/>
      </w:pPr>
      <w:r>
        <w:rPr>
          <w:rFonts w:ascii="Times New Roman;sans-serif" w:hAnsi="Times New Roman;sans-serif"/>
          <w:b w:val="false"/>
          <w:color w:val="000000"/>
          <w:sz w:val="20"/>
          <w:highlight w:val="white"/>
        </w:rPr>
        <w:t>In connection with any termination of the deposit agreement, the depositary bank may make available to owners of ADSs a means to withdraw the ordinary</w:t>
      </w:r>
      <w:r>
        <w:rPr>
          <w:color w:val="000000"/>
          <w:highlight w:val="white"/>
        </w:rPr>
        <w:t> </w:t>
      </w:r>
      <w:r>
        <w:rPr>
          <w:rFonts w:ascii="Times New Roman;sans-serif" w:hAnsi="Times New Roman;sans-serif"/>
          <w:b w:val="false"/>
          <w:color w:val="000000"/>
          <w:sz w:val="20"/>
          <w:highlight w:val="white"/>
        </w:rPr>
        <w:t>shares represented by ADSs and to direct the depositary of such ordinary</w:t>
      </w:r>
      <w:r>
        <w:rPr>
          <w:color w:val="000000"/>
          <w:highlight w:val="white"/>
        </w:rPr>
        <w:t> </w:t>
      </w:r>
      <w:r>
        <w:rPr>
          <w:rFonts w:ascii="Times New Roman;sans-serif" w:hAnsi="Times New Roman;sans-serif"/>
          <w:b w:val="false"/>
          <w:color w:val="000000"/>
          <w:sz w:val="20"/>
          <w:highlight w:val="white"/>
        </w:rPr>
        <w:t>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pStyle w:val="TextBody"/>
        <w:spacing w:lineRule="auto" w:line="333" w:before="0" w:after="0"/>
        <w:rPr>
          <w:color w:val="000000"/>
          <w:highlight w:val="white"/>
        </w:rPr>
      </w:pPr>
      <w:r>
        <w:rPr>
          <w:color w:val="000000"/>
          <w:highlight w:val="white"/>
        </w:rPr>
        <w:t> </w:t>
      </w:r>
    </w:p>
    <w:p>
      <w:pPr>
        <w:pStyle w:val="TextBody"/>
        <w:spacing w:lineRule="auto" w:line="333"/>
        <w:rPr>
          <w:rFonts w:ascii="Times New Roman;sans-serif" w:hAnsi="Times New Roman;sans-serif"/>
          <w:b/>
          <w:color w:val="000000"/>
          <w:sz w:val="20"/>
          <w:highlight w:val="white"/>
        </w:rPr>
      </w:pPr>
      <w:r>
        <w:rPr>
          <w:rFonts w:ascii="Times New Roman;sans-serif" w:hAnsi="Times New Roman;sans-serif"/>
          <w:b/>
          <w:color w:val="000000"/>
          <w:sz w:val="20"/>
          <w:highlight w:val="white"/>
        </w:rPr>
        <w:t>Books of Depositary</w:t>
      </w:r>
      <w:r>
        <w:br w:type="page"/>
      </w:r>
    </w:p>
    <w:p>
      <w:pPr>
        <w:pStyle w:val="TextBody"/>
        <w:spacing w:before="0" w:after="0"/>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351790"/>
                <wp:effectExtent l="0" t="0" r="0" b="0"/>
                <wp:wrapNone/>
                <wp:docPr id="156" name="Frame155"/>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maintains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will maintain in New York facilities to record and process the issuance, cancellation, combination, split-up and transfer of ADSs. These facilities may be closed from time to time, to the extent not prohibited by law.</w: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Limitations on Obligations and Liabilities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 agreement limits our obligations and the depositary bank’s obligations to you. Please note the following:</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are obligated only to take the actions specifically stated in the deposit agreement without negligence or bad faith.</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bank disclaims any liability for any failure to carry out voting instructions, for any manner in which a vote is cast or for the effect of any vote, provided it acts in good faith and in accordance with the terms of the deposit agreement.</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38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w:t>
            </w:r>
            <w:r>
              <w:rPr>
                <w:color w:val="000000"/>
              </w:rPr>
              <w:t> </w:t>
            </w:r>
            <w:r>
              <w:rPr>
                <w:rFonts w:ascii="Times New Roman;sans-serif" w:hAnsi="Times New Roman;sans-serif"/>
                <w:b w:val="false"/>
                <w:color w:val="000000"/>
                <w:sz w:val="20"/>
              </w:rPr>
              <w:t>shares, for any tax consequences that result from the ownership of ADSs, for the credit-worthiness of any third party, for allowing any rights to lapse under the terms of the deposit agreement, for the timeliness of any of our notices or for our failure to give notice.</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381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are not obligated to perform any act that is inconsistent with the terms of the deposit agreement.</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disclaim any liability by reason of any exercise of, or failure to exercise, any discretion provided for in the deposit agreement or in our Articles or in any provisions of or governing the securities on deposit.</w:t>
            </w:r>
          </w:p>
        </w:tc>
      </w:tr>
    </w:tbl>
    <w:p>
      <w:pPr>
        <w:pStyle w:val="TextBody"/>
        <w:spacing w:lineRule="auto" w:line="333" w:before="120" w:after="283"/>
        <w:rPr>
          <w:color w:val="000000"/>
          <w:highlight w:val="white"/>
        </w:rPr>
      </w:pPr>
      <w:r>
        <w:rPr>
          <w:color w:val="000000"/>
          <w:highlight w:val="white"/>
        </w:rPr>
        <w:t> </w:t>
      </w:r>
      <w:r>
        <w:br w:type="page"/>
      </w:r>
    </w:p>
    <w:p>
      <w:pPr>
        <w:pStyle w:val="TextBody"/>
        <w:spacing w:before="0" w:after="0"/>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351790"/>
                <wp:effectExtent l="0" t="0" r="0" b="0"/>
                <wp:wrapNone/>
                <wp:docPr id="157" name="Frame156"/>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We and the depositary bank also disclaim liability for the inability by a holder to benefit from any distribution, offering, right or other benefit that is made available to holders of ordinary</w:t>
            </w:r>
            <w:r>
              <w:rPr>
                <w:color w:val="000000"/>
              </w:rPr>
              <w:t> </w:t>
            </w:r>
            <w:r>
              <w:rPr>
                <w:rFonts w:ascii="Times New Roman;sans-serif" w:hAnsi="Times New Roman;sans-serif"/>
                <w:b w:val="false"/>
                <w:color w:val="000000"/>
                <w:sz w:val="20"/>
              </w:rPr>
              <w:t>shares but is not, under the terms of the deposit agreement, made available to you.</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2691" w:type="dxa"/>
            <w:tcBorders/>
            <w:shd w:fill="auto" w:val="clear"/>
            <w:vAlign w:val="center"/>
          </w:tcPr>
          <w:p>
            <w:pPr>
              <w:pStyle w:val="TableContents"/>
              <w:spacing w:before="0" w:after="283"/>
              <w:rPr>
                <w:sz w:val="4"/>
                <w:szCs w:val="4"/>
              </w:rPr>
            </w:pPr>
            <w:r>
              <w:rPr>
                <w:sz w:val="4"/>
                <w:szCs w:val="4"/>
              </w:rPr>
            </w:r>
          </w:p>
        </w:tc>
        <w:tc>
          <w:tcPr>
            <w:tcW w:w="38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may rely without any liability upon any written notice, request or other document believed to be genuine and to have been signed or presented by the proper parties.</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also disclaim liability for any consequential or punitive damages for any breach of the terms of the deposit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33"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disclaimer of any Securities Act liability is intended by any provision of the deposit agreement.</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the deposit agreement gives rise to a partnership or joint venture, or establishes a fiduciary relationship, among us, the depositary bank and you as ADS holder.</w:t>
            </w:r>
          </w:p>
        </w:tc>
      </w:tr>
    </w:tbl>
    <w:p>
      <w:pPr>
        <w:pStyle w:val="TextBody"/>
        <w:spacing w:lineRule="auto" w:line="333" w:before="120" w:after="283"/>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the deposit agreement precludes Citibank, N.A. (or its affiliates) from engaging in transactions in which parties adverse to us or the holders or beneficial owners of ADS have interests, and nothing in the deposit agreement obligates Citibank, N.A. to disclose those transactions, or any information obtained in the course of those transactions, to us or to the holders or beneficial owners of ADS, or to account for any payment received as part of those transactions.</w:t>
            </w:r>
          </w:p>
        </w:tc>
      </w:tr>
    </w:tbl>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Taxes</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You are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are liable for any deficiency if the sale proceeds do not cover the taxes that are due.</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r>
        <w:br w:type="page"/>
      </w:r>
    </w:p>
    <w:p>
      <w:pPr>
        <w:pStyle w:val="TextBody"/>
        <w:spacing w:before="0" w:after="0"/>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351790"/>
                <wp:effectExtent l="0" t="0" r="0" b="0"/>
                <wp:wrapNone/>
                <wp:docPr id="158" name="Frame157"/>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Foreign Currency Conversion</w:t>
      </w:r>
    </w:p>
    <w:p>
      <w:pPr>
        <w:pStyle w:val="TextBody"/>
        <w:spacing w:lineRule="auto" w:line="333"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spacing w:lineRule="auto" w:line="333"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spacing w:lineRule="auto" w:line="333" w:before="0" w:after="0"/>
        <w:rPr>
          <w:color w:val="000000"/>
          <w:highlight w:val="white"/>
        </w:rPr>
      </w:pPr>
      <w:r>
        <w:rPr>
          <w:color w:val="000000"/>
          <w:highlight w:val="white"/>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 the foreign currency to the extent practical and lawful and distribute the U.S. dollars to the holders for whom the conversion and distribution is lawful and practical.</w:t>
            </w:r>
          </w:p>
        </w:tc>
      </w:tr>
    </w:tbl>
    <w:p>
      <w:pPr>
        <w:pStyle w:val="TextBody"/>
        <w:spacing w:lineRule="auto" w:line="333" w:before="120" w:after="283"/>
        <w:rPr>
          <w:color w:val="000000"/>
          <w:highlight w:val="white"/>
        </w:rPr>
      </w:pPr>
      <w:r>
        <w:rPr>
          <w:color w:val="000000"/>
          <w:highlight w:val="white"/>
        </w:rPr>
        <w:t> </w:t>
      </w:r>
    </w:p>
    <w:tbl>
      <w:tblPr>
        <w:tblW w:w="848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189"/>
        <w:gridCol w:w="2189"/>
        <w:gridCol w:w="310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310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 the foreign currency to holders for whom the distribution is lawful and practical.</w:t>
            </w:r>
          </w:p>
        </w:tc>
      </w:tr>
    </w:tbl>
    <w:p>
      <w:pPr>
        <w:pStyle w:val="TextBody"/>
        <w:spacing w:lineRule="auto" w:line="333" w:before="120" w:after="283"/>
        <w:rPr>
          <w:color w:val="000000"/>
          <w:highlight w:val="white"/>
        </w:rPr>
      </w:pPr>
      <w:r>
        <w:rPr>
          <w:color w:val="000000"/>
          <w:highlight w:val="white"/>
        </w:rPr>
        <w:t> </w:t>
      </w:r>
    </w:p>
    <w:tbl>
      <w:tblPr>
        <w:tblW w:w="780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990"/>
        <w:gridCol w:w="1990"/>
        <w:gridCol w:w="28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28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 the foreign currency (without liability for interest) for the applicable holders.</w:t>
            </w:r>
          </w:p>
        </w:tc>
      </w:tr>
    </w:tbl>
    <w:p>
      <w:pPr>
        <w:pStyle w:val="TextBody"/>
        <w:spacing w:lineRule="auto" w:line="333" w:before="36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Governing Law/Waiver of Jury Trial</w:t>
      </w:r>
    </w:p>
    <w:p>
      <w:pPr>
        <w:pStyle w:val="TextBody"/>
        <w:spacing w:lineRule="auto" w:line="333" w:before="120" w:after="283"/>
        <w:rPr/>
      </w:pPr>
      <w:r>
        <w:rPr>
          <w:rFonts w:ascii="Times New Roman;sans-serif" w:hAnsi="Times New Roman;sans-serif"/>
          <w:b w:val="false"/>
          <w:color w:val="000000"/>
          <w:sz w:val="20"/>
          <w:highlight w:val="white"/>
        </w:rPr>
        <w:t>The deposit agreement, the ADRs, and the ADSs will be interpreted in accordance with the laws of the State of New York. The rights of holders of ordinary</w:t>
      </w:r>
      <w:r>
        <w:rPr>
          <w:color w:val="000000"/>
          <w:highlight w:val="white"/>
        </w:rPr>
        <w:t> </w:t>
      </w:r>
      <w:r>
        <w:rPr>
          <w:rFonts w:ascii="Times New Roman;sans-serif" w:hAnsi="Times New Roman;sans-serif"/>
          <w:b w:val="false"/>
          <w:color w:val="000000"/>
          <w:sz w:val="20"/>
          <w:highlight w:val="white"/>
        </w:rPr>
        <w:t>shares (including</w:t>
      </w:r>
      <w:r>
        <w:rPr>
          <w:color w:val="000000"/>
          <w:highlight w:val="white"/>
        </w:rPr>
        <w:t> </w:t>
      </w:r>
      <w:r>
        <w:rPr>
          <w:rFonts w:ascii="Times New Roman;sans-serif" w:hAnsi="Times New Roman;sans-serif"/>
          <w:b w:val="false"/>
          <w:color w:val="000000"/>
          <w:sz w:val="20"/>
          <w:highlight w:val="white"/>
        </w:rPr>
        <w:t>ordinary</w:t>
      </w:r>
      <w:r>
        <w:rPr>
          <w:color w:val="000000"/>
          <w:highlight w:val="white"/>
        </w:rPr>
        <w:t> </w:t>
      </w:r>
      <w:r>
        <w:rPr>
          <w:rFonts w:ascii="Times New Roman;sans-serif" w:hAnsi="Times New Roman;sans-serif"/>
          <w:b w:val="false"/>
          <w:color w:val="000000"/>
          <w:sz w:val="20"/>
          <w:highlight w:val="white"/>
        </w:rPr>
        <w:t>shares represented by ADSs) is governed by the laws of England and Wales.</w:t>
      </w:r>
    </w:p>
    <w:p>
      <w:pPr>
        <w:pStyle w:val="TextBody"/>
        <w:spacing w:lineRule="auto" w:line="333"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 PARTY TO THE DEPOSIT AGREEMENT, YOU IRREVOCABLY WAIVE, TO THE FULLEST EXTENT PERMITTED BY APPLICABLE LAW, YOUR RIGHT TO TRIAL BY JURY IN ANY LEGAL PROCEEDING ARISING OUT OF, OR RELATING TO, THE DEPOSIT AGREEMENT OR THE ADRs, OR ANYTHING CONTAINED THEREIN AGAINST US AND/OR THE DEPOSITARY.</w:t>
      </w:r>
    </w:p>
    <w:p>
      <w:pPr>
        <w:pStyle w:val="TextBody"/>
        <w:spacing w:lineRule="auto" w:line="333" w:before="0" w:after="0"/>
        <w:rPr>
          <w:color w:val="000000"/>
          <w:highlight w:val="white"/>
        </w:rPr>
      </w:pPr>
      <w:r>
        <w:rPr>
          <w:color w:val="000000"/>
          <w:highlight w:val="white"/>
        </w:rPr>
        <w:t> </w:t>
      </w:r>
    </w:p>
    <w:p>
      <w:pPr>
        <w:pStyle w:val="TextBody"/>
        <w:spacing w:lineRule="auto" w:line="33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w:t>
      </w:r>
      <w:r>
        <w:rPr>
          <w:rFonts w:ascii="Times New Roman;sans-serif" w:hAnsi="Times New Roman;sans-serif"/>
          <w:b/>
          <w:color w:val="000000"/>
          <w:sz w:val="24"/>
          <w:highlight w:val="white"/>
        </w:rPr>
        <w:t>xhibit 4.16</w:t>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351790"/>
                <wp:effectExtent l="0" t="0" r="0" b="0"/>
                <wp:wrapNone/>
                <wp:docPr id="159" name="Frame158"/>
                <a:graphic xmlns:a="http://schemas.openxmlformats.org/drawingml/2006/main">
                  <a:graphicData uri="http://schemas.microsoft.com/office/word/2010/wordprocessingShape">
                    <wps:wsp>
                      <wps:cNvSpPr txBox="1"/>
                      <wps:spPr>
                        <a:xfrm>
                          <a:off x="0" y="0"/>
                          <a:ext cx="6480175" cy="351790"/>
                        </a:xfrm>
                        <a:prstGeom prst="rect"/>
                      </wps:spPr>
                      <wps:txbx>
                        <w:txbxContent>
                          <w:p>
                            <w:pPr>
                              <w:pStyle w:val="TextBody"/>
                              <w:spacing w:before="0" w:after="2"/>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2"/>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spacing w:before="0" w:after="240"/>
        <w:jc w:val="center"/>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VOTING AGREEMENT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spacing w:before="0" w:after="0"/>
        <w:rPr/>
      </w:pPr>
      <w:r>
        <w:rPr/>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046" w:type="dxa"/>
        <w:jc w:val="left"/>
        <w:tblInd w:w="0" w:type="dxa"/>
        <w:tblCellMar>
          <w:top w:w="28" w:type="dxa"/>
          <w:left w:w="28" w:type="dxa"/>
          <w:bottom w:w="28" w:type="dxa"/>
          <w:right w:w="28" w:type="dxa"/>
        </w:tblCellMar>
      </w:tblPr>
      <w:tblGrid>
        <w:gridCol w:w="2046"/>
        <w:gridCol w:w="1802"/>
        <w:gridCol w:w="1807"/>
        <w:gridCol w:w="114"/>
        <w:gridCol w:w="114"/>
        <w:gridCol w:w="163"/>
      </w:tblGrid>
      <w:tr>
        <w:trPr/>
        <w:tc>
          <w:tcPr>
            <w:tcW w:w="2046"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w:t>
              </w:r>
            </w:hyperlink>
            <w:hyperlink w:anchor="i788b03cca3764438a7c73337fdafc7a0_7">
              <w:r>
                <w:rPr>
                  <w:rStyle w:val="InternetLink"/>
                </w:rPr>
                <w:t>    </w:t>
              </w:r>
            </w:hyperlink>
            <w:hyperlink w:anchor="i788b03cca3764438a7c73337fdafc7a0_7">
              <w:r>
                <w:rPr>
                  <w:rStyle w:val="InternetLink"/>
                </w:rPr>
                <w:t>Voting Provisions Regarding the Board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1.1</w:t>
              </w:r>
            </w:hyperlink>
            <w:hyperlink w:anchor="i788b03cca3764438a7c73337fdafc7a0_7">
              <w:r>
                <w:rPr>
                  <w:rStyle w:val="InternetLink"/>
                </w:rPr>
                <w:t>    </w:t>
              </w:r>
            </w:hyperlink>
            <w:hyperlink w:anchor="i788b03cca3764438a7c73337fdafc7a0_7">
              <w:r>
                <w:rPr>
                  <w:rStyle w:val="InternetLink"/>
                </w:rPr>
                <w:t>Size of the Board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1.2</w:t>
              </w:r>
            </w:hyperlink>
            <w:hyperlink w:anchor="i788b03cca3764438a7c73337fdafc7a0_7">
              <w:r>
                <w:rPr>
                  <w:rStyle w:val="InternetLink"/>
                </w:rPr>
                <w:t>    </w:t>
              </w:r>
            </w:hyperlink>
            <w:hyperlink w:anchor="i788b03cca3764438a7c73337fdafc7a0_7">
              <w:r>
                <w:rPr>
                  <w:rStyle w:val="InternetLink"/>
                </w:rPr>
                <w:t>Board Composition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1.3</w:t>
              </w:r>
            </w:hyperlink>
            <w:hyperlink w:anchor="i788b03cca3764438a7c73337fdafc7a0_7">
              <w:r>
                <w:rPr>
                  <w:rStyle w:val="InternetLink"/>
                </w:rPr>
                <w:t>    </w:t>
              </w:r>
            </w:hyperlink>
            <w:hyperlink w:anchor="i788b03cca3764438a7c73337fdafc7a0_7">
              <w:r>
                <w:rPr>
                  <w:rStyle w:val="InternetLink"/>
                </w:rPr>
                <w:t>Failure to Designate a Board Member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3</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1.4</w:t>
              </w:r>
            </w:hyperlink>
            <w:hyperlink w:anchor="i788b03cca3764438a7c73337fdafc7a0_7">
              <w:r>
                <w:rPr>
                  <w:rStyle w:val="InternetLink"/>
                </w:rPr>
                <w:t>    </w:t>
              </w:r>
            </w:hyperlink>
            <w:hyperlink w:anchor="i788b03cca3764438a7c73337fdafc7a0_7">
              <w:r>
                <w:rPr>
                  <w:rStyle w:val="InternetLink"/>
                </w:rPr>
                <w:t>Removal of Board Members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3</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1.5</w:t>
              </w:r>
            </w:hyperlink>
            <w:hyperlink w:anchor="i788b03cca3764438a7c73337fdafc7a0_7">
              <w:r>
                <w:rPr>
                  <w:rStyle w:val="InternetLink"/>
                </w:rPr>
                <w:t>    </w:t>
              </w:r>
            </w:hyperlink>
            <w:hyperlink w:anchor="i788b03cca3764438a7c73337fdafc7a0_7">
              <w:r>
                <w:rPr>
                  <w:rStyle w:val="InternetLink"/>
                </w:rPr>
                <w:t>No Liability for Election of Recommended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1.6</w:t>
              </w:r>
            </w:hyperlink>
            <w:hyperlink w:anchor="i788b03cca3764438a7c73337fdafc7a0_7">
              <w:r>
                <w:rPr>
                  <w:rStyle w:val="InternetLink"/>
                </w:rPr>
                <w:t>    </w:t>
              </w:r>
            </w:hyperlink>
            <w:hyperlink w:anchor="i788b03cca3764438a7c73337fdafc7a0_7">
              <w:r>
                <w:rPr>
                  <w:rStyle w:val="InternetLink"/>
                </w:rPr>
                <w:t>No “Bad Actor” Designees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2.</w:t>
              </w:r>
            </w:hyperlink>
            <w:hyperlink w:anchor="i788b03cca3764438a7c73337fdafc7a0_7">
              <w:r>
                <w:rPr>
                  <w:rStyle w:val="InternetLink"/>
                </w:rPr>
                <w:t>    </w:t>
              </w:r>
            </w:hyperlink>
            <w:hyperlink w:anchor="i788b03cca3764438a7c73337fdafc7a0_7">
              <w:r>
                <w:rPr>
                  <w:rStyle w:val="InternetLink"/>
                </w:rPr>
                <w:t>Vote to Increase Authorized Common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w:t>
              </w:r>
            </w:hyperlink>
            <w:hyperlink w:anchor="i788b03cca3764438a7c73337fdafc7a0_7">
              <w:r>
                <w:rPr>
                  <w:rStyle w:val="InternetLink"/>
                </w:rPr>
                <w:t>    </w:t>
              </w:r>
            </w:hyperlink>
            <w:hyperlink w:anchor="i788b03cca3764438a7c73337fdafc7a0_7">
              <w:r>
                <w:rPr>
                  <w:rStyle w:val="InternetLink"/>
                </w:rPr>
                <w:t>Drag-Along Right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3.1</w:t>
              </w:r>
            </w:hyperlink>
            <w:hyperlink w:anchor="i788b03cca3764438a7c73337fdafc7a0_7">
              <w:r>
                <w:rPr>
                  <w:rStyle w:val="InternetLink"/>
                </w:rPr>
                <w:t>    </w:t>
              </w:r>
            </w:hyperlink>
            <w:hyperlink w:anchor="i788b03cca3764438a7c73337fdafc7a0_7">
              <w:r>
                <w:rPr>
                  <w:rStyle w:val="InternetLink"/>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3.2</w:t>
              </w:r>
            </w:hyperlink>
            <w:hyperlink w:anchor="i788b03cca3764438a7c73337fdafc7a0_7">
              <w:r>
                <w:rPr>
                  <w:rStyle w:val="InternetLink"/>
                </w:rPr>
                <w:t>    </w:t>
              </w:r>
            </w:hyperlink>
            <w:hyperlink w:anchor="i788b03cca3764438a7c73337fdafc7a0_7">
              <w:r>
                <w:rPr>
                  <w:rStyle w:val="InternetLink"/>
                </w:rPr>
                <w:t>Actions to be Taken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5</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3.3</w:t>
              </w:r>
            </w:hyperlink>
            <w:hyperlink w:anchor="i788b03cca3764438a7c73337fdafc7a0_7">
              <w:r>
                <w:rPr>
                  <w:rStyle w:val="InternetLink"/>
                </w:rPr>
                <w:t>    </w:t>
              </w:r>
            </w:hyperlink>
            <w:hyperlink w:anchor="i788b03cca3764438a7c73337fdafc7a0_7">
              <w:r>
                <w:rPr>
                  <w:rStyle w:val="InternetLink"/>
                </w:rPr>
                <w:t>Conditions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6</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3.4</w:t>
              </w:r>
            </w:hyperlink>
            <w:hyperlink w:anchor="i788b03cca3764438a7c73337fdafc7a0_7">
              <w:r>
                <w:rPr>
                  <w:rStyle w:val="InternetLink"/>
                </w:rPr>
                <w:t>    </w:t>
              </w:r>
            </w:hyperlink>
            <w:hyperlink w:anchor="i788b03cca3764438a7c73337fdafc7a0_7">
              <w:r>
                <w:rPr>
                  <w:rStyle w:val="InternetLink"/>
                </w:rPr>
                <w:t>Restrictions on Sales of Control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3.5</w:t>
              </w:r>
            </w:hyperlink>
            <w:hyperlink w:anchor="i788b03cca3764438a7c73337fdafc7a0_7">
              <w:r>
                <w:rPr>
                  <w:rStyle w:val="InternetLink"/>
                </w:rPr>
                <w:t>    </w:t>
              </w:r>
            </w:hyperlink>
            <w:hyperlink w:anchor="i788b03cca3764438a7c73337fdafc7a0_7">
              <w:r>
                <w:rPr>
                  <w:rStyle w:val="InternetLink"/>
                </w:rPr>
                <w:t xml:space="preserve">Consideration Payable to </w:t>
              </w:r>
            </w:hyperlink>
            <w:hyperlink w:anchor="i788b03cca3764438a7c73337fdafc7a0_7">
              <w:r>
                <w:rPr>
                  <w:rStyle w:val="InternetLink"/>
                  <w:rFonts w:ascii="Times New Roman;sans-serif" w:hAnsi="Times New Roman;sans-serif"/>
                  <w:b/>
                  <w:strike w:val="false"/>
                  <w:dstrike w:val="false"/>
                  <w:color w:val="000000"/>
                  <w:sz w:val="24"/>
                  <w:u w:val="none"/>
                  <w:effect w:val="none"/>
                </w:rPr>
                <w:t>[</w:t>
              </w:r>
            </w:hyperlink>
            <w:hyperlink w:anchor="i788b03cca3764438a7c73337fdafc7a0_7">
              <w:r>
                <w:rPr>
                  <w:rStyle w:val="InternetLink"/>
                  <w:rFonts w:ascii="Times New Roman;sans-serif" w:hAnsi="Times New Roman;sans-serif"/>
                  <w:b w:val="false"/>
                  <w:strike w:val="false"/>
                  <w:dstrike w:val="false"/>
                  <w:color w:val="000000"/>
                  <w:sz w:val="24"/>
                  <w:u w:val="none"/>
                  <w:effect w:val="none"/>
                </w:rPr>
                <w:t>***</w:t>
              </w:r>
            </w:hyperlink>
            <w:hyperlink w:anchor="i788b03cca3764438a7c73337fdafc7a0_7">
              <w:r>
                <w:rPr>
                  <w:rStyle w:val="InternetLink"/>
                  <w:rFonts w:ascii="Times New Roman;sans-serif" w:hAnsi="Times New Roman;sans-serif"/>
                  <w:b/>
                  <w:strike w:val="false"/>
                  <w:dstrike w:val="false"/>
                  <w:color w:val="000000"/>
                  <w:sz w:val="24"/>
                  <w:u w:val="none"/>
                  <w:effect w:val="none"/>
                </w:rPr>
                <w: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4.</w:t>
              </w:r>
            </w:hyperlink>
            <w:hyperlink w:anchor="i788b03cca3764438a7c73337fdafc7a0_7">
              <w:r>
                <w:rPr>
                  <w:rStyle w:val="InternetLink"/>
                </w:rPr>
                <w:t>    </w:t>
              </w:r>
            </w:hyperlink>
            <w:hyperlink w:anchor="i788b03cca3764438a7c73337fdafc7a0_7">
              <w:r>
                <w:rPr>
                  <w:rStyle w:val="InternetLink"/>
                </w:rPr>
                <w:t>Remedies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4.1</w:t>
              </w:r>
            </w:hyperlink>
            <w:hyperlink w:anchor="i788b03cca3764438a7c73337fdafc7a0_7">
              <w:r>
                <w:rPr>
                  <w:rStyle w:val="InternetLink"/>
                </w:rPr>
                <w:t>    </w:t>
              </w:r>
            </w:hyperlink>
            <w:hyperlink w:anchor="i788b03cca3764438a7c73337fdafc7a0_7">
              <w:r>
                <w:rPr>
                  <w:rStyle w:val="InternetLink"/>
                </w:rPr>
                <w:t>Covenants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4.2</w:t>
              </w:r>
            </w:hyperlink>
            <w:hyperlink w:anchor="i788b03cca3764438a7c73337fdafc7a0_7">
              <w:r>
                <w:rPr>
                  <w:rStyle w:val="InternetLink"/>
                </w:rPr>
                <w:t>    </w:t>
              </w:r>
            </w:hyperlink>
            <w:hyperlink w:anchor="i788b03cca3764438a7c73337fdafc7a0_7">
              <w:r>
                <w:rPr>
                  <w:rStyle w:val="InternetLink"/>
                </w:rPr>
                <w:t>Irrevocable Proxy and Power of Attorney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4.3</w:t>
              </w:r>
            </w:hyperlink>
            <w:hyperlink w:anchor="i788b03cca3764438a7c73337fdafc7a0_7">
              <w:r>
                <w:rPr>
                  <w:rStyle w:val="InternetLink"/>
                </w:rPr>
                <w:t>    </w:t>
              </w:r>
            </w:hyperlink>
            <w:hyperlink w:anchor="i788b03cca3764438a7c73337fdafc7a0_7">
              <w:r>
                <w:rPr>
                  <w:rStyle w:val="InternetLink"/>
                </w:rPr>
                <w:t>Specific Enforcement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4.4</w:t>
              </w:r>
            </w:hyperlink>
            <w:hyperlink w:anchor="i788b03cca3764438a7c73337fdafc7a0_7">
              <w:r>
                <w:rPr>
                  <w:rStyle w:val="InternetLink"/>
                </w:rPr>
                <w:t>    </w:t>
              </w:r>
            </w:hyperlink>
            <w:hyperlink w:anchor="i788b03cca3764438a7c73337fdafc7a0_7">
              <w:r>
                <w:rPr>
                  <w:rStyle w:val="InternetLink"/>
                </w:rPr>
                <w:t>Remedies Cumulative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5.</w:t>
              </w:r>
            </w:hyperlink>
            <w:hyperlink w:anchor="i788b03cca3764438a7c73337fdafc7a0_7">
              <w:r>
                <w:rPr>
                  <w:rStyle w:val="InternetLink"/>
                </w:rPr>
                <w:t>    </w:t>
              </w:r>
            </w:hyperlink>
            <w:hyperlink w:anchor="i788b03cca3764438a7c73337fdafc7a0_7">
              <w:r>
                <w:rPr>
                  <w:rStyle w:val="InternetLink"/>
                </w:rPr>
                <w:t>“Bad Actor”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5.1</w:t>
              </w:r>
            </w:hyperlink>
            <w:hyperlink w:anchor="i788b03cca3764438a7c73337fdafc7a0_7">
              <w:r>
                <w:rPr>
                  <w:rStyle w:val="InternetLink"/>
                </w:rPr>
                <w:t>    </w:t>
              </w:r>
            </w:hyperlink>
            <w:hyperlink w:anchor="i788b03cca3764438a7c73337fdafc7a0_7">
              <w:r>
                <w:rPr>
                  <w:rStyle w:val="InternetLink"/>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5.2</w:t>
              </w:r>
            </w:hyperlink>
            <w:hyperlink w:anchor="i788b03cca3764438a7c73337fdafc7a0_7">
              <w:r>
                <w:rPr>
                  <w:rStyle w:val="InternetLink"/>
                </w:rPr>
                <w:t>    </w:t>
              </w:r>
            </w:hyperlink>
            <w:hyperlink w:anchor="i788b03cca3764438a7c73337fdafc7a0_7">
              <w:r>
                <w:rPr>
                  <w:rStyle w:val="InternetLink"/>
                </w:rPr>
                <w:t>Representations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10</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v:rect>
            </w:pict>
          </mc:Fallback>
        </mc:AlternateContent>
      </w:r>
    </w:p>
    <w:tbl>
      <w:tblPr>
        <w:tblW w:w="6601" w:type="dxa"/>
        <w:jc w:val="left"/>
        <w:tblInd w:w="0" w:type="dxa"/>
        <w:tblCellMar>
          <w:top w:w="28" w:type="dxa"/>
          <w:left w:w="28" w:type="dxa"/>
          <w:bottom w:w="28" w:type="dxa"/>
          <w:right w:w="28" w:type="dxa"/>
        </w:tblCellMar>
      </w:tblPr>
      <w:tblGrid>
        <w:gridCol w:w="2250"/>
        <w:gridCol w:w="1977"/>
        <w:gridCol w:w="1983"/>
        <w:gridCol w:w="114"/>
        <w:gridCol w:w="114"/>
        <w:gridCol w:w="163"/>
      </w:tblGrid>
      <w:tr>
        <w:trPr/>
        <w:tc>
          <w:tcPr>
            <w:tcW w:w="2250"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5.3</w:t>
              </w:r>
            </w:hyperlink>
            <w:hyperlink w:anchor="i788b03cca3764438a7c73337fdafc7a0_7">
              <w:r>
                <w:rPr>
                  <w:rStyle w:val="InternetLink"/>
                </w:rPr>
                <w:t>    </w:t>
              </w:r>
            </w:hyperlink>
            <w:hyperlink w:anchor="i788b03cca3764438a7c73337fdafc7a0_7">
              <w:r>
                <w:rPr>
                  <w:rStyle w:val="InternetLink"/>
                </w:rPr>
                <w:t>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10</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6.</w:t>
              </w:r>
            </w:hyperlink>
            <w:hyperlink w:anchor="i788b03cca3764438a7c73337fdafc7a0_7">
              <w:r>
                <w:rPr>
                  <w:rStyle w:val="InternetLink"/>
                </w:rPr>
                <w:t>    </w:t>
              </w:r>
            </w:hyperlink>
            <w:hyperlink w:anchor="i788b03cca3764438a7c73337fdafc7a0_7">
              <w:r>
                <w:rPr>
                  <w:rStyle w:val="InternetLink"/>
                </w:rPr>
                <w:t>Term</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w:t>
              </w:r>
            </w:hyperlink>
            <w:hyperlink w:anchor="i788b03cca3764438a7c73337fdafc7a0_7">
              <w:r>
                <w:rPr>
                  <w:rStyle w:val="InternetLink"/>
                </w:rPr>
                <w:t>    </w:t>
              </w:r>
            </w:hyperlink>
            <w:hyperlink w:anchor="i788b03cca3764438a7c73337fdafc7a0_7">
              <w:r>
                <w:rPr>
                  <w:rStyle w:val="InternetLink"/>
                </w:rPr>
                <w:t>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w:t>
              </w:r>
            </w:hyperlink>
            <w:hyperlink w:anchor="i788b03cca3764438a7c73337fdafc7a0_7">
              <w:r>
                <w:rPr>
                  <w:rStyle w:val="InternetLink"/>
                </w:rPr>
                <w:t>    </w:t>
              </w:r>
            </w:hyperlink>
            <w:hyperlink w:anchor="i788b03cca3764438a7c73337fdafc7a0_7">
              <w:r>
                <w:rPr>
                  <w:rStyle w:val="InternetLink"/>
                </w:rPr>
                <w:t>Additional Parties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7.2</w:t>
              </w:r>
            </w:hyperlink>
            <w:hyperlink w:anchor="i788b03cca3764438a7c73337fdafc7a0_7">
              <w:r>
                <w:rPr>
                  <w:rStyle w:val="InternetLink"/>
                </w:rPr>
                <w:t>    </w:t>
              </w:r>
            </w:hyperlink>
            <w:hyperlink w:anchor="i788b03cca3764438a7c73337fdafc7a0_7">
              <w:r>
                <w:rPr>
                  <w:rStyle w:val="InternetLink"/>
                </w:rPr>
                <w:t>Transfers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7.3</w:t>
              </w:r>
            </w:hyperlink>
            <w:hyperlink w:anchor="i788b03cca3764438a7c73337fdafc7a0_7">
              <w:r>
                <w:rPr>
                  <w:rStyle w:val="InternetLink"/>
                </w:rPr>
                <w:t>    </w:t>
              </w:r>
            </w:hyperlink>
            <w:hyperlink w:anchor="i788b03cca3764438a7c73337fdafc7a0_7">
              <w:r>
                <w:rPr>
                  <w:rStyle w:val="InternetLink"/>
                </w:rPr>
                <w:t>Successors and Assigns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7.4</w:t>
              </w:r>
            </w:hyperlink>
            <w:hyperlink w:anchor="i788b03cca3764438a7c73337fdafc7a0_7">
              <w:r>
                <w:rPr>
                  <w:rStyle w:val="InternetLink"/>
                </w:rPr>
                <w:t>    </w:t>
              </w:r>
            </w:hyperlink>
            <w:hyperlink w:anchor="i788b03cca3764438a7c73337fdafc7a0_7">
              <w:r>
                <w:rPr>
                  <w:rStyle w:val="InternetLink"/>
                </w:rPr>
                <w:t>Governing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7.5</w:t>
              </w:r>
            </w:hyperlink>
            <w:hyperlink w:anchor="i788b03cca3764438a7c73337fdafc7a0_7">
              <w:r>
                <w:rPr>
                  <w:rStyle w:val="InternetLink"/>
                </w:rPr>
                <w:t>    </w:t>
              </w:r>
            </w:hyperlink>
            <w:hyperlink w:anchor="i788b03cca3764438a7c73337fdafc7a0_7">
              <w:r>
                <w:rPr>
                  <w:rStyle w:val="InternetLink"/>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7.6</w:t>
              </w:r>
            </w:hyperlink>
            <w:hyperlink w:anchor="i788b03cca3764438a7c73337fdafc7a0_7">
              <w:r>
                <w:rPr>
                  <w:rStyle w:val="InternetLink"/>
                </w:rPr>
                <w:t>    </w:t>
              </w:r>
            </w:hyperlink>
            <w:hyperlink w:anchor="i788b03cca3764438a7c73337fdafc7a0_7">
              <w:r>
                <w:rPr>
                  <w:rStyle w:val="InternetLink"/>
                </w:rPr>
                <w:t>Titles and Subtitles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7.7</w:t>
              </w:r>
            </w:hyperlink>
            <w:hyperlink w:anchor="i788b03cca3764438a7c73337fdafc7a0_7">
              <w:r>
                <w:rPr>
                  <w:rStyle w:val="InternetLink"/>
                </w:rPr>
                <w:t>    </w:t>
              </w:r>
            </w:hyperlink>
            <w:hyperlink w:anchor="i788b03cca3764438a7c73337fdafc7a0_7">
              <w:r>
                <w:rPr>
                  <w:rStyle w:val="InternetLink"/>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7.8</w:t>
              </w:r>
            </w:hyperlink>
            <w:hyperlink w:anchor="i788b03cca3764438a7c73337fdafc7a0_7">
              <w:r>
                <w:rPr>
                  <w:rStyle w:val="InternetLink"/>
                </w:rPr>
                <w:t>    </w:t>
              </w:r>
            </w:hyperlink>
            <w:hyperlink w:anchor="i788b03cca3764438a7c73337fdafc7a0_7">
              <w:r>
                <w:rPr>
                  <w:rStyle w:val="InternetLink"/>
                </w:rPr>
                <w:t>Consent Required to Amend, Modify, Terminate or Waive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13</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7.9</w:t>
              </w:r>
            </w:hyperlink>
            <w:hyperlink w:anchor="i788b03cca3764438a7c73337fdafc7a0_7">
              <w:r>
                <w:rPr>
                  <w:rStyle w:val="InternetLink"/>
                </w:rPr>
                <w:t>    </w:t>
              </w:r>
            </w:hyperlink>
            <w:hyperlink w:anchor="i788b03cca3764438a7c73337fdafc7a0_7">
              <w:r>
                <w:rPr>
                  <w:rStyle w:val="InternetLink"/>
                </w:rPr>
                <w:t>Delays or Omissions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7.10</w:t>
              </w:r>
            </w:hyperlink>
            <w:hyperlink w:anchor="i788b03cca3764438a7c73337fdafc7a0_7">
              <w:r>
                <w:rPr>
                  <w:rStyle w:val="InternetLink"/>
                </w:rPr>
                <w:t>    </w:t>
              </w:r>
            </w:hyperlink>
            <w:hyperlink w:anchor="i788b03cca3764438a7c73337fdafc7a0_7">
              <w:r>
                <w:rPr>
                  <w:rStyle w:val="InternetLink"/>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7.11</w:t>
              </w:r>
            </w:hyperlink>
            <w:hyperlink w:anchor="i788b03cca3764438a7c73337fdafc7a0_7">
              <w:r>
                <w:rPr>
                  <w:rStyle w:val="InternetLink"/>
                </w:rPr>
                <w:t>    </w:t>
              </w:r>
            </w:hyperlink>
            <w:hyperlink w:anchor="i788b03cca3764438a7c73337fdafc7a0_7">
              <w:r>
                <w:rPr>
                  <w:rStyle w:val="InternetLink"/>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7.12</w:t>
              </w:r>
            </w:hyperlink>
            <w:hyperlink w:anchor="i788b03cca3764438a7c73337fdafc7a0_7">
              <w:r>
                <w:rPr>
                  <w:rStyle w:val="InternetLink"/>
                </w:rPr>
                <w:t>    </w:t>
              </w:r>
            </w:hyperlink>
            <w:hyperlink w:anchor="i788b03cca3764438a7c73337fdafc7a0_7">
              <w:r>
                <w:rPr>
                  <w:rStyle w:val="InternetLink"/>
                </w:rPr>
                <w:t>Share Certificate Legend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7.13</w:t>
              </w:r>
            </w:hyperlink>
            <w:hyperlink w:anchor="i788b03cca3764438a7c73337fdafc7a0_7">
              <w:r>
                <w:rPr>
                  <w:rStyle w:val="InternetLink"/>
                </w:rPr>
                <w:t>    </w:t>
              </w:r>
            </w:hyperlink>
            <w:hyperlink w:anchor="i788b03cca3764438a7c73337fdafc7a0_7">
              <w:r>
                <w:rPr>
                  <w:rStyle w:val="InternetLink"/>
                </w:rPr>
                <w:t>Stock Splits, Stock Dividends, etc</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7.14</w:t>
              </w:r>
            </w:hyperlink>
            <w:hyperlink w:anchor="i788b03cca3764438a7c73337fdafc7a0_7">
              <w:r>
                <w:rPr>
                  <w:rStyle w:val="InternetLink"/>
                </w:rPr>
                <w:t>    </w:t>
              </w:r>
            </w:hyperlink>
            <w:hyperlink w:anchor="i788b03cca3764438a7c73337fdafc7a0_7">
              <w:r>
                <w:rPr>
                  <w:rStyle w:val="InternetLink"/>
                </w:rPr>
                <w:t>Manner of Voting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7.15</w:t>
              </w:r>
            </w:hyperlink>
            <w:hyperlink w:anchor="i788b03cca3764438a7c73337fdafc7a0_7">
              <w:r>
                <w:rPr>
                  <w:rStyle w:val="InternetLink"/>
                </w:rPr>
                <w:t>    </w:t>
              </w:r>
            </w:hyperlink>
            <w:hyperlink w:anchor="i788b03cca3764438a7c73337fdafc7a0_7">
              <w:r>
                <w:rPr>
                  <w:rStyle w:val="InternetLink"/>
                </w:rPr>
                <w:t>Further Assurances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7.16</w:t>
              </w:r>
            </w:hyperlink>
            <w:hyperlink w:anchor="i788b03cca3764438a7c73337fdafc7a0_7">
              <w:r>
                <w:rPr>
                  <w:rStyle w:val="InternetLink"/>
                </w:rPr>
                <w:t>    </w:t>
              </w:r>
            </w:hyperlink>
            <w:hyperlink w:anchor="i788b03cca3764438a7c73337fdafc7a0_7">
              <w:r>
                <w:rPr>
                  <w:rStyle w:val="InternetLink"/>
                </w:rPr>
                <w:t>Dispute Resolution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7.17</w:t>
              </w:r>
            </w:hyperlink>
            <w:hyperlink w:anchor="i788b03cca3764438a7c73337fdafc7a0_7">
              <w:r>
                <w:rPr>
                  <w:rStyle w:val="InternetLink"/>
                </w:rPr>
                <w:t>    </w:t>
              </w:r>
            </w:hyperlink>
            <w:hyperlink w:anchor="i788b03cca3764438a7c73337fdafc7a0_7">
              <w:r>
                <w:rPr>
                  <w:rStyle w:val="InternetLink"/>
                </w:rPr>
                <w:t>Costs of Enforcement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7.18</w:t>
              </w:r>
            </w:hyperlink>
            <w:hyperlink w:anchor="i788b03cca3764438a7c73337fdafc7a0_7">
              <w:r>
                <w:rPr>
                  <w:rStyle w:val="InternetLink"/>
                </w:rPr>
                <w:t>    </w:t>
              </w:r>
            </w:hyperlink>
            <w:hyperlink w:anchor="i788b03cca3764438a7c73337fdafc7a0_7">
              <w:r>
                <w:rPr>
                  <w:rStyle w:val="InternetLink"/>
                </w:rPr>
                <w:t>Aggregation of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7.19</w:t>
              </w:r>
            </w:hyperlink>
            <w:hyperlink w:anchor="i788b03cca3764438a7c73337fdafc7a0_7">
              <w:r>
                <w:rPr>
                  <w:rStyle w:val="InternetLink"/>
                </w:rPr>
                <w:t>    </w:t>
              </w:r>
            </w:hyperlink>
            <w:hyperlink w:anchor="i788b03cca3764438a7c73337fdafc7a0_7">
              <w:r>
                <w:rPr>
                  <w:rStyle w:val="InternetLink"/>
                </w:rPr>
                <w:t>Spousal Consent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Pr>
                <w:t>7.20</w:t>
              </w:r>
            </w:hyperlink>
            <w:hyperlink w:anchor="i788b03cca3764438a7c73337fdafc7a0_7">
              <w:r>
                <w:rPr>
                  <w:rStyle w:val="InternetLink"/>
                </w:rPr>
                <w:t>    </w:t>
              </w:r>
            </w:hyperlink>
            <w:hyperlink w:anchor="i788b03cca3764438a7c73337fdafc7a0_7">
              <w:r>
                <w:rPr>
                  <w:rStyle w:val="InternetLink"/>
                </w:rPr>
                <w:t>No Presumption against Drafter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788b03cca3764438a7c73337fdafc7a0_7">
              <w:r>
                <w:rPr>
                  <w:rStyle w:val="InternetLink"/>
                  <w:rFonts w:ascii="Times New Roman;sans-serif" w:hAnsi="Times New Roman;sans-serif"/>
                  <w:b w:val="false"/>
                  <w:strike w:val="false"/>
                  <w:dstrike w:val="false"/>
                  <w:color w:val="000000"/>
                  <w:sz w:val="24"/>
                  <w:u w:val="none"/>
                  <w:effect w:val="none"/>
                </w:rPr>
                <w:t>16</w:t>
              </w:r>
            </w:hyperlink>
          </w:p>
        </w:tc>
      </w:tr>
    </w:tbl>
    <w:p>
      <w:pPr>
        <w:pStyle w:val="TextBody"/>
        <w:spacing w:before="0" w:after="240"/>
        <w:rPr/>
      </w:pPr>
      <w:r>
        <w:rPr/>
      </w:r>
    </w:p>
    <w:p>
      <w:pPr>
        <w:pStyle w:val="TextBody"/>
        <w:spacing w:lineRule="auto" w:line="240"/>
        <w:rPr/>
      </w:pPr>
      <w:r>
        <w:rPr>
          <w:rFonts w:ascii="Times New Roman;sans-serif" w:hAnsi="Times New Roman;sans-serif"/>
          <w:b w:val="false"/>
          <w:color w:val="000000"/>
          <w:sz w:val="24"/>
          <w:u w:val="single"/>
        </w:rPr>
        <w:t>Schedule A</w:t>
      </w:r>
      <w:r>
        <w:rPr>
          <w:color w:val="000000"/>
        </w:rPr>
        <w:t>    </w:t>
      </w:r>
      <w:r>
        <w:rPr>
          <w:rFonts w:ascii="Times New Roman;sans-serif" w:hAnsi="Times New Roman;sans-serif"/>
          <w:b w:val="false"/>
          <w:color w:val="000000"/>
          <w:sz w:val="24"/>
        </w:rPr>
        <w:t>-    Investors</w:t>
      </w:r>
      <w:r>
        <w:br w:type="page"/>
      </w:r>
    </w:p>
    <w:p>
      <w:pPr>
        <w:pStyle w:val="TextBody"/>
        <w:spacing w:before="0" w:after="0"/>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v:rect>
            </w:pict>
          </mc:Fallback>
        </mc:AlternateContent>
      </w:r>
    </w:p>
    <w:p>
      <w:pPr>
        <w:pStyle w:val="TextBody"/>
        <w:spacing w:lineRule="auto" w:line="240" w:before="0" w:after="0"/>
        <w:rPr/>
      </w:pPr>
      <w:r>
        <w:rPr>
          <w:rFonts w:ascii="Times New Roman;sans-serif" w:hAnsi="Times New Roman;sans-serif"/>
          <w:b w:val="false"/>
          <w:color w:val="000000"/>
          <w:sz w:val="24"/>
          <w:u w:val="single"/>
        </w:rPr>
        <w:t>Schedule B</w:t>
      </w:r>
      <w:r>
        <w:rPr>
          <w:color w:val="000000"/>
        </w:rPr>
        <w:t>    </w:t>
      </w:r>
      <w:r>
        <w:rPr>
          <w:rFonts w:ascii="Times New Roman;sans-serif" w:hAnsi="Times New Roman;sans-serif"/>
          <w:b w:val="false"/>
          <w:color w:val="000000"/>
          <w:sz w:val="24"/>
        </w:rPr>
        <w:t>-    Key Holders</w:t>
      </w:r>
    </w:p>
    <w:p>
      <w:pPr>
        <w:pStyle w:val="TextBody"/>
        <w:spacing w:lineRule="auto" w:line="240" w:before="0" w:after="0"/>
        <w:rPr/>
      </w:pP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    Adoption Agreement</w:t>
      </w:r>
    </w:p>
    <w:p>
      <w:pPr>
        <w:pStyle w:val="TextBody"/>
        <w:spacing w:lineRule="auto" w:line="240" w:before="0" w:after="0"/>
        <w:rPr/>
      </w:pPr>
      <w:r>
        <w:rPr>
          <w:rFonts w:ascii="Times New Roman;sans-serif" w:hAnsi="Times New Roman;sans-serif"/>
          <w:b w:val="false"/>
          <w:color w:val="000000"/>
          <w:sz w:val="24"/>
          <w:u w:val="single"/>
        </w:rPr>
        <w:t>Exhibit B</w:t>
      </w:r>
      <w:r>
        <w:rPr>
          <w:color w:val="000000"/>
        </w:rPr>
        <w:t>    </w:t>
      </w:r>
      <w:r>
        <w:rPr>
          <w:rFonts w:ascii="Times New Roman;sans-serif" w:hAnsi="Times New Roman;sans-serif"/>
          <w:b w:val="false"/>
          <w:color w:val="000000"/>
          <w:sz w:val="24"/>
        </w:rPr>
        <w:t>-    Consent of Spouse</w:t>
      </w:r>
    </w:p>
    <w:p>
      <w:pPr>
        <w:pStyle w:val="TextBody"/>
        <w:spacing w:before="0" w:after="240"/>
        <w:rPr/>
      </w:pPr>
      <w:r>
        <w:rPr/>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VOTING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THIS AMENDED AND RESTATED VOTING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this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each holder of the Series A-1 Preferred Stock, $0.0001 par value per share, of the Company (“</w:t>
      </w:r>
      <w:r>
        <w:rPr>
          <w:rFonts w:ascii="Times New Roman;sans-serif" w:hAnsi="Times New Roman;sans-serif"/>
          <w:b/>
          <w:color w:val="000000"/>
          <w:sz w:val="24"/>
        </w:rPr>
        <w:t>Series A-1 Preferred Stock</w:t>
      </w:r>
      <w:r>
        <w:rPr>
          <w:color w:val="000000"/>
        </w:rPr>
        <w:t>”</w:t>
      </w:r>
      <w:r>
        <w:rPr>
          <w:rFonts w:ascii="Times New Roman;sans-serif" w:hAnsi="Times New Roman;sans-serif"/>
          <w:b w:val="false"/>
          <w:color w:val="000000"/>
          <w:sz w:val="24"/>
        </w:rPr>
        <w:t>), Series A-2 Preferred Stock, $0.0001 par value per share, of the Company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 and Series B Preferred Stock, $0.0001 par value per share, of the Company (“</w:t>
      </w:r>
      <w:r>
        <w:rPr>
          <w:rFonts w:ascii="Times New Roman;sans-serif" w:hAnsi="Times New Roman;sans-serif"/>
          <w:b/>
          <w:color w:val="000000"/>
          <w:sz w:val="24"/>
        </w:rPr>
        <w:t>Series B Preferred Stock</w:t>
      </w:r>
      <w:r>
        <w:rPr>
          <w:color w:val="000000"/>
        </w:rPr>
        <w:t>”</w:t>
      </w:r>
      <w:r>
        <w:rPr>
          <w:rFonts w:ascii="Times New Roman;sans-serif" w:hAnsi="Times New Roman;sans-serif"/>
          <w:b w:val="false"/>
          <w:color w:val="000000"/>
          <w:sz w:val="24"/>
        </w:rPr>
        <w:t>, and referred to herein collectively with the Series A-1 Preferred Stock and Series A-2 Preferred Stock, as the “</w:t>
      </w:r>
      <w:r>
        <w:rPr>
          <w:rFonts w:ascii="Times New Roman;sans-serif" w:hAnsi="Times New Roman;sans-serif"/>
          <w:b/>
          <w:color w:val="000000"/>
          <w:sz w:val="24"/>
        </w:rPr>
        <w:t>Preferred Stock</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(together with any subsequent investors, or transferees, who become parties hereto as “Investors” pursuant to </w:t>
      </w:r>
      <w:r>
        <w:rPr>
          <w:rFonts w:ascii="Times New Roman;sans-serif" w:hAnsi="Times New Roman;sans-serif"/>
          <w:b w:val="false"/>
          <w:color w:val="000000"/>
          <w:sz w:val="24"/>
          <w:u w:val="single"/>
        </w:rPr>
        <w:t>Subsections 7.1(a)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7.2</w:t>
      </w:r>
      <w:r>
        <w:rPr>
          <w:color w:val="000000"/>
        </w:rPr>
        <w:t xml:space="preserve"> </w:t>
      </w:r>
      <w:r>
        <w:rPr>
          <w:rFonts w:ascii="Times New Roman;sans-serif" w:hAnsi="Times New Roman;sans-serif"/>
          <w:b w:val="false"/>
          <w:color w:val="000000"/>
          <w:sz w:val="24"/>
        </w:rPr>
        <w:t>below, the “</w:t>
      </w:r>
      <w:r>
        <w:rPr>
          <w:rFonts w:ascii="Times New Roman;sans-serif" w:hAnsi="Times New Roman;sans-serif"/>
          <w:b/>
          <w:color w:val="000000"/>
          <w:sz w:val="24"/>
        </w:rPr>
        <w:t>Investors</w:t>
      </w:r>
      <w:r>
        <w:rPr>
          <w:color w:val="000000"/>
        </w:rPr>
        <w:t>”</w:t>
      </w:r>
      <w:r>
        <w:rPr>
          <w:rFonts w:ascii="Times New Roman;sans-serif" w:hAnsi="Times New Roman;sans-serif"/>
          <w:b w:val="false"/>
          <w:color w:val="000000"/>
          <w:sz w:val="24"/>
        </w:rPr>
        <w:t xml:space="preserve">), and those certain stockholders of the Company and holders of options to acquire shares of the capital stock of the Company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(together with any subsequent stockholders or option holders, or any transferees, who become parties hereto as “Key Holders” pursuant to </w:t>
      </w:r>
      <w:r>
        <w:rPr>
          <w:rFonts w:ascii="Times New Roman;sans-serif" w:hAnsi="Times New Roman;sans-serif"/>
          <w:b w:val="false"/>
          <w:color w:val="000000"/>
          <w:sz w:val="24"/>
          <w:u w:val="single"/>
        </w:rPr>
        <w:t>Subsections 7.1(b)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7.2</w:t>
      </w:r>
      <w:r>
        <w:rPr>
          <w:color w:val="000000"/>
        </w:rPr>
        <w:t xml:space="preserve"> </w:t>
      </w:r>
      <w:r>
        <w:rPr>
          <w:rFonts w:ascii="Times New Roman;sans-serif" w:hAnsi="Times New Roman;sans-serif"/>
          <w:b w:val="false"/>
          <w:color w:val="000000"/>
          <w:sz w:val="24"/>
        </w:rPr>
        <w:t>below, the “</w:t>
      </w:r>
      <w:r>
        <w:rPr>
          <w:rFonts w:ascii="Times New Roman;sans-serif" w:hAnsi="Times New Roman;sans-serif"/>
          <w:b/>
          <w:color w:val="000000"/>
          <w:sz w:val="24"/>
        </w:rPr>
        <w:t>Key Holders</w:t>
      </w:r>
      <w:r>
        <w:rPr>
          <w:rFonts w:ascii="Times New Roman;sans-serif" w:hAnsi="Times New Roman;sans-serif"/>
          <w:b w:val="false"/>
          <w:color w:val="000000"/>
          <w:sz w:val="24"/>
        </w:rPr>
        <w:t>,” and together collectively with the Investors, the “</w:t>
      </w:r>
      <w:r>
        <w:rPr>
          <w:rFonts w:ascii="Times New Roman;sans-serif" w:hAnsi="Times New Roman;sans-serif"/>
          <w:b/>
          <w:color w:val="000000"/>
          <w:sz w:val="24"/>
        </w:rPr>
        <w:t>Stockholders</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spacing w:lineRule="auto" w:line="240" w:before="0" w:after="240"/>
        <w:ind w:left="0" w:right="0" w:firstLine="720"/>
        <w:jc w:val="both"/>
        <w:rPr/>
      </w:pPr>
      <w:r>
        <w:rPr>
          <w:rFonts w:ascii="Times New Roman;sans-serif" w:hAnsi="Times New Roman;sans-serif"/>
          <w:b w:val="false"/>
          <w:color w:val="000000"/>
          <w:sz w:val="24"/>
        </w:rPr>
        <w:t>A.    Concurrently with the execution of this Agreement, the Company and certain of the Investors are entering into a Series B Preferred Stock Purchase Agreement (as amended from time to time,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providing for the sale of shares of the Series B Preferred Stock. Certain of the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and the Key Holders are parties to that certain Voting Agreement, dated April 9, 2019, by and among the Company and the parties thereto, as amended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The Company, the Key Holders and the Existing Investors party to the Prior Agreement desire to amend and restate that agreement to provide those Investors purchasing shares of the Series B Preferred Stock pursuant to the Purchase Agreement with the right, among other rights, to designate the election of certain members of the board of directors of the Company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in accordance with the terms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B.    The Amended and Restated Certificate of Incorporation of the Company (as the same may be amended and/or restated from time to time, the “</w:t>
      </w:r>
      <w:r>
        <w:rPr>
          <w:rFonts w:ascii="Times New Roman;sans-serif" w:hAnsi="Times New Roman;sans-serif"/>
          <w:b/>
          <w:color w:val="000000"/>
          <w:sz w:val="24"/>
        </w:rPr>
        <w:t>Restated Certificate</w:t>
      </w:r>
      <w:r>
        <w:rPr>
          <w:color w:val="000000"/>
        </w:rPr>
        <w:t>”</w:t>
      </w:r>
      <w:r>
        <w:rPr>
          <w:rFonts w:ascii="Times New Roman;sans-serif" w:hAnsi="Times New Roman;sans-serif"/>
          <w:b w:val="false"/>
          <w:color w:val="000000"/>
          <w:sz w:val="24"/>
        </w:rPr>
        <w:t>) provides that (a) the holders of record of the shares of the Series B Preferred Stock, exclusively and as a separate class, shall be entitled to elect one director of the Company (the “</w:t>
      </w:r>
      <w:r>
        <w:rPr>
          <w:rFonts w:ascii="Times New Roman;sans-serif" w:hAnsi="Times New Roman;sans-serif"/>
          <w:b/>
          <w:color w:val="000000"/>
          <w:sz w:val="24"/>
        </w:rPr>
        <w:t>Series B Director</w:t>
      </w:r>
      <w:r>
        <w:rPr>
          <w:color w:val="000000"/>
        </w:rPr>
        <w:t>”</w:t>
      </w:r>
      <w:r>
        <w:rPr>
          <w:rFonts w:ascii="Times New Roman;sans-serif" w:hAnsi="Times New Roman;sans-serif"/>
          <w:b w:val="false"/>
          <w:color w:val="000000"/>
          <w:sz w:val="24"/>
        </w:rPr>
        <w:t>), (b) the holders of record of the shares of Series A-2 Preferred Stock, exclusively and as a separate class, shall be entitled to elect two directors of the Company (the “</w:t>
      </w:r>
      <w:r>
        <w:rPr>
          <w:rFonts w:ascii="Times New Roman;sans-serif" w:hAnsi="Times New Roman;sans-serif"/>
          <w:b/>
          <w:color w:val="000000"/>
          <w:sz w:val="24"/>
        </w:rPr>
        <w:t>Series A-2 Directors</w:t>
      </w:r>
      <w:r>
        <w:rPr>
          <w:color w:val="000000"/>
        </w:rPr>
        <w:t>”</w:t>
      </w:r>
      <w:r>
        <w:rPr>
          <w:rFonts w:ascii="Times New Roman;sans-serif" w:hAnsi="Times New Roman;sans-serif"/>
          <w:b w:val="false"/>
          <w:color w:val="000000"/>
          <w:sz w:val="24"/>
        </w:rPr>
        <w:t>), (c) the holders of record of the shares of the Series B Preferred Stock and Series A-2 Preferred Stock, voting together as a single class and on an as-converted basis, shall be entitled to elect one director of the Company and (d) the holders of record of the shares of common stock, $0.0001 par value per share, of the Company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 xml:space="preserve">) and Preferred Stock, voting together as a single class and on an as-converted basis, shall be entitled to elect the balance of the total number of directors of the Company.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parties also desire to enter into this Agreement to set forth their agreements and understandings with respect to how shares of the capital stock of the Company held by them will be voted on, or tendered in connection with, an acquisition of the Company.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Existing Investors hereby agree that the Prior Agreement is hereby amended and restated in its entirety by this Agreement, and parties further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Voting Provisions Regarding the Board</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31445"/>
                <wp:effectExtent l="0" t="0" r="0" b="0"/>
                <wp:wrapNone/>
                <wp:docPr id="164" name="Frame16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Size of the Board</w:t>
      </w:r>
      <w:r>
        <w:rPr>
          <w:rFonts w:ascii="Times New Roman;sans-serif" w:hAnsi="Times New Roman;sans-serif"/>
          <w:b w:val="false"/>
          <w:color w:val="000000"/>
          <w:sz w:val="24"/>
        </w:rPr>
        <w:t>.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six (6) directors and may be increased only with the written consent of the Requisite Holders (as defined in the Restated Certificate). For purposes of this Agreement, the term “</w:t>
      </w:r>
      <w:r>
        <w:rPr>
          <w:rFonts w:ascii="Times New Roman;sans-serif" w:hAnsi="Times New Roman;sans-serif"/>
          <w:b/>
          <w:color w:val="000000"/>
          <w:sz w:val="24"/>
        </w:rPr>
        <w:t>Shares</w:t>
      </w:r>
      <w:r>
        <w:rPr>
          <w:color w:val="000000"/>
        </w:rPr>
        <w:t xml:space="preserve">” </w:t>
      </w:r>
      <w:r>
        <w:rPr>
          <w:rFonts w:ascii="Times New Roman;sans-serif" w:hAnsi="Times New Roman;sans-serif"/>
          <w:b w:val="false"/>
          <w:color w:val="000000"/>
          <w:sz w:val="24"/>
        </w:rPr>
        <w:t>shall mean and include any securities of the Company that the holders of which are entitled to vote for members of the Board, including without limitation, all shares of Common Stock and Preferred Stock, by whatever name called, now owned or subsequently acquired by a Stockholder, however acquired, whether through stock splits, stock dividends, reclassifications, recapitalizations, similar events or otherwise.</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Board Composition</w:t>
      </w:r>
      <w:r>
        <w:rPr>
          <w:rFonts w:ascii="Times New Roman;sans-serif" w:hAnsi="Times New Roman;sans-serif"/>
          <w:b w:val="false"/>
          <w:color w:val="000000"/>
          <w:sz w:val="24"/>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subject to Section 5, the following persons shall be elected to the Board:</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As the Series A-2 Directors: </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One person designated from time to time by PureTech Health LLC, for so long as such Stockholder and its Affiliates (as defined below) continue to own beneficially at least 1,000,000 shares of Series A-2 Preferred Stock (such number subject to appropriate adjustment for any stock splits, stock dividends, combinations, recapitalizations and the like), which individual shall initially be Eric Elenko;</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and</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any of clauses (a) through (e)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pStyle w:val="TextBody"/>
        <w:spacing w:lineRule="auto" w:line="240" w:before="0" w:after="240"/>
        <w:ind w:left="0" w:right="0" w:firstLine="2880"/>
        <w:jc w:val="both"/>
        <w:rPr/>
      </w:pPr>
      <w:r>
        <w:rPr>
          <w:rFonts w:ascii="Times New Roman;sans-serif" w:hAnsi="Times New Roman;sans-serif"/>
          <w:b w:val="false"/>
          <w:color w:val="000000"/>
          <w:sz w:val="24"/>
        </w:rPr>
        <w:t>For purposes of this Agreement, an individual, firm, corporation, partnership, association, limited liability company, trust or any other entity (collectively, a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shall be deemed an “</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of another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advisers of, or shares the same management company or investment adviser with, such Person.</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Failure to Designate a Board Member</w:t>
      </w:r>
      <w:r>
        <w:rPr>
          <w:rFonts w:ascii="Times New Roman;sans-serif" w:hAnsi="Times New Roman;sans-serif"/>
          <w:b w:val="false"/>
          <w:color w:val="000000"/>
          <w:sz w:val="24"/>
        </w:rPr>
        <w:t>. In the absence of any designation from the Persons or groups with the right to designate a director as specified above, the director previously designated by them and then serving shall be reelected if still eligible and willing to serve as provided herein and otherwise, such Board seat shall remain vacant.</w:t>
      </w:r>
      <w:r>
        <w:br w:type="page"/>
      </w:r>
    </w:p>
    <w:p>
      <w:pPr>
        <w:pStyle w:val="TextBody"/>
        <w:spacing w:before="0" w:after="0"/>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Removal of Board Members</w:t>
      </w:r>
      <w:r>
        <w:rPr>
          <w:rFonts w:ascii="Times New Roman;sans-serif" w:hAnsi="Times New Roman;sans-serif"/>
          <w:b w:val="false"/>
          <w:color w:val="000000"/>
          <w:sz w:val="24"/>
        </w:rPr>
        <w:t>. Each Stockholder also agrees to vote, or cause to be voted, all Shares owned by such Stockholder, or over which such Stockholder has voting control, from time to time and at all times, in whatever manner as shall be necessary to ensure that: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 director elected pursuant to </w:t>
      </w:r>
      <w:r>
        <w:rPr>
          <w:rFonts w:ascii="Times New Roman;sans-serif" w:hAnsi="Times New Roman;sans-serif"/>
          <w:b w:val="false"/>
          <w:color w:val="000000"/>
          <w:sz w:val="24"/>
          <w:u w:val="single"/>
        </w:rPr>
        <w:t>Subsections 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of this Agreement may be removed from office other than for cause unless (i) such removal is directed or approved by the affirmative vote of the Person(s) entitled under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 xml:space="preserve">to designate that director; or (ii) the Person(s) originally entitled to designate or approve such director pursuant to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is no longer so entitled to designate or approve such director;</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any vacancies created by the resignation, removal or death of a director elected pursuant to </w:t>
      </w:r>
      <w:r>
        <w:rPr>
          <w:rFonts w:ascii="Times New Roman;sans-serif" w:hAnsi="Times New Roman;sans-serif"/>
          <w:b w:val="false"/>
          <w:color w:val="000000"/>
          <w:sz w:val="24"/>
          <w:u w:val="single"/>
        </w:rPr>
        <w:t>Subsections 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shall be filled pursuant to the provisions of this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and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the request of any party entitled to designate a director as provided in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to remove such director, such director shall be removed.</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All Stockholders agree to execute any written consents required to perform the obligations of this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and the Company agrees at the request of any Person or member of a group entitled to designate directors to call a special meeting of stockholders for the purpose of electing directors.</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 Liability for Election of Recommended Directors</w:t>
      </w:r>
      <w:r>
        <w:rPr>
          <w:rFonts w:ascii="Times New Roman;sans-serif" w:hAnsi="Times New Roman;sans-serif"/>
          <w:b w:val="false"/>
          <w:color w:val="000000"/>
          <w:sz w:val="24"/>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 “Bad Actor” Designees</w:t>
      </w:r>
      <w:r>
        <w:rPr>
          <w:rFonts w:ascii="Times New Roman;sans-serif" w:hAnsi="Times New Roman;sans-serif"/>
          <w:b w:val="false"/>
          <w:color w:val="000000"/>
          <w:sz w:val="24"/>
        </w:rPr>
        <w:t>. Each Person with the right to designate or participate in the designation of a director as specified above hereby represents and warrants to the Company that, to such Person’s knowledge, none of the “bad actor” disqualifying events described in Rule 506(d)(1)(i)-(viii) promulgated under the Securities Act of 1933, as amended (the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(each, a “</w:t>
      </w:r>
      <w:r>
        <w:rPr>
          <w:rFonts w:ascii="Times New Roman;sans-serif" w:hAnsi="Times New Roman;sans-serif"/>
          <w:b/>
          <w:color w:val="000000"/>
          <w:sz w:val="24"/>
        </w:rPr>
        <w:t>Disqualification Event</w:t>
      </w:r>
      <w:r>
        <w:rPr>
          <w:color w:val="000000"/>
        </w:rPr>
        <w:t>”</w:t>
      </w:r>
      <w:r>
        <w:rPr>
          <w:rFonts w:ascii="Times New Roman;sans-serif" w:hAnsi="Times New Roman;sans-serif"/>
          <w:b w:val="false"/>
          <w:color w:val="000000"/>
          <w:sz w:val="24"/>
        </w:rPr>
        <w:t>), is applicable to such Person’s initial designee named above except, if applicable, for a Disqualification Event as to which Rule 506(d)(2)(ii) or (iii) or (d)(3) is applicable. Any director designee to whom any Disqualification Event is applicable, except for a Disqualification Event to which Rule 506(d)(2)(ii) or (iii) or (d)(3) is applicable, is hereinafter referred to as a “</w:t>
      </w:r>
      <w:r>
        <w:rPr>
          <w:rFonts w:ascii="Times New Roman;sans-serif" w:hAnsi="Times New Roman;sans-serif"/>
          <w:b/>
          <w:color w:val="000000"/>
          <w:sz w:val="24"/>
        </w:rPr>
        <w:t>Disqualified Designee</w:t>
      </w:r>
      <w:r>
        <w:rPr>
          <w:color w:val="000000"/>
        </w:rPr>
        <w:t>”</w:t>
      </w:r>
      <w:r>
        <w:rPr>
          <w:rFonts w:ascii="Times New Roman;sans-serif" w:hAnsi="Times New Roman;sans-serif"/>
          <w:b w:val="false"/>
          <w:color w:val="000000"/>
          <w:sz w:val="24"/>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Vote to Increase Authorized Common Stock</w:t>
      </w:r>
      <w:r>
        <w:rPr>
          <w:rFonts w:ascii="Times New Roman;sans-serif" w:hAnsi="Times New Roman;sans-serif"/>
          <w:b w:val="false"/>
          <w:color w:val="000000"/>
          <w:sz w:val="24"/>
        </w:rPr>
        <w:t>. Each Stockholder agrees to vote or cause to be voted all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Drag-Along Right</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 “</w:t>
      </w:r>
      <w:r>
        <w:rPr>
          <w:rFonts w:ascii="Times New Roman;sans-serif" w:hAnsi="Times New Roman;sans-serif"/>
          <w:b/>
          <w:color w:val="000000"/>
          <w:sz w:val="24"/>
        </w:rPr>
        <w:t>Sale of the Company</w:t>
      </w:r>
      <w:r>
        <w:rPr>
          <w:color w:val="000000"/>
        </w:rPr>
        <w:t xml:space="preserve">” </w:t>
      </w:r>
      <w:r>
        <w:rPr>
          <w:rFonts w:ascii="Times New Roman;sans-serif" w:hAnsi="Times New Roman;sans-serif"/>
          <w:b w:val="false"/>
          <w:color w:val="000000"/>
          <w:sz w:val="24"/>
        </w:rPr>
        <w:t xml:space="preserve">shall mean either: (a) a transaction or series of related transactions in which a Person, or a group of related Persons, acquires from stockholders of the Company shares representing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of the outstanding voting power of the Company (a “</w:t>
      </w:r>
      <w:r>
        <w:rPr>
          <w:rFonts w:ascii="Times New Roman;sans-serif" w:hAnsi="Times New Roman;sans-serif"/>
          <w:b/>
          <w:color w:val="000000"/>
          <w:sz w:val="24"/>
        </w:rPr>
        <w:t>Stock Sale</w:t>
      </w:r>
      <w:r>
        <w:rPr>
          <w:color w:val="000000"/>
        </w:rPr>
        <w:t>”</w:t>
      </w:r>
      <w:r>
        <w:rPr>
          <w:rFonts w:ascii="Times New Roman;sans-serif" w:hAnsi="Times New Roman;sans-serif"/>
          <w:b w:val="false"/>
          <w:color w:val="000000"/>
          <w:sz w:val="24"/>
        </w:rPr>
        <w:t>); or (b) a transaction that qualifies as a “</w:t>
      </w:r>
      <w:r>
        <w:rPr>
          <w:rFonts w:ascii="Times New Roman;sans-serif" w:hAnsi="Times New Roman;sans-serif"/>
          <w:b/>
          <w:color w:val="000000"/>
          <w:sz w:val="24"/>
        </w:rPr>
        <w:t>Deemed Liquidation Event</w:t>
      </w:r>
      <w:r>
        <w:rPr>
          <w:color w:val="000000"/>
        </w:rPr>
        <w:t xml:space="preserve">” </w:t>
      </w:r>
      <w:r>
        <w:rPr>
          <w:rFonts w:ascii="Times New Roman;sans-serif" w:hAnsi="Times New Roman;sans-serif"/>
          <w:b w:val="false"/>
          <w:color w:val="000000"/>
          <w:sz w:val="24"/>
        </w:rPr>
        <w:t>as defined in the Restated Certificate.</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Actions to be Taken</w:t>
      </w:r>
      <w:r>
        <w:rPr>
          <w:rFonts w:ascii="Times New Roman;sans-serif" w:hAnsi="Times New Roman;sans-serif"/>
          <w:b w:val="false"/>
          <w:color w:val="000000"/>
          <w:sz w:val="24"/>
        </w:rPr>
        <w:t>. In the event that (i) the Board and (ii) the Requisite Holders (the “</w:t>
      </w:r>
      <w:r>
        <w:rPr>
          <w:rFonts w:ascii="Times New Roman;sans-serif" w:hAnsi="Times New Roman;sans-serif"/>
          <w:b/>
          <w:color w:val="000000"/>
          <w:sz w:val="24"/>
        </w:rPr>
        <w:t>Selling Investors</w:t>
      </w:r>
      <w:r>
        <w:rPr>
          <w:color w:val="000000"/>
        </w:rPr>
        <w:t>”</w:t>
      </w:r>
      <w:r>
        <w:rPr>
          <w:rFonts w:ascii="Times New Roman;sans-serif" w:hAnsi="Times New Roman;sans-serif"/>
          <w:b w:val="false"/>
          <w:color w:val="000000"/>
          <w:sz w:val="24"/>
        </w:rPr>
        <w:t xml:space="preserve">), approve a Sale of the Company in writing, specifying that this Section 3 shall apply to such transaction, then, subject to satisfaction of each of the conditions set forth in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below, each Stockholder and the Company hereby agree:</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of the Company (together with any related amendment or restatement to the Restated Certificate required to implement such Sale of the Company) and to vote in opposition to any and all other proposals that could reasonably be expected to delay or impair the ability of the Company to consummate such Sale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such transaction is a Stock Sale,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below, on the same terms and conditions as the Selling Investors;</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execute and deliver all related documentation and take such other action in support of the Sale of the Company as shall reasonably be requested by the Company or the Selling Investors in order to carry out the terms and provision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including, without limitation, executing and delivering instruments of conveyance and transfer, and any purchase agreement, merger agreement, any associated indemnity agreement, or escrow agreement, any associated voting, support, or joinder agreement, consent, waiver, governmental filing, share certificates duly endorsed for transfer (free and clear of impermissible liens, claims and encumbrances), and any similar or related documents;</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acquirer in connection with the Sale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to refrain from (i) exercising any dissenters’ rights or rights of appraisal under applicable law at any time with respect to such Sale of the Company, or (ii); asserting any claim or commencing any suit (x) challenging the Sale of the Company or this Agreement, or (y) alleging a breach of any fiduciary duty of the Selling Investors or any affiliate or associate thereof (including, without limitation, aiding and abetting breach of fiduciary duty) in connection with the evaluation, negotiation or entry into the Sale of the Company, or the consummation of the transactions contemplated thereby;</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if the consideration to be paid in exchange for the Shares pursuant to this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w:t>
      </w:r>
      <w:r>
        <w:br w:type="page"/>
      </w:r>
    </w:p>
    <w:p>
      <w:pPr>
        <w:pStyle w:val="TextBody"/>
        <w:spacing w:before="0" w:after="0"/>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promulgated under the Securities Act of 1933, as amended (the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the Company may cause to be paid to any such Stockholder in lieu thereof, against surrender of the Shares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and</w:t>
      </w:r>
    </w:p>
    <w:p>
      <w:pPr>
        <w:pStyle w:val="TextBody"/>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in the event that the Selling Investors, in connection with such Sale of the Company, appoint a stockholder representative (the “</w:t>
      </w:r>
      <w:r>
        <w:rPr>
          <w:rFonts w:ascii="Times New Roman;sans-serif" w:hAnsi="Times New Roman;sans-serif"/>
          <w:b/>
          <w:color w:val="000000"/>
          <w:sz w:val="24"/>
        </w:rPr>
        <w:t>Stockholder Representative</w:t>
      </w:r>
      <w:r>
        <w:rPr>
          <w:color w:val="000000"/>
        </w:rPr>
        <w:t>”</w:t>
      </w:r>
      <w:r>
        <w:rPr>
          <w:rFonts w:ascii="Times New Roman;sans-serif" w:hAnsi="Times New Roman;sans-serif"/>
          <w:b w:val="false"/>
          <w:color w:val="000000"/>
          <w:sz w:val="24"/>
        </w:rPr>
        <w:t>) with respect to matters affecting the Stockholders under the applicable definitive transaction agreements following consummation of such Sale of the Company,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within the scope of the Stockholder Representative’s authority, in connection with its service as the Stockholder Representative, absent fraud, bad faith, gross negligence or willful misconduct.</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Conditions</w:t>
      </w:r>
      <w:r>
        <w:rPr>
          <w:rFonts w:ascii="Times New Roman;sans-serif" w:hAnsi="Times New Roman;sans-serif"/>
          <w:b w:val="false"/>
          <w:color w:val="000000"/>
          <w:sz w:val="24"/>
        </w:rPr>
        <w:t xml:space="preserve">. Notwithstanding anything to the contrary set forth herein, a Stockholder will not be required to comply with </w:t>
      </w:r>
      <w:r>
        <w:rPr>
          <w:rFonts w:ascii="Times New Roman;sans-serif" w:hAnsi="Times New Roman;sans-serif"/>
          <w:b w:val="false"/>
          <w:color w:val="000000"/>
          <w:sz w:val="24"/>
          <w:u w:val="single"/>
        </w:rPr>
        <w:t>Subsection 3.2</w:t>
      </w:r>
      <w:r>
        <w:rPr>
          <w:color w:val="000000"/>
        </w:rPr>
        <w:t xml:space="preserve"> </w:t>
      </w:r>
      <w:r>
        <w:rPr>
          <w:rFonts w:ascii="Times New Roman;sans-serif" w:hAnsi="Times New Roman;sans-serif"/>
          <w:b w:val="false"/>
          <w:color w:val="000000"/>
          <w:sz w:val="24"/>
        </w:rPr>
        <w:t>above in connection with any proposed Sale of the Company (the “</w:t>
      </w:r>
      <w:r>
        <w:rPr>
          <w:rFonts w:ascii="Times New Roman;sans-serif" w:hAnsi="Times New Roman;sans-serif"/>
          <w:b/>
          <w:color w:val="000000"/>
          <w:sz w:val="24"/>
        </w:rPr>
        <w:t>Proposed Sale</w:t>
      </w:r>
      <w:r>
        <w:rPr>
          <w:color w:val="000000"/>
        </w:rPr>
        <w:t>”</w:t>
      </w:r>
      <w:r>
        <w:rPr>
          <w:rFonts w:ascii="Times New Roman;sans-serif" w:hAnsi="Times New Roman;sans-serif"/>
          <w:b w:val="false"/>
          <w:color w:val="000000"/>
          <w:sz w:val="24"/>
        </w:rPr>
        <w:t>), unless:</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(subject to customary limitations) against the Stockholder in accordance with their respective terms; and (iv) neither the execution and delivery of documents to be entered into by the Stockholder in connection with the transaction, nor the performance of the Stockholder’s obligations thereunder, will cause a breach or violation of the terms of any agreement to which the Stockholder is a party, or any law or judgment, order or decree of any court or governmental agency that applies to the Stockholder;</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such Stockholder is not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such Stockholder and its Affiliates are not required to amend, extend or terminate any contractual or other relationship with the Company, the acquirer or their respective Affiliates, except that the Stockholder may be required to agree to terminate the investment-related documents between or among such Stockholder, the Company and/or other stockholders of the Company;</w:t>
      </w:r>
      <w:r>
        <w:br w:type="page"/>
      </w:r>
    </w:p>
    <w:p>
      <w:pPr>
        <w:pStyle w:val="TextBody"/>
        <w:spacing w:before="0" w:after="0"/>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Stockholder is not liable for the breach of any representation, warranty or covenant made by any other Person in connection with the Proposed Sale, other than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liability for indemnification, if any, of such Stockholder in the Proposed Sale and for the inaccuracy of any representations and warranties made by the Company or its Stockholders in connection with such Proposed Sale, is several and not joint with any other Person (except to the extent that funds may be paid out of an escrow established to cover breach of representations, warranties and covenants of the Company as well as breach by any stockholder of any of identical representations, warranties and covenants provided by all stockholders), and is pro rata in proportion to, and does not exceed, the amount of consideration paid to such Stockholder in connection with such Proposed Sale; and</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upon the consummation of the Proposed Sale (i) each holder of each class or series of the capital stock of the Company will receive the same form of consideration for their shares of such class or series as is received by other holders in respect of their shares of such same class or series of stock, and if any holders of any capital stock of the Company are given a choice as to the form of consideration to be received as a result of the Proposed Sale, all holders of such capital stock will be given the same option,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waived pursuant to the terms of the Company’s Certificate of Incorporation in effect immediately prior to the Proposed Sale and as may be required by law,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Certificate of Incorporation in effect immediately prior to the Proposed Sale;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that notwithstanding the foregoing provisions of this </w:t>
      </w:r>
      <w:r>
        <w:rPr>
          <w:rFonts w:ascii="Times New Roman;sans-serif" w:hAnsi="Times New Roman;sans-serif"/>
          <w:b w:val="false"/>
          <w:color w:val="000000"/>
          <w:sz w:val="24"/>
          <w:u w:val="single"/>
        </w:rPr>
        <w:t>Subsection 3.3(f)</w:t>
      </w:r>
      <w:r>
        <w:rPr>
          <w:rFonts w:ascii="Times New Roman;sans-serif" w:hAnsi="Times New Roman;sans-serif"/>
          <w:b w:val="false"/>
          <w:color w:val="000000"/>
          <w:sz w:val="24"/>
        </w:rPr>
        <w:t xml:space="preserve">, if the consideration to be paid in exchange for the Key Holder Shares or Investor Shares, as applicable, pursuant to this </w:t>
      </w:r>
      <w:r>
        <w:rPr>
          <w:rFonts w:ascii="Times New Roman;sans-serif" w:hAnsi="Times New Roman;sans-serif"/>
          <w:b w:val="false"/>
          <w:color w:val="000000"/>
          <w:sz w:val="24"/>
          <w:u w:val="single"/>
        </w:rPr>
        <w:t>Subsection 3.3(f)</w:t>
      </w:r>
      <w:r>
        <w:rPr>
          <w:color w:val="000000"/>
        </w:rPr>
        <w:t xml:space="preserve"> </w:t>
      </w:r>
      <w:r>
        <w:rPr>
          <w:rFonts w:ascii="Times New Roman;sans-serif" w:hAnsi="Times New Roman;sans-serif"/>
          <w:b w:val="false"/>
          <w:color w:val="000000"/>
          <w:sz w:val="24"/>
        </w:rPr>
        <w:t>includes any securities and due receipt thereof by any Key Holder or Investor would require under applicable law (x) the registration or qualification of such securities or of any person as a broker or dealer or agent with respect to such securities; or (y) the provision to any Key Holder or Investor of any information other than such information as a prudent issuer would generally furnish in an offering made solely to “accredited investors” as defined in Regulation D promulgated under the Securities Act, the Company may cause to be paid to any such Key Holder or Investor in lieu thereof, against surrender of the Key Holder Shares or Investor Shares, as applicable, which would have otherwise been sold by such Key Holder or Investor, an amount in cash equal to the fair value (as determined in good faith by the Board) of the securities which such Key Holder or Investor would otherwise receive as of the date of the issuance of such securities in exchange for the Key Holder Shares or Investor Shares, as applicable.</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Restrictions on Sales of Control of the Company</w:t>
      </w:r>
      <w:r>
        <w:rPr>
          <w:rFonts w:ascii="Times New Roman;sans-serif" w:hAnsi="Times New Roman;sans-serif"/>
          <w:b w:val="false"/>
          <w:color w:val="000000"/>
          <w:sz w:val="24"/>
        </w:rPr>
        <w:t xml:space="preserve">. No Stockholder shall be a party to any Stock Sale unless (a) all holders of Preferred Stock are allowed to participate in such transaction(s) and (b) the consideration received pursuant to such transaction is allocated among the parties thereto in the manner specified in the Company’s Certificate of Incorporation in effect immediately prior to the Stock Sale (as if such transaction(s) were a Deemed Liquidation Event), unless the holders of at least the requisite percentage required to waive treatment of the transaction(s) as a Deemed Liquidation Event pursuant to the terms of the Company’s Certificate of Incorporation in effect immediately prior to the Proposed Sale, elect to </w:t>
      </w:r>
      <w:r>
        <w:br w:type="page"/>
      </w:r>
    </w:p>
    <w:p>
      <w:pPr>
        <w:pStyle w:val="TextBody"/>
        <w:spacing w:before="0" w:after="0"/>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allocate the consideration differently by written notice given to the Company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prior to the effective date of any such transaction or series of related transactions.</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 xml:space="preserve">Consideration Payable to </w:t>
      </w:r>
      <w:r>
        <w:rPr>
          <w:rFonts w:ascii="Times New Roman;sans-serif" w:hAnsi="Times New Roman;sans-serif"/>
          <w:b/>
          <w:color w:val="000000"/>
          <w:sz w:val="24"/>
          <w:u w:val="single"/>
        </w:rPr>
        <w:t>[</w:t>
      </w: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 The Company agrees to use its best efforts, within the requirements of applicable law, to ensure that the rights granted under this Agreement are effective and that the parties enjoy the benefits of this Agreement. Such actions include, without limitation, the use of the Company’s best efforts to cause the nomination and election of the directors as provided in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Irrevocable Proxy and Power of Attorney</w:t>
      </w:r>
      <w:r>
        <w:rPr>
          <w:rFonts w:ascii="Times New Roman;sans-serif" w:hAnsi="Times New Roman;sans-serif"/>
          <w:b w:val="false"/>
          <w:color w:val="000000"/>
          <w:sz w:val="24"/>
        </w:rPr>
        <w:t xml:space="preserve">. Each party to this Agreement hereby constitutes and appoints as the proxies of the party and hereby grants a power of attorney to the Chief Executive Officer of the Company, and a designee of the Selling Investors, and each of them, with full power of substitution, with respect to the matters set forth herein, including, without limitation, election of persons as members of the Board in accordance with Section 1, votes to increase authorized shares pursuant to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and votes regarding any Sale of the Company pursuant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and hereby authorizes each of them to represent and vote, if and only if the party (i) fails to vote, or (ii) attempts to vote (whether by proxy, in person or by written consent), in a manner which is inconsistent with the terms of this Agreement, all of such party’s Shares in favor of the election of persons as members of the Board determined pursuant to and in accordance with the terms and provisions of this Agreement or the increase of authorized shares or approval of any Sale of the Company pursuant to and in accordance with the terms and provisions of </w:t>
      </w:r>
      <w:r>
        <w:rPr>
          <w:rFonts w:ascii="Times New Roman;sans-serif" w:hAnsi="Times New Roman;sans-serif"/>
          <w:b w:val="false"/>
          <w:color w:val="000000"/>
          <w:sz w:val="24"/>
          <w:u w:val="single"/>
        </w:rPr>
        <w:t>Sections 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w:t>
      </w:r>
      <w:r>
        <w:rPr>
          <w:rFonts w:ascii="Times New Roman;sans-serif" w:hAnsi="Times New Roman;sans-serif"/>
          <w:b w:val="false"/>
          <w:color w:val="000000"/>
          <w:sz w:val="24"/>
        </w:rPr>
        <w:t xml:space="preserve">, respectively, of this Agreement or to take any action reasonably necessary to effect </w:t>
      </w:r>
      <w:r>
        <w:rPr>
          <w:rFonts w:ascii="Times New Roman;sans-serif" w:hAnsi="Times New Roman;sans-serif"/>
          <w:b w:val="false"/>
          <w:color w:val="000000"/>
          <w:sz w:val="24"/>
          <w:u w:val="single"/>
        </w:rPr>
        <w:t>Sections 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w:t>
      </w:r>
      <w:r>
        <w:rPr>
          <w:rFonts w:ascii="Times New Roman;sans-serif" w:hAnsi="Times New Roman;sans-serif"/>
          <w:b w:val="false"/>
          <w:color w:val="000000"/>
          <w:sz w:val="24"/>
        </w:rPr>
        <w:t xml:space="preserve">, respectively, of this Agreement. The power of attorney granted hereunder shall authorize the Chief Executive Officer of the Company, to execute and deliver the documentation referred to in </w:t>
      </w:r>
      <w:r>
        <w:rPr>
          <w:rFonts w:ascii="Times New Roman;sans-serif" w:hAnsi="Times New Roman;sans-serif"/>
          <w:b w:val="false"/>
          <w:color w:val="000000"/>
          <w:sz w:val="24"/>
          <w:u w:val="single"/>
        </w:rPr>
        <w:t>Section 3.2(c)</w:t>
      </w:r>
      <w:r>
        <w:rPr>
          <w:color w:val="000000"/>
        </w:rPr>
        <w:t xml:space="preserve"> </w:t>
      </w:r>
      <w:r>
        <w:rPr>
          <w:rFonts w:ascii="Times New Roman;sans-serif" w:hAnsi="Times New Roman;sans-serif"/>
          <w:b w:val="false"/>
          <w:color w:val="000000"/>
          <w:sz w:val="24"/>
        </w:rPr>
        <w:t xml:space="preserve">on behalf of any party failing to do so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a request by the Company. Each of the proxy and power of attorney granted pursuant to this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 xml:space="preserve">is given in consideration of the agreements and covenants of the Company and the parties in connection with the transactions contemplated by this Agreement and, as such, each is coupled with an interest and shall be irrevocable unless and until this Agreement terminates or expires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hereof. Each party hereto hereby revokes any and all previous proxies or powers of attorney with respect to the Shares and shall not hereafter, unless and until this Agreement terminates or expires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Specific Enforcement</w:t>
      </w:r>
      <w:r>
        <w:rPr>
          <w:rFonts w:ascii="Times New Roman;sans-serif" w:hAnsi="Times New Roman;sans-serif"/>
          <w:b w:val="false"/>
          <w:color w:val="000000"/>
          <w:sz w:val="24"/>
        </w:rPr>
        <w:t>. Each party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the Stockholders shall be entitled to an injunction to prevent breaches of this Agreement, and to specific enforcement of this Agreement and its terms and provisions in any action instituted in any court of the United States or any state having subject matter jurisdiction.</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Remedies Cumulative</w:t>
      </w:r>
      <w:r>
        <w:rPr>
          <w:rFonts w:ascii="Times New Roman;sans-serif" w:hAnsi="Times New Roman;sans-serif"/>
          <w:b w:val="false"/>
          <w:color w:val="000000"/>
          <w:sz w:val="24"/>
        </w:rPr>
        <w:t>. All remedies, either under this Agreement or by law or otherwise afforded to any party, shall be cumulative and not alternative.</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color w:val="000000"/>
        </w:rPr>
        <w:t>“</w:t>
      </w:r>
      <w:r>
        <w:rPr>
          <w:rFonts w:ascii="Times New Roman;sans-serif" w:hAnsi="Times New Roman;sans-serif"/>
          <w:b w:val="false"/>
          <w:color w:val="000000"/>
          <w:sz w:val="24"/>
          <w:u w:val="single"/>
        </w:rPr>
        <w:t>Bad Actor” Matters</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Company Covered Person</w:t>
      </w:r>
      <w:r>
        <w:rPr>
          <w:color w:val="000000"/>
        </w:rPr>
        <w:t xml:space="preserve">” </w:t>
      </w:r>
      <w:r>
        <w:rPr>
          <w:rFonts w:ascii="Times New Roman;sans-serif" w:hAnsi="Times New Roman;sans-serif"/>
          <w:b w:val="false"/>
          <w:color w:val="000000"/>
          <w:sz w:val="24"/>
        </w:rPr>
        <w:t>means, with respect to the Company as an “issuer” for purposes of Rule 506 promulgated under the Securities Act, any Person listed in the first paragraph of Rule 506(d)(1).</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Disqualified Designee</w:t>
      </w:r>
      <w:r>
        <w:rPr>
          <w:color w:val="000000"/>
        </w:rPr>
        <w:t xml:space="preserve">” </w:t>
      </w:r>
      <w:r>
        <w:rPr>
          <w:rFonts w:ascii="Times New Roman;sans-serif" w:hAnsi="Times New Roman;sans-serif"/>
          <w:b w:val="false"/>
          <w:color w:val="000000"/>
          <w:sz w:val="24"/>
        </w:rPr>
        <w:t>means any director designee to whom any Disqualification Event is applicable, except for a Disqualification Event as to which Rule 506(d)(2)(ii) or (iii) or (d)(3) is applicable.</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Disqualification Event</w:t>
      </w:r>
      <w:r>
        <w:rPr>
          <w:color w:val="000000"/>
        </w:rPr>
        <w:t xml:space="preserve">” </w:t>
      </w:r>
      <w:r>
        <w:rPr>
          <w:rFonts w:ascii="Times New Roman;sans-serif" w:hAnsi="Times New Roman;sans-serif"/>
          <w:b w:val="false"/>
          <w:color w:val="000000"/>
          <w:sz w:val="24"/>
        </w:rPr>
        <w:t>means a “bad actor” disqualifying event described in Rule 506(d)(1)(i)-(viii) promulgated under the Securities Act.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Rule 506(d) Related Party</w:t>
      </w:r>
      <w:r>
        <w:rPr>
          <w:color w:val="000000"/>
        </w:rPr>
        <w:t xml:space="preserve">” </w:t>
      </w:r>
      <w:r>
        <w:rPr>
          <w:rFonts w:ascii="Times New Roman;sans-serif" w:hAnsi="Times New Roman;sans-serif"/>
          <w:b w:val="false"/>
          <w:color w:val="000000"/>
          <w:sz w:val="24"/>
        </w:rPr>
        <w:t>means, with respect to any Person, any other Person that is a beneficial owner of such first Person’s securities for purposes of Rule 506(d) promulgated under the Securities Act.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Representations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Person with the right to designate or participate in the designation of a director pursuant to this Agreement hereby represents that (i) such Person has exercised reasonable care to determine whether any Disqualification Event is applicable to such Person, any director designee designated by such Person pursuant to this Agreement or any of such Person’s Rule 506(d) Related Parties, except, if applicable, for a Disqualification Event as to which Rule 506(d)(2)(ii) or (iii) or (d)(3) is applicable and (ii) no Disqualification Event is applicable to such Person, any Board member designated by such Person pursuant to this Agreement or any of such Person’s Rule 506(d) Related Parties, except, if applicable, for a Disqualification Event as to which Rule 506(d)(2)(ii) or (iii) or (d)(3) is applicable. Notwithstanding anything to the contrary in this Agreement, each Investor makes no representation regarding any Person that may be deemed to be a beneficial owner of the Company’s voting equity securities held by such Investor solely by virtue of that Person being or becoming a party to (x) this Agreement, as may be subsequently amended, or (y) any other contract or written agreement to which the Company and such Investor are parties regarding (1) the voting power, which includes the power to vote or to direct the voting of, such security; and/or (2) the investment power, which includes the power to dispose, or to direct the disposition of, such security.</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hereby represents and warrants to the Investors that no Disqualification Event is applicable to the Company or, to the Company’s knowledge, any Company Covered Person, except for a Disqualification Event as to which Rule 506(d)(2)(ii-iv) or (d)(3) is applicable.</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xml:space="preserve">. Each Person with the right to designate or participate in the designation of a director pursuant to this Agreement covenants and agrees (i) not to designate or participate in the designation of any director designee who, to such Person’s knowledge, is a Disqualified Designee, (ii) to exercise reasonable care to determine whether any director designee designated by such person is a Disqualified Designee, (iii)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 and (iv) to notify the Company promptly in writing in the event a Disqualification Event becomes applicable to such Person or any of its Rule 506(d) Related Parties, or, to such Person’s knowledge, to such Person’s initial designee named in </w:t>
      </w:r>
      <w:r>
        <w:br w:type="page"/>
      </w:r>
    </w:p>
    <w:p>
      <w:pPr>
        <w:pStyle w:val="TextBody"/>
        <w:spacing w:before="0" w:after="0"/>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except, if applicable, for a Disqualification Event as to which Rule 506(d)(2)(ii) or (iii) or (d)(3) is applicable.</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xml:space="preserve">. This Agreement shall be effective as of the date hereof and shall continue in effect until and shall terminate upon the earliest to occur of (a) 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(b) the consummation of a Sale of the Company and distribution of proceeds to or escrow for the benefit of the Stockholders in accordance with the Restated Certificate,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provisions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will continue after the closing of any Sale of the Company to the extent necessary to enforce the provisions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with respect to such Sale of the Company; and (c) termination of this Agreement in accordance with </w:t>
      </w:r>
      <w:r>
        <w:rPr>
          <w:rFonts w:ascii="Times New Roman;sans-serif" w:hAnsi="Times New Roman;sans-serif"/>
          <w:b w:val="false"/>
          <w:color w:val="000000"/>
          <w:sz w:val="24"/>
          <w:u w:val="single"/>
        </w:rPr>
        <w:t>Subsection 7.8</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Additional Parties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to the contrary contained herein, if the Company issues additional shares of Preferred Stock or stock senior to Preferred Stock after the date hereof, as a condition to the issuance of such shares the Company shall require that any purchaser of such shares become a party to this Agreement by executing and delivering (i) the Adoption Agreement attached to this Agreement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or (ii) a counterpart signature page hereto agreeing to be bound by and subject to the terms of this Agreement as an Investor and Stockholder hereunder. In either event, each such person shall thereafter be deemed an Investor and Stockholder for all purposes under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that after the date of this Agreement, the Company enters into an agreement with any Person to issue shares of capital stock to such Person (other than to a purchaser of Preferred Stock described in </w:t>
      </w:r>
      <w:r>
        <w:rPr>
          <w:rFonts w:ascii="Times New Roman;sans-serif" w:hAnsi="Times New Roman;sans-serif"/>
          <w:b w:val="false"/>
          <w:color w:val="000000"/>
          <w:sz w:val="24"/>
          <w:u w:val="single"/>
        </w:rPr>
        <w:t>Subsection 7.1(a)</w:t>
      </w:r>
      <w:r>
        <w:rPr>
          <w:color w:val="000000"/>
        </w:rPr>
        <w:t xml:space="preserve"> </w:t>
      </w:r>
      <w:r>
        <w:rPr>
          <w:rFonts w:ascii="Times New Roman;sans-serif" w:hAnsi="Times New Roman;sans-serif"/>
          <w:b w:val="false"/>
          <w:color w:val="000000"/>
          <w:sz w:val="24"/>
        </w:rPr>
        <w:t xml:space="preserve">above), following which such Person shall hold Shares constituting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of the then outstanding capital stock of the Company (treating for this purpose all shares of Common Stock issuable upon exercise of or conversion of outstanding options, warrants or convertible securities, as if exercised and/or converted or exchanged), then, the Company shall cause such Person, as a condition precedent to entering into such agreement, to become a party to this Agreement by executing an Adoption Agreement in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agreeing to be bound by and subject to the terms of this Agreement as a Stockholder and thereafter such person shall be deemed a Stockholder for all purposes under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Transfers</w:t>
      </w:r>
      <w:r>
        <w:rPr>
          <w:rFonts w:ascii="Times New Roman;sans-serif" w:hAnsi="Times New Roman;sans-serif"/>
          <w:b w:val="false"/>
          <w:color w:val="000000"/>
          <w:sz w:val="24"/>
        </w:rPr>
        <w:t xml:space="preserve">. Each transferee or assignee of any Shares subject to this Agreement shall continue to be subject to the terms hereof, and, as a condition precedent to the Company’s recognition of such transfer, each transferee or assignee shall agree in writing to be subject to each of the terms of this Agreement by executing and delivering an Adoption Agreement substantially in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Upon the execution and delivery of an Adoption Agreement by any transferee, such transferee shall be deemed to be a party hereto as if such transferee were the transferor and such transferee’s signature appeared on the signature pages of this Agreement and shall be deemed to be an Investor and Stockholder, or Key Holder and Stockholder, as applicable. The Company shall not permit the transfer of the Shares subject to this Agreement on its books or issue a new certificate representing any such Shares unless and until such transferee shall have complied with the terms of this </w:t>
      </w:r>
      <w:r>
        <w:rPr>
          <w:rFonts w:ascii="Times New Roman;sans-serif" w:hAnsi="Times New Roman;sans-serif"/>
          <w:b w:val="false"/>
          <w:color w:val="000000"/>
          <w:sz w:val="24"/>
          <w:u w:val="single"/>
        </w:rPr>
        <w:t>Subsection 7.2</w:t>
      </w:r>
      <w:r>
        <w:rPr>
          <w:rFonts w:ascii="Times New Roman;sans-serif" w:hAnsi="Times New Roman;sans-serif"/>
          <w:b w:val="false"/>
          <w:color w:val="000000"/>
          <w:sz w:val="24"/>
        </w:rPr>
        <w:t xml:space="preserve">. Each certificate instrument, or book entry representing the Shares subject to this Agreement if issued on or after the date of this Agreement shall be notated by the Company with the legend set forth in </w:t>
      </w:r>
      <w:r>
        <w:rPr>
          <w:rFonts w:ascii="Times New Roman;sans-serif" w:hAnsi="Times New Roman;sans-serif"/>
          <w:b w:val="false"/>
          <w:color w:val="000000"/>
          <w:sz w:val="24"/>
          <w:u w:val="single"/>
        </w:rPr>
        <w:t>Subsection 7.12</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hereto, or to such email address, facsimile number or address as subsequently modified by written notice given in accordance with this </w:t>
      </w:r>
      <w:r>
        <w:rPr>
          <w:rFonts w:ascii="Times New Roman;sans-serif" w:hAnsi="Times New Roman;sans-serif"/>
          <w:b w:val="false"/>
          <w:color w:val="000000"/>
          <w:sz w:val="24"/>
          <w:u w:val="single"/>
        </w:rPr>
        <w:t>Subsection 7.7</w:t>
      </w:r>
      <w:r>
        <w:rPr>
          <w:rFonts w:ascii="Times New Roman;sans-serif" w:hAnsi="Times New Roman;sans-serif"/>
          <w:b w:val="false"/>
          <w:color w:val="000000"/>
          <w:sz w:val="24"/>
        </w:rPr>
        <w:t xml:space="preserve">. </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and Key Holder consents to the delivery of any stockholder notice pursuant to the Delaware General Corporation Law (the “DGCL”),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its electronic mail address, and that failure to do so shall not affect the foregoing.</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Consent Required to Amend, Modify, Terminate or Waive</w:t>
      </w:r>
      <w:r>
        <w:rPr>
          <w:rFonts w:ascii="Times New Roman;sans-serif" w:hAnsi="Times New Roman;sans-serif"/>
          <w:b w:val="false"/>
          <w:color w:val="000000"/>
          <w:sz w:val="24"/>
        </w:rPr>
        <w:t xml:space="preserve">. This Agreement may be amended, modified or terminated (other than pursuant to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xml:space="preserve">) and the observance of any term hereof may be waived (either generally or in a particular instance and either retroactively or prospectively) only by a written instrument executed by (a) the Company, (b) the Key Holders holding at least a majority of the Shares then held by the Key Holders who are then providing services to the Company as officers, employees or consultants, and (c) the Requisite Holders. Notwithstanding the foregoing: </w:t>
      </w:r>
      <w:r>
        <w:br w:type="page"/>
      </w:r>
    </w:p>
    <w:p>
      <w:pPr>
        <w:pStyle w:val="TextBody"/>
        <w:spacing w:before="0" w:after="0"/>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may not be amended, modified or terminated and the observance of any term of this Agreement may not be waived with respect to any Investor or Key Holder without the written consent of such Investor or Key Holder unless such amendment, modification, termination or waiver applies to all Investors or Key Holders, as the case may be, in the same fashion;</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provisions of </w:t>
      </w:r>
      <w:r>
        <w:rPr>
          <w:rFonts w:ascii="Times New Roman;sans-serif" w:hAnsi="Times New Roman;sans-serif"/>
          <w:b w:val="false"/>
          <w:color w:val="000000"/>
          <w:sz w:val="24"/>
          <w:u w:val="single"/>
        </w:rPr>
        <w:t>Subsection 1.2(b)(ii)</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Subsection 7.8(d)</w:t>
      </w:r>
      <w:r>
        <w:rPr>
          <w:color w:val="000000"/>
        </w:rPr>
        <w:t xml:space="preserve"> </w:t>
      </w:r>
      <w:r>
        <w:rPr>
          <w:rFonts w:ascii="Times New Roman;sans-serif" w:hAnsi="Times New Roman;sans-serif"/>
          <w:b w:val="false"/>
          <w:color w:val="000000"/>
          <w:sz w:val="24"/>
        </w:rPr>
        <w:t>may not be amended, modified, terminated or waived without the written consent of PureTech Health LLC;</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consent of the Key Holders shall not be required for any amendment, modification, termination or waiver if such amendment, modification, termination, or waiver either (A) is not directly applicable to the rights of the Key Holders hereunder; or (B) does not adversely affect the rights of the Key Holders in a manner that is different than the effect on the rights of the other parties hereto;</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may be amended by the Company from time to time in accordance with the Purchase Agreement to add information regarding additional Purchasers (as defined in the Purchase Agreement) without the consent of the other parties hereto; and</w:t>
      </w:r>
    </w:p>
    <w:p>
      <w:pPr>
        <w:pStyle w:val="TextBody"/>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any provision hereof may be waived by the waiving party on such party’s own behalf, without the consent of any other party.</w:t>
      </w:r>
    </w:p>
    <w:p>
      <w:pPr>
        <w:pStyle w:val="TextBody"/>
        <w:spacing w:lineRule="auto" w:line="240" w:before="0" w:after="240"/>
        <w:jc w:val="both"/>
        <w:rPr/>
      </w:pPr>
      <w:r>
        <w:rPr>
          <w:rFonts w:ascii="Times New Roman;sans-serif" w:hAnsi="Times New Roman;sans-serif"/>
          <w:b w:val="false"/>
          <w:color w:val="000000"/>
          <w:sz w:val="24"/>
        </w:rPr>
        <w:t xml:space="preserve">The Company shall give prompt written notice of any amendment, modification, termination, or waiver hereunder to any party that did not consent in writing thereto. Any amendment, modification, termination, or waiver effected in accordance with this </w:t>
      </w:r>
      <w:r>
        <w:rPr>
          <w:rFonts w:ascii="Times New Roman;sans-serif" w:hAnsi="Times New Roman;sans-serif"/>
          <w:b w:val="false"/>
          <w:color w:val="000000"/>
          <w:sz w:val="24"/>
          <w:u w:val="single"/>
        </w:rPr>
        <w:t>Subsection 7.8</w:t>
      </w:r>
      <w:r>
        <w:rPr>
          <w:color w:val="000000"/>
        </w:rPr>
        <w:t xml:space="preserve"> </w:t>
      </w:r>
      <w:r>
        <w:rPr>
          <w:rFonts w:ascii="Times New Roman;sans-serif" w:hAnsi="Times New Roman;sans-serif"/>
          <w:b w:val="false"/>
          <w:color w:val="000000"/>
          <w:sz w:val="24"/>
        </w:rPr>
        <w:t xml:space="preserve">shall be binding on each party and all of such party’s successors and permitted assigns, whether or not any such party, successor or assignee entered into or approved such amendment, modification, termination or waiver. For purposes of this </w:t>
      </w:r>
      <w:r>
        <w:rPr>
          <w:rFonts w:ascii="Times New Roman;sans-serif" w:hAnsi="Times New Roman;sans-serif"/>
          <w:b w:val="false"/>
          <w:color w:val="000000"/>
          <w:sz w:val="24"/>
          <w:u w:val="single"/>
        </w:rPr>
        <w:t>Subsection 7.8</w:t>
      </w:r>
      <w:r>
        <w:rPr>
          <w:rFonts w:ascii="Times New Roman;sans-serif" w:hAnsi="Times New Roman;sans-serif"/>
          <w:b w:val="false"/>
          <w:color w:val="000000"/>
          <w:sz w:val="24"/>
        </w:rPr>
        <w:t>, the requirement of a written instrument may be satisfied in the form of an action by written consent of the Stockholders circulated by the Company and executed by the Stockholder parties specified, whether or not such action by written consent makes explicit reference to the terms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hereof shall in no way affect the validity or enforceability of any other provision.</w:t>
      </w:r>
      <w:r>
        <w:br w:type="page"/>
      </w:r>
    </w:p>
    <w:p>
      <w:pPr>
        <w:pStyle w:val="TextBody"/>
        <w:spacing w:before="0" w:after="0"/>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Upon the effectiveness of this Agreement, the Prior Agreement shall be deemed amended and restated to read in its entirety as set forth in this Agreement. This Agreement (including the Exhibits hereto), the Restated Certificate and the other Transaction Agreements (as defined in the Purchase Agreement) constitute the full and entire understanding and agreement between the parties with respect to the subject matter hereof, and any other written or oral agreement relating to the subject matter hereof existing between the parties is expressly canceled.</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Share Certificate Legend</w:t>
      </w:r>
      <w:r>
        <w:rPr>
          <w:rFonts w:ascii="Times New Roman;sans-serif" w:hAnsi="Times New Roman;sans-serif"/>
          <w:b w:val="false"/>
          <w:color w:val="000000"/>
          <w:sz w:val="24"/>
        </w:rPr>
        <w:t>. Each certificate, instrument, or book entry representing any Shares issued after the date hereof shall be notated by the Company with a legend reading substantially as follows:</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4"/>
        </w:rPr>
        <w:t>THE SHARES REPRESENTED HEREBY ARE SUBJECT TO A VOTING AGREEMENT, AS MAY BE AMENDED FROM TIME TO TIME, (A COPY OF WHICH MAY BE OBTAINED UPON WRITTEN REQUEST FROM THE COMPANY), AND BY ACCEPTING ANY INTEREST IN SUCH SHARES THE PERSON ACCEPTING SUCH INTEREST SHALL BE DEEMED TO AGREE TO AND SHALL BECOME BOUND BY ALL THE PROVISIONS OF THAT VOTING AGREEMENT, INCLUDING CERTAIN RESTRICTIONS ON TRANSFER AND OWNERSHIP SET FORTH THEREIN.”</w:t>
      </w:r>
    </w:p>
    <w:p>
      <w:pPr>
        <w:pStyle w:val="TextBody"/>
        <w:spacing w:lineRule="auto" w:line="240" w:before="0" w:after="240"/>
        <w:jc w:val="both"/>
        <w:rPr/>
      </w:pPr>
      <w:r>
        <w:rPr>
          <w:rFonts w:ascii="Times New Roman;sans-serif" w:hAnsi="Times New Roman;sans-serif"/>
          <w:b w:val="false"/>
          <w:color w:val="000000"/>
          <w:sz w:val="24"/>
        </w:rPr>
        <w:t xml:space="preserve">The Company, by its execution of this Agreement, agrees that it will cause the certificates instruments, or book entry evidencing the Shares issued after the date hereof to be notated with the legend required by this </w:t>
      </w:r>
      <w:r>
        <w:rPr>
          <w:rFonts w:ascii="Times New Roman;sans-serif" w:hAnsi="Times New Roman;sans-serif"/>
          <w:b w:val="false"/>
          <w:color w:val="000000"/>
          <w:sz w:val="24"/>
          <w:u w:val="single"/>
        </w:rPr>
        <w:t>Subsection 7.12</w:t>
      </w:r>
      <w:r>
        <w:rPr>
          <w:color w:val="000000"/>
        </w:rPr>
        <w:t xml:space="preserve"> </w:t>
      </w:r>
      <w:r>
        <w:rPr>
          <w:rFonts w:ascii="Times New Roman;sans-serif" w:hAnsi="Times New Roman;sans-serif"/>
          <w:b w:val="false"/>
          <w:color w:val="000000"/>
          <w:sz w:val="24"/>
        </w:rPr>
        <w:t xml:space="preserve">of this Agreement, and it shall supply, free of charge, a copy of this Agreement to any holder of such Shares upon written request from such holder to the Company at its principal office. The parties to this Agreement do hereby agree that the failure to cause the certificates, instruments, or book entry evidencing the Shares to be notated with the legend required by this </w:t>
      </w:r>
      <w:r>
        <w:rPr>
          <w:rFonts w:ascii="Times New Roman;sans-serif" w:hAnsi="Times New Roman;sans-serif"/>
          <w:b w:val="false"/>
          <w:color w:val="000000"/>
          <w:sz w:val="24"/>
          <w:u w:val="single"/>
        </w:rPr>
        <w:t>Subsection 7.12</w:t>
      </w:r>
      <w:r>
        <w:rPr>
          <w:color w:val="000000"/>
        </w:rPr>
        <w:t xml:space="preserve"> </w:t>
      </w:r>
      <w:r>
        <w:rPr>
          <w:rFonts w:ascii="Times New Roman;sans-serif" w:hAnsi="Times New Roman;sans-serif"/>
          <w:b w:val="false"/>
          <w:color w:val="000000"/>
          <w:sz w:val="24"/>
        </w:rPr>
        <w:t>herein and/or the failure of the Company to supply, free of charge, a copy of this Agreement as provided hereunder shall not affect the validity or enforcement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Stock Splits, Stock Dividends, etc.</w:t>
      </w:r>
      <w:r>
        <w:rPr>
          <w:color w:val="000000"/>
        </w:rPr>
        <w:t xml:space="preserve"> </w:t>
      </w:r>
      <w:r>
        <w:rPr>
          <w:rFonts w:ascii="Times New Roman;sans-serif" w:hAnsi="Times New Roman;sans-serif"/>
          <w:b w:val="false"/>
          <w:color w:val="000000"/>
          <w:sz w:val="24"/>
        </w:rPr>
        <w:t xml:space="preserve">In the event of any issuance of Shares or the voting securities of the Company hereafter to any of the Stockholders (including, without limitation, in connection with any stock split, stock dividend, recapitalization, reorganization, or the like), such Shares shall become subject to this Agreement and shall be notated with the legend set forth in </w:t>
      </w:r>
      <w:r>
        <w:rPr>
          <w:rFonts w:ascii="Times New Roman;sans-serif" w:hAnsi="Times New Roman;sans-serif"/>
          <w:b w:val="false"/>
          <w:color w:val="000000"/>
          <w:sz w:val="24"/>
          <w:u w:val="single"/>
        </w:rPr>
        <w:t>Subsection 7.12</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Manner of Voting</w:t>
      </w:r>
      <w:r>
        <w:rPr>
          <w:rFonts w:ascii="Times New Roman;sans-serif" w:hAnsi="Times New Roman;sans-serif"/>
          <w:b w:val="false"/>
          <w:color w:val="000000"/>
          <w:sz w:val="24"/>
        </w:rPr>
        <w:t>. The voting of Shares pursuant to this Agreement may be effected in person, by proxy, by written consent or in any other manner permitted by applicable law. For the avoidance of doubt, voting of the Shares pursuant to the Agreement need not make explicit reference to the terms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carry out the intent of the parties 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xml:space="preserve">.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w:t>
      </w:r>
      <w:r>
        <w:br w:type="page"/>
      </w:r>
    </w:p>
    <w:p>
      <w:pPr>
        <w:pStyle w:val="TextBody"/>
        <w:spacing w:before="0" w:after="0"/>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Costs of Enforcement</w:t>
      </w:r>
      <w:r>
        <w:rPr>
          <w:rFonts w:ascii="Times New Roman;sans-serif" w:hAnsi="Times New Roman;sans-serif"/>
          <w:b w:val="false"/>
          <w:color w:val="000000"/>
          <w:sz w:val="24"/>
        </w:rPr>
        <w:t>. If any party to this Agreement seeks to enforce its rights under this Agreement by legal proceedings, the non-prevailing party shall pay all costs and expenses incurred by the prevailing party, including, without limitation, all reasonable attorneys’ fees.</w:t>
      </w:r>
    </w:p>
    <w:p>
      <w:pPr>
        <w:pStyle w:val="TextBody"/>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held or acquired by a Stockholder and/or its Affiliates shall be aggregated together for the purpose of determining the availability of any rights under this Agreement, and such Affiliated persons may apportion such rights as among themselves in any manner they deem appropriate.</w:t>
      </w:r>
    </w:p>
    <w:p>
      <w:pPr>
        <w:pStyle w:val="TextBody"/>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Spousal Consent</w:t>
      </w:r>
      <w:r>
        <w:rPr>
          <w:rFonts w:ascii="Times New Roman;sans-serif" w:hAnsi="Times New Roman;sans-serif"/>
          <w:b w:val="false"/>
          <w:color w:val="000000"/>
          <w:sz w:val="24"/>
        </w:rPr>
        <w:t xml:space="preserve">. If any individual Stockholder is married on the date of this Agreement, such Stockholder’s spouse shall execute and deliver to the Company a consent of spouse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 (“</w:t>
      </w:r>
      <w:r>
        <w:rPr>
          <w:rFonts w:ascii="Times New Roman;sans-serif" w:hAnsi="Times New Roman;sans-serif"/>
          <w:b/>
          <w:color w:val="000000"/>
          <w:sz w:val="24"/>
        </w:rPr>
        <w:t>Consent of Spouse</w:t>
      </w:r>
      <w:r>
        <w:rPr>
          <w:color w:val="000000"/>
        </w:rPr>
        <w:t>”</w:t>
      </w:r>
      <w:r>
        <w:rPr>
          <w:rFonts w:ascii="Times New Roman;sans-serif" w:hAnsi="Times New Roman;sans-serif"/>
          <w:b w:val="false"/>
          <w:color w:val="000000"/>
          <w:sz w:val="24"/>
        </w:rPr>
        <w:t>), effective on the date hereof. Notwithstanding the execution and delivery thereof, such consent shall not be deemed to confer or convey to the spouse any rights in such Stockholder’s Shares that do not otherwise exist by operation of law or the agreement of the parties. If any individual Stockholder should marry or remarry subsequent to the date of this Agreement, such Stockholder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pStyle w:val="TextBody"/>
        <w:spacing w:lineRule="auto" w:line="240" w:before="0" w:after="240"/>
        <w:ind w:left="0" w:right="0" w:firstLine="1440"/>
        <w:jc w:val="both"/>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David Liu</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KEY HOLDERS:</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u w:val="single"/>
        </w:rPr>
        <w:t>/s/[***]</w:t>
      </w:r>
      <w:r>
        <w:rPr>
          <w:rFonts w:ascii="Times New Roman;sans-serif" w:hAnsi="Times New Roman;sans-serif"/>
          <w:b w:val="false"/>
          <w:color w:val="000000"/>
          <w:sz w:val="24"/>
        </w:rPr>
        <w:t>______________________________</w:t>
      </w:r>
    </w:p>
    <w:p>
      <w:pPr>
        <w:pStyle w:val="TextBody"/>
        <w:spacing w:lineRule="auto" w:line="240" w:before="0" w:after="0"/>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306705"/>
                <wp:effectExtent l="0" t="0" r="0" b="0"/>
                <wp:wrapNone/>
                <wp:docPr id="177" name="Frame17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0" w:after="0"/>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p>
    <w:p>
      <w:pPr>
        <w:pStyle w:val="TextBody"/>
        <w:spacing w:before="0" w:after="240"/>
        <w:ind w:left="0" w:right="0" w:firstLine="72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306705"/>
                <wp:effectExtent l="0" t="0" r="0" b="0"/>
                <wp:wrapNone/>
                <wp:docPr id="178" name="Frame17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306705"/>
                <wp:effectExtent l="0" t="0" r="0" b="0"/>
                <wp:wrapNone/>
                <wp:docPr id="179" name="Frame17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0" w:after="0"/>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0" w:after="0"/>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before="0" w:after="240"/>
        <w:ind w:left="0" w:right="0" w:firstLine="72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306705"/>
                <wp:effectExtent l="0" t="0" r="0" b="0"/>
                <wp:wrapNone/>
                <wp:docPr id="180" name="Frame17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306705"/>
                <wp:effectExtent l="0" t="0" r="0" b="0"/>
                <wp:wrapNone/>
                <wp:docPr id="181" name="Frame18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w:t>
      </w:r>
      <w:r>
        <w:rPr>
          <w:rFonts w:ascii="Times New Roman;sans-serif" w:hAnsi="Times New Roman;sans-serif"/>
          <w:b w:val="false"/>
          <w:color w:val="000000"/>
          <w:sz w:val="24"/>
        </w:rPr>
        <w:t>]</w:t>
        <w:br/>
        <w:t>By: [***]</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306705"/>
                <wp:effectExtent l="0" t="0" r="0" b="0"/>
                <wp:wrapNone/>
                <wp:docPr id="182" name="Frame18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pPr>
      <w:r>
        <w:rPr>
          <w:color w:val="000000"/>
        </w:rPr>
        <w:t>    </w:t>
      </w: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306705"/>
                <wp:effectExtent l="0" t="0" r="0" b="0"/>
                <wp:wrapNone/>
                <wp:docPr id="183" name="Frame18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306705"/>
                <wp:effectExtent l="0" t="0" r="0" b="0"/>
                <wp:wrapNone/>
                <wp:docPr id="184" name="Frame18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240"/>
        <w:rPr/>
      </w:pPr>
      <w:r>
        <w:rPr>
          <w:rFonts w:ascii="Times New Roman;sans-serif" w:hAnsi="Times New Roman;sans-serif"/>
          <w:b w:val="false"/>
          <w:color w:val="000000"/>
          <w:sz w:val="24"/>
        </w:rPr>
        <w:t>[***</w:t>
      </w:r>
      <w:r>
        <w:rPr>
          <w:rFonts w:ascii="Times New Roman;sans-serif" w:hAnsi="Times New Roman;sans-serif"/>
          <w:b/>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306705"/>
                <wp:effectExtent l="0" t="0" r="0" b="0"/>
                <wp:wrapNone/>
                <wp:docPr id="185" name="Frame18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31445"/>
                <wp:effectExtent l="0" t="0" r="0" b="0"/>
                <wp:wrapNone/>
                <wp:docPr id="186" name="Frame18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KEY HOLDERS</w:t>
      </w:r>
    </w:p>
    <w:p>
      <w:pPr>
        <w:pStyle w:val="TextBody"/>
        <w:spacing w:before="0" w:after="240"/>
        <w:rPr/>
      </w:pPr>
      <w:r>
        <w:rPr/>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31445"/>
                <wp:effectExtent l="0" t="0" r="0" b="0"/>
                <wp:wrapNone/>
                <wp:docPr id="187" name="Frame18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ADOPTION AGREEMENT</w:t>
      </w:r>
    </w:p>
    <w:p>
      <w:pPr>
        <w:pStyle w:val="TextBody"/>
        <w:spacing w:lineRule="auto" w:line="240" w:before="0" w:after="200"/>
        <w:ind w:left="0" w:right="0" w:firstLine="720"/>
        <w:jc w:val="both"/>
        <w:rPr/>
      </w:pPr>
      <w:r>
        <w:rPr>
          <w:rFonts w:ascii="Times New Roman;sans-serif" w:hAnsi="Times New Roman;sans-serif"/>
          <w:b w:val="false"/>
          <w:color w:val="000000"/>
          <w:sz w:val="24"/>
        </w:rPr>
        <w:t>This Adoption Agreement (“</w:t>
      </w:r>
      <w:r>
        <w:rPr>
          <w:rFonts w:ascii="Times New Roman;sans-serif" w:hAnsi="Times New Roman;sans-serif"/>
          <w:b/>
          <w:color w:val="000000"/>
          <w:sz w:val="24"/>
        </w:rPr>
        <w:t>Adoption Agreement</w:t>
      </w:r>
      <w:r>
        <w:rPr>
          <w:color w:val="000000"/>
        </w:rPr>
        <w:t>”</w:t>
      </w:r>
      <w:r>
        <w:rPr>
          <w:rFonts w:ascii="Times New Roman;sans-serif" w:hAnsi="Times New Roman;sans-serif"/>
          <w:b w:val="false"/>
          <w:color w:val="000000"/>
          <w:sz w:val="24"/>
        </w:rPr>
        <w:t>) is executed on ________________, 20__, by the undersigned (the “</w:t>
      </w:r>
      <w:r>
        <w:rPr>
          <w:rFonts w:ascii="Times New Roman;sans-serif" w:hAnsi="Times New Roman;sans-serif"/>
          <w:b/>
          <w:color w:val="000000"/>
          <w:sz w:val="24"/>
        </w:rPr>
        <w:t>Holder</w:t>
      </w:r>
      <w:r>
        <w:rPr>
          <w:color w:val="000000"/>
        </w:rPr>
        <w:t>”</w:t>
      </w:r>
      <w:r>
        <w:rPr>
          <w:rFonts w:ascii="Times New Roman;sans-serif" w:hAnsi="Times New Roman;sans-serif"/>
          <w:b w:val="false"/>
          <w:color w:val="000000"/>
          <w:sz w:val="24"/>
        </w:rPr>
        <w:t>) pursuant to the terms of that certain Amended and Restated Voting Agreement dated as of May [__], 2022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pStyle w:val="TextBody"/>
        <w:spacing w:lineRule="auto" w:line="240" w:before="0" w:after="20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Acknowledgement</w:t>
      </w:r>
      <w:r>
        <w:rPr>
          <w:rFonts w:ascii="Times New Roman;sans-serif" w:hAnsi="Times New Roman;sans-serif"/>
          <w:b w:val="false"/>
          <w:color w:val="000000"/>
          <w:sz w:val="24"/>
        </w:rPr>
        <w:t>. Holder acknowledges that Holder is acquiring certain shares of the capital stock of the Company (the “</w:t>
      </w:r>
      <w:r>
        <w:rPr>
          <w:rFonts w:ascii="Times New Roman;sans-serif" w:hAnsi="Times New Roman;sans-serif"/>
          <w:b/>
          <w:color w:val="000000"/>
          <w:sz w:val="24"/>
        </w:rPr>
        <w:t>Stock</w:t>
      </w:r>
      <w:r>
        <w:rPr>
          <w:color w:val="000000"/>
        </w:rPr>
        <w:t>”</w:t>
      </w:r>
      <w:r>
        <w:rPr>
          <w:rFonts w:ascii="Times New Roman;sans-serif" w:hAnsi="Times New Roman;sans-serif"/>
          <w:b w:val="false"/>
          <w:color w:val="000000"/>
          <w:sz w:val="24"/>
        </w:rPr>
        <w:t>) [or options, warrants, or other rights to purchase such Stock (the “</w:t>
      </w:r>
      <w:r>
        <w:rPr>
          <w:rFonts w:ascii="Times New Roman;sans-serif" w:hAnsi="Times New Roman;sans-serif"/>
          <w:b/>
          <w:color w:val="000000"/>
          <w:sz w:val="24"/>
        </w:rPr>
        <w:t>Options</w:t>
      </w:r>
      <w:r>
        <w:rPr>
          <w:color w:val="000000"/>
        </w:rPr>
        <w:t>”</w:t>
      </w:r>
      <w:r>
        <w:rPr>
          <w:rFonts w:ascii="Times New Roman;sans-serif" w:hAnsi="Times New Roman;sans-serif"/>
          <w:b w:val="false"/>
          <w:color w:val="000000"/>
          <w:sz w:val="24"/>
        </w:rPr>
        <w:t>)], for one of the following reasons (Check the correct box):</w:t>
      </w:r>
    </w:p>
    <w:p>
      <w:pPr>
        <w:pStyle w:val="TextBody"/>
        <w:spacing w:lineRule="auto" w:line="240" w:before="0" w:after="120"/>
        <w:ind w:left="0" w:right="0" w:hanging="720"/>
        <w:jc w:val="both"/>
        <w:rPr/>
      </w:pPr>
      <w:r>
        <w:rPr>
          <w:color w:val="000000"/>
        </w:rPr>
        <w:t>☐    </w:t>
      </w:r>
      <w:r>
        <w:rPr>
          <w:rFonts w:ascii="Times New Roman;sans-serif" w:hAnsi="Times New Roman;sans-serif"/>
          <w:b w:val="false"/>
          <w:color w:val="000000"/>
          <w:sz w:val="24"/>
        </w:rPr>
        <w:t>As a transferee of Shares from a party in such party’s capacity as an “Investor” bound by the Agreement, and after such transfer, Holder shall be considered an “Investor” and a “Stockholder” for all purposes of the Agreement.</w:t>
      </w:r>
    </w:p>
    <w:p>
      <w:pPr>
        <w:pStyle w:val="TextBody"/>
        <w:spacing w:lineRule="auto" w:line="240" w:before="0" w:after="120"/>
        <w:ind w:left="0" w:right="0" w:hanging="720"/>
        <w:jc w:val="both"/>
        <w:rPr/>
      </w:pPr>
      <w:r>
        <w:rPr>
          <w:color w:val="000000"/>
        </w:rPr>
        <w:t>☐    </w:t>
      </w:r>
      <w:r>
        <w:rPr>
          <w:rFonts w:ascii="Times New Roman;sans-serif" w:hAnsi="Times New Roman;sans-serif"/>
          <w:b w:val="false"/>
          <w:color w:val="000000"/>
          <w:sz w:val="24"/>
        </w:rPr>
        <w:t>As a transferee of Shares from a party in such party’s capacity as a “Key Holder” bound by the Agreement, and after such transfer, Holder shall be considered a “Key Holder” and a “Stockholder” for all purposes of the Agreement.</w:t>
      </w:r>
    </w:p>
    <w:p>
      <w:pPr>
        <w:pStyle w:val="TextBody"/>
        <w:spacing w:lineRule="auto" w:line="240" w:before="0" w:after="120"/>
        <w:ind w:left="0" w:right="0" w:hanging="720"/>
        <w:jc w:val="both"/>
        <w:rPr/>
      </w:pPr>
      <w:r>
        <w:rPr>
          <w:color w:val="000000"/>
        </w:rPr>
        <w:t>☐    </w:t>
      </w:r>
      <w:r>
        <w:rPr>
          <w:rFonts w:ascii="Times New Roman;sans-serif" w:hAnsi="Times New Roman;sans-serif"/>
          <w:b w:val="false"/>
          <w:color w:val="000000"/>
          <w:sz w:val="24"/>
        </w:rPr>
        <w:t xml:space="preserve">As a new Investor in accordance with </w:t>
      </w:r>
      <w:r>
        <w:rPr>
          <w:rFonts w:ascii="Times New Roman;sans-serif" w:hAnsi="Times New Roman;sans-serif"/>
          <w:b w:val="false"/>
          <w:color w:val="000000"/>
          <w:sz w:val="24"/>
          <w:u w:val="single"/>
        </w:rPr>
        <w:t>Subsection 7.1(a)</w:t>
      </w:r>
      <w:r>
        <w:rPr>
          <w:color w:val="000000"/>
        </w:rPr>
        <w:t xml:space="preserve"> </w:t>
      </w:r>
      <w:r>
        <w:rPr>
          <w:rFonts w:ascii="Times New Roman;sans-serif" w:hAnsi="Times New Roman;sans-serif"/>
          <w:b w:val="false"/>
          <w:color w:val="000000"/>
          <w:sz w:val="24"/>
        </w:rPr>
        <w:t>of the Agreement, in which case Holder will be an “Investor” and a “Stockholder” for all purposes of the Agreement.</w:t>
      </w:r>
    </w:p>
    <w:p>
      <w:pPr>
        <w:pStyle w:val="TextBody"/>
        <w:spacing w:lineRule="auto" w:line="240" w:before="0" w:after="120"/>
        <w:ind w:left="0" w:right="0" w:hanging="720"/>
        <w:jc w:val="both"/>
        <w:rPr/>
      </w:pPr>
      <w:r>
        <w:rPr>
          <w:color w:val="000000"/>
        </w:rPr>
        <w:t>☐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Subsection 7.1(b)</w:t>
      </w:r>
      <w:r>
        <w:rPr>
          <w:color w:val="000000"/>
        </w:rPr>
        <w:t xml:space="preserve"> </w:t>
      </w:r>
      <w:r>
        <w:rPr>
          <w:rFonts w:ascii="Times New Roman;sans-serif" w:hAnsi="Times New Roman;sans-serif"/>
          <w:b w:val="false"/>
          <w:color w:val="000000"/>
          <w:sz w:val="24"/>
        </w:rPr>
        <w:t>of the Agreement, as a new party who is not a new Investor, in which case Holder will be a “Stockholder” for all purposes of the Agreement.</w:t>
      </w:r>
    </w:p>
    <w:p>
      <w:pPr>
        <w:pStyle w:val="TextBody"/>
        <w:spacing w:lineRule="auto" w:line="240" w:before="0" w:after="20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Holder hereby (a) agrees that the Stock [Options], and any other shares of capital stock or securities required by the Agreement to be bound thereby, shall be bound by and subject to the terms of the Agreement and (b) adopts the Agreement with the same force and effect as if Holder were originally a party thereto.</w:t>
      </w:r>
    </w:p>
    <w:p>
      <w:pPr>
        <w:pStyle w:val="TextBody"/>
        <w:spacing w:lineRule="auto" w:line="240" w:before="0" w:after="200"/>
        <w:ind w:left="0" w:right="0" w:firstLine="72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by the Agreement shall be given to Holder at the address or facsimile number listed below Holder’s signature hereto.</w:t>
      </w:r>
    </w:p>
    <w:tbl>
      <w:tblPr>
        <w:tblW w:w="5969" w:type="dxa"/>
        <w:jc w:val="left"/>
        <w:tblInd w:w="0" w:type="dxa"/>
        <w:tblCellMar>
          <w:top w:w="28" w:type="dxa"/>
          <w:left w:w="28" w:type="dxa"/>
          <w:bottom w:w="28" w:type="dxa"/>
          <w:right w:w="28" w:type="dxa"/>
        </w:tblCellMar>
      </w:tblPr>
      <w:tblGrid>
        <w:gridCol w:w="1021"/>
        <w:gridCol w:w="898"/>
        <w:gridCol w:w="900"/>
        <w:gridCol w:w="921"/>
        <w:gridCol w:w="921"/>
        <w:gridCol w:w="1308"/>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00"/>
              <w:jc w:val="left"/>
              <w:rPr/>
            </w:pPr>
            <w:r>
              <w:rPr>
                <w:rFonts w:ascii="Times New Roman;sans-serif" w:hAnsi="Times New Roman;sans-serif"/>
                <w:b/>
                <w:color w:val="000000"/>
                <w:sz w:val="24"/>
              </w:rPr>
              <w:t xml:space="preserve">HOLDER: </w:t>
            </w:r>
            <w:r>
              <w:rPr>
                <w:color w:val="000000"/>
                <w:u w:val="single"/>
              </w:rPr>
              <w:t>    </w:t>
            </w:r>
          </w:p>
          <w:p>
            <w:pPr>
              <w:pStyle w:val="TableContents"/>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p>
          <w:p>
            <w:pPr>
              <w:pStyle w:val="TableContents"/>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Name and Title of Signatory</w:t>
            </w:r>
          </w:p>
          <w:p>
            <w:pPr>
              <w:pStyle w:val="TableContents"/>
              <w:spacing w:lineRule="auto" w:line="240" w:before="0" w:after="120"/>
              <w:jc w:val="left"/>
              <w:rPr/>
            </w:pPr>
            <w:r>
              <w:rPr>
                <w:rFonts w:ascii="Times New Roman;sans-serif" w:hAnsi="Times New Roman;sans-serif"/>
                <w:b w:val="false"/>
                <w:color w:val="000000"/>
                <w:sz w:val="24"/>
              </w:rPr>
              <w:t>Address:</w:t>
            </w:r>
            <w:r>
              <w:rPr>
                <w:color w:val="000000"/>
                <w:u w:val="single"/>
              </w:rPr>
              <w:t>    </w:t>
            </w:r>
          </w:p>
          <w:p>
            <w:pPr>
              <w:pStyle w:val="TableContents"/>
              <w:spacing w:lineRule="auto" w:line="240" w:before="0" w:after="120"/>
              <w:jc w:val="left"/>
              <w:rPr>
                <w:color w:val="000000"/>
                <w:u w:val="single"/>
              </w:rPr>
            </w:pPr>
            <w:r>
              <w:rPr>
                <w:color w:val="000000"/>
                <w:u w:val="single"/>
              </w:rPr>
              <w:t>    </w:t>
            </w:r>
          </w:p>
          <w:p>
            <w:pPr>
              <w:pStyle w:val="TableContents"/>
              <w:spacing w:lineRule="auto" w:line="240" w:before="0" w:after="40"/>
              <w:jc w:val="left"/>
              <w:rPr/>
            </w:pPr>
            <w:r>
              <w:rPr>
                <w:rFonts w:ascii="Times New Roman;sans-serif" w:hAnsi="Times New Roman;sans-serif"/>
                <w:b w:val="false"/>
                <w:color w:val="000000"/>
                <w:sz w:val="24"/>
              </w:rPr>
              <w:t>Facsimile Number:</w:t>
            </w:r>
            <w:r>
              <w:rPr>
                <w:color w:val="000000"/>
                <w:u w:val="single"/>
              </w:rPr>
              <w:t>    </w:t>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ableContents"/>
              <w:spacing w:lineRule="auto" w:line="240" w:before="0" w:after="440"/>
              <w:jc w:val="left"/>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ableContents"/>
              <w:spacing w:lineRule="auto" w:line="240" w:before="0" w:after="200"/>
              <w:jc w:val="left"/>
              <w:rPr/>
            </w:pPr>
            <w:r>
              <w:rPr>
                <w:rFonts w:ascii="Times New Roman;sans-serif" w:hAnsi="Times New Roman;sans-serif"/>
                <w:b w:val="false"/>
                <w:color w:val="000000"/>
                <w:sz w:val="24"/>
              </w:rPr>
              <w:t>By:</w:t>
            </w:r>
            <w:r>
              <w:rPr>
                <w:color w:val="000000"/>
                <w:u w:val="single"/>
              </w:rPr>
              <w:t>    </w:t>
            </w:r>
          </w:p>
          <w:p>
            <w:pPr>
              <w:pStyle w:val="TableContents"/>
              <w:spacing w:lineRule="auto" w:line="240" w:before="0" w:after="0"/>
              <w:jc w:val="left"/>
              <w:rPr/>
            </w:pPr>
            <w:r>
              <w:rPr>
                <w:rFonts w:ascii="Times New Roman;sans-serif" w:hAnsi="Times New Roman;sans-serif"/>
                <w:b w:val="false"/>
                <w:color w:val="000000"/>
                <w:sz w:val="24"/>
              </w:rPr>
              <w:t>Title:</w:t>
            </w:r>
            <w:r>
              <w:rPr>
                <w:color w:val="000000"/>
                <w:u w:val="single"/>
              </w:rPr>
              <w:t>    </w:t>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31445"/>
                <wp:effectExtent l="0" t="0" r="0" b="0"/>
                <wp:wrapNone/>
                <wp:docPr id="188" name="Frame18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CONSENT OF SPOUSE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I, [_______________], spouse of [__________________], acknowledge that I have read the Amended and Restated Voting Agreement, dated as of May [__], 2022, to which this Consent is attached as </w:t>
      </w:r>
      <w:r>
        <w:rPr>
          <w:rFonts w:ascii="Times New Roman;sans-serif" w:hAnsi="Times New Roman;sans-serif"/>
          <w:b w:val="false"/>
          <w:color w:val="000000"/>
          <w:sz w:val="24"/>
          <w:u w:val="single"/>
        </w:rPr>
        <w:t xml:space="preserve">Exhibit B </w:t>
      </w:r>
      <w:r>
        <w:rPr>
          <w:rFonts w:ascii="Times New Roman;sans-serif" w:hAnsi="Times New Roman;sans-serif"/>
          <w:b w:val="false"/>
          <w:color w:val="000000"/>
          <w:sz w:val="24"/>
        </w:rPr>
        <w:t>(the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that I know the contents of the Agreement. I am aware that the Agreement contains provisions regarding the voting and transfer of shares of capital stock of the Company that my spouse may own, including any interest I might have therein.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pStyle w:val="TextBody"/>
        <w:spacing w:before="0" w:after="240"/>
        <w:rPr/>
      </w:pPr>
      <w:r>
        <w:rPr/>
      </w:r>
    </w:p>
    <w:tbl>
      <w:tblPr>
        <w:tblW w:w="3929" w:type="dxa"/>
        <w:jc w:val="left"/>
        <w:tblInd w:w="0" w:type="dxa"/>
        <w:tblCellMar>
          <w:top w:w="28" w:type="dxa"/>
          <w:left w:w="28" w:type="dxa"/>
          <w:bottom w:w="28" w:type="dxa"/>
          <w:right w:w="28" w:type="dxa"/>
        </w:tblCellMar>
      </w:tblPr>
      <w:tblGrid>
        <w:gridCol w:w="271"/>
        <w:gridCol w:w="239"/>
        <w:gridCol w:w="240"/>
        <w:gridCol w:w="930"/>
        <w:gridCol w:w="930"/>
        <w:gridCol w:w="1319"/>
      </w:tblGrid>
      <w:tr>
        <w:trPr/>
        <w:tc>
          <w:tcPr>
            <w:tcW w:w="27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r>
      <w:tr>
        <w:trPr/>
        <w:tc>
          <w:tcPr>
            <w:tcW w:w="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u w:val="single"/>
              </w:rPr>
            </w:pPr>
            <w:r>
              <w:rPr>
                <w:color w:val="000000"/>
                <w:u w:val="single"/>
              </w:rPr>
              <w:t>    </w:t>
            </w:r>
          </w:p>
          <w:p>
            <w:pPr>
              <w:pStyle w:val="TableContents"/>
              <w:spacing w:lineRule="auto" w:line="240" w:before="0" w:after="240"/>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Name of Key Holder’s Spouse</w:t>
            </w:r>
            <w:r>
              <w:rPr>
                <w:rFonts w:ascii="Times New Roman;sans-serif" w:hAnsi="Times New Roman;sans-serif"/>
                <w:b w:val="false"/>
                <w:color w:val="000000"/>
                <w:sz w:val="24"/>
              </w:rPr>
              <w:t>]</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w:t>
      </w:r>
      <w:r>
        <w:rPr>
          <w:rFonts w:ascii="Times New Roman;sans-serif" w:hAnsi="Times New Roman;sans-serif"/>
          <w:b/>
          <w:color w:val="000000"/>
          <w:sz w:val="24"/>
          <w:highlight w:val="white"/>
        </w:rPr>
        <w:t>xhibit 4.17</w:t>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31445"/>
                <wp:effectExtent l="0" t="0" r="0" b="0"/>
                <wp:wrapNone/>
                <wp:docPr id="189" name="Frame18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v:rect>
            </w:pict>
          </mc:Fallback>
        </mc:AlternateContent>
      </w:r>
    </w:p>
    <w:p>
      <w:pPr>
        <w:pStyle w:val="TextBody"/>
        <w:spacing w:before="0" w:after="240"/>
        <w:rPr/>
      </w:pPr>
      <w:r>
        <w:rPr/>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Execution Version </w:t>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spacing w:before="0" w:after="240"/>
        <w:jc w:val="center"/>
        <w:rPr/>
      </w:pPr>
      <w:r>
        <w:rPr/>
      </w:r>
    </w:p>
    <w:p>
      <w:pPr>
        <w:pStyle w:val="TextBody"/>
        <w:spacing w:before="0" w:after="2"/>
        <w:jc w:val="center"/>
        <w:rPr/>
      </w:pPr>
      <w:r>
        <w:rPr/>
      </w:r>
    </w:p>
    <w:p>
      <w:pPr>
        <w:pStyle w:val="TextBody"/>
        <w:spacing w:before="0" w:after="2"/>
        <w:jc w:val="center"/>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INVESTORS’ RIGHTS AGREEMENT</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spacing w:before="0" w:after="0"/>
        <w:jc w:val="right"/>
        <w:rPr/>
      </w:pPr>
      <w:r>
        <w:rPr/>
      </w:r>
    </w:p>
    <w:p>
      <w:pPr>
        <w:pStyle w:val="TextBody"/>
        <w:spacing w:before="0" w:after="2"/>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306705"/>
                <wp:effectExtent l="0" t="0" r="0" b="0"/>
                <wp:wrapNone/>
                <wp:docPr id="190" name="Frame18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5641" w:type="dxa"/>
        <w:jc w:val="left"/>
        <w:tblInd w:w="0" w:type="dxa"/>
        <w:tblCellMar>
          <w:top w:w="28" w:type="dxa"/>
          <w:left w:w="28" w:type="dxa"/>
          <w:bottom w:w="28" w:type="dxa"/>
          <w:right w:w="28" w:type="dxa"/>
        </w:tblCellMar>
      </w:tblPr>
      <w:tblGrid>
        <w:gridCol w:w="1903"/>
        <w:gridCol w:w="1669"/>
        <w:gridCol w:w="1678"/>
        <w:gridCol w:w="114"/>
        <w:gridCol w:w="114"/>
        <w:gridCol w:w="163"/>
      </w:tblGrid>
      <w:tr>
        <w:trPr/>
        <w:tc>
          <w:tcPr>
            <w:tcW w:w="1903"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1.</w:t>
              </w:r>
            </w:hyperlink>
            <w:hyperlink w:anchor="i054d85828dba40f68d38dbf919d795f3_7">
              <w:r>
                <w:rPr>
                  <w:rStyle w:val="InternetLink"/>
                </w:rPr>
                <w:t>    </w:t>
              </w:r>
            </w:hyperlink>
            <w:hyperlink w:anchor="i054d85828dba40f68d38dbf919d795f3_7">
              <w:r>
                <w:rPr>
                  <w:rStyle w:val="InternetLink"/>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w:t>
              </w:r>
            </w:hyperlink>
            <w:hyperlink w:anchor="i054d85828dba40f68d38dbf919d795f3_7">
              <w:r>
                <w:rPr>
                  <w:rStyle w:val="InternetLink"/>
                </w:rPr>
                <w:t>    </w:t>
              </w:r>
            </w:hyperlink>
            <w:hyperlink w:anchor="i054d85828dba40f68d38dbf919d795f3_7">
              <w:r>
                <w:rPr>
                  <w:rStyle w:val="InternetLink"/>
                </w:rPr>
                <w:t>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4</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2.1</w:t>
              </w:r>
            </w:hyperlink>
            <w:hyperlink w:anchor="i054d85828dba40f68d38dbf919d795f3_7">
              <w:r>
                <w:rPr>
                  <w:rStyle w:val="InternetLink"/>
                </w:rPr>
                <w:t>    </w:t>
              </w:r>
            </w:hyperlink>
            <w:hyperlink w:anchor="i054d85828dba40f68d38dbf919d795f3_7">
              <w:r>
                <w:rPr>
                  <w:rStyle w:val="InternetLink"/>
                </w:rPr>
                <w:t>Demand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4</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2.2</w:t>
              </w:r>
            </w:hyperlink>
            <w:hyperlink w:anchor="i054d85828dba40f68d38dbf919d795f3_7">
              <w:r>
                <w:rPr>
                  <w:rStyle w:val="InternetLink"/>
                </w:rPr>
                <w:t>    </w:t>
              </w:r>
            </w:hyperlink>
            <w:hyperlink w:anchor="i054d85828dba40f68d38dbf919d795f3_7">
              <w:r>
                <w:rPr>
                  <w:rStyle w:val="InternetLink"/>
                </w:rPr>
                <w:t>Company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5</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2.3</w:t>
              </w:r>
            </w:hyperlink>
            <w:hyperlink w:anchor="i054d85828dba40f68d38dbf919d795f3_7">
              <w:r>
                <w:rPr>
                  <w:rStyle w:val="InternetLink"/>
                </w:rPr>
                <w:t>    </w:t>
              </w:r>
            </w:hyperlink>
            <w:hyperlink w:anchor="i054d85828dba40f68d38dbf919d795f3_7">
              <w:r>
                <w:rPr>
                  <w:rStyle w:val="InternetLink"/>
                </w:rPr>
                <w:t>Underwriting Requirements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6</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2.4</w:t>
              </w:r>
            </w:hyperlink>
            <w:hyperlink w:anchor="i054d85828dba40f68d38dbf919d795f3_7">
              <w:r>
                <w:rPr>
                  <w:rStyle w:val="InternetLink"/>
                </w:rPr>
                <w:t>    </w:t>
              </w:r>
            </w:hyperlink>
            <w:hyperlink w:anchor="i054d85828dba40f68d38dbf919d795f3_7">
              <w:r>
                <w:rPr>
                  <w:rStyle w:val="InternetLink"/>
                </w:rPr>
                <w:t>Obligations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7</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2.5</w:t>
              </w:r>
            </w:hyperlink>
            <w:hyperlink w:anchor="i054d85828dba40f68d38dbf919d795f3_7">
              <w:r>
                <w:rPr>
                  <w:rStyle w:val="InternetLink"/>
                </w:rPr>
                <w:t>    </w:t>
              </w:r>
            </w:hyperlink>
            <w:hyperlink w:anchor="i054d85828dba40f68d38dbf919d795f3_7">
              <w:r>
                <w:rPr>
                  <w:rStyle w:val="InternetLink"/>
                </w:rPr>
                <w:t>Furnish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8</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2.6</w:t>
              </w:r>
            </w:hyperlink>
            <w:hyperlink w:anchor="i054d85828dba40f68d38dbf919d795f3_7">
              <w:r>
                <w:rPr>
                  <w:rStyle w:val="InternetLink"/>
                </w:rPr>
                <w:t>    </w:t>
              </w:r>
            </w:hyperlink>
            <w:hyperlink w:anchor="i054d85828dba40f68d38dbf919d795f3_7">
              <w:r>
                <w:rPr>
                  <w:rStyle w:val="InternetLink"/>
                </w:rPr>
                <w:t>Expenses of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2.7</w:t>
              </w:r>
            </w:hyperlink>
            <w:hyperlink w:anchor="i054d85828dba40f68d38dbf919d795f3_7">
              <w:r>
                <w:rPr>
                  <w:rStyle w:val="InternetLink"/>
                </w:rPr>
                <w:t>    </w:t>
              </w:r>
            </w:hyperlink>
            <w:hyperlink w:anchor="i054d85828dba40f68d38dbf919d795f3_7">
              <w:r>
                <w:rPr>
                  <w:rStyle w:val="InternetLink"/>
                </w:rPr>
                <w:t>Delay of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2.8</w:t>
              </w:r>
            </w:hyperlink>
            <w:hyperlink w:anchor="i054d85828dba40f68d38dbf919d795f3_7">
              <w:r>
                <w:rPr>
                  <w:rStyle w:val="InternetLink"/>
                </w:rPr>
                <w:t>    </w:t>
              </w:r>
            </w:hyperlink>
            <w:hyperlink w:anchor="i054d85828dba40f68d38dbf919d795f3_7">
              <w:r>
                <w:rPr>
                  <w:rStyle w:val="InternetLink"/>
                </w:rPr>
                <w:t>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2.9</w:t>
              </w:r>
            </w:hyperlink>
            <w:hyperlink w:anchor="i054d85828dba40f68d38dbf919d795f3_7">
              <w:r>
                <w:rPr>
                  <w:rStyle w:val="InternetLink"/>
                </w:rPr>
                <w:t>    </w:t>
              </w:r>
            </w:hyperlink>
            <w:hyperlink w:anchor="i054d85828dba40f68d38dbf919d795f3_7">
              <w:r>
                <w:rPr>
                  <w:rStyle w:val="InternetLink"/>
                </w:rPr>
                <w:t>Reports Under Exchange Act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11</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2.10</w:t>
              </w:r>
            </w:hyperlink>
            <w:hyperlink w:anchor="i054d85828dba40f68d38dbf919d795f3_7">
              <w:r>
                <w:rPr>
                  <w:rStyle w:val="InternetLink"/>
                </w:rPr>
                <w:t>    </w:t>
              </w:r>
            </w:hyperlink>
            <w:hyperlink w:anchor="i054d85828dba40f68d38dbf919d795f3_7">
              <w:r>
                <w:rPr>
                  <w:rStyle w:val="InternetLink"/>
                </w:rPr>
                <w:t>Limitations on Subsequent 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12</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2.11</w:t>
              </w:r>
            </w:hyperlink>
            <w:hyperlink w:anchor="i054d85828dba40f68d38dbf919d795f3_7">
              <w:r>
                <w:rPr>
                  <w:rStyle w:val="InternetLink"/>
                </w:rPr>
                <w:t>    </w:t>
              </w:r>
            </w:hyperlink>
            <w:hyperlink w:anchor="i054d85828dba40f68d38dbf919d795f3_7">
              <w:r>
                <w:rPr>
                  <w:rStyle w:val="InternetLink"/>
                </w:rPr>
                <w:t>Market Stand-off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12</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2.12</w:t>
              </w:r>
            </w:hyperlink>
            <w:hyperlink w:anchor="i054d85828dba40f68d38dbf919d795f3_7">
              <w:r>
                <w:rPr>
                  <w:rStyle w:val="InternetLink"/>
                </w:rPr>
                <w:t>    </w:t>
              </w:r>
            </w:hyperlink>
            <w:hyperlink w:anchor="i054d85828dba40f68d38dbf919d795f3_7">
              <w:r>
                <w:rPr>
                  <w:rStyle w:val="InternetLink"/>
                </w:rPr>
                <w:t>Restrictions on Transfer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13</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2.13</w:t>
              </w:r>
            </w:hyperlink>
            <w:hyperlink w:anchor="i054d85828dba40f68d38dbf919d795f3_7">
              <w:r>
                <w:rPr>
                  <w:rStyle w:val="InternetLink"/>
                </w:rPr>
                <w:t>    </w:t>
              </w:r>
            </w:hyperlink>
            <w:hyperlink w:anchor="i054d85828dba40f68d38dbf919d795f3_7">
              <w:r>
                <w:rPr>
                  <w:rStyle w:val="InternetLink"/>
                </w:rPr>
                <w:t>Termination of 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w:t>
              </w:r>
            </w:hyperlink>
            <w:hyperlink w:anchor="i054d85828dba40f68d38dbf919d795f3_7">
              <w:r>
                <w:rPr>
                  <w:rStyle w:val="InternetLink"/>
                </w:rPr>
                <w:t>    </w:t>
              </w:r>
            </w:hyperlink>
            <w:hyperlink w:anchor="i054d85828dba40f68d38dbf919d795f3_7">
              <w:r>
                <w:rPr>
                  <w:rStyle w:val="InternetLink"/>
                </w:rPr>
                <w:t>Information and Observer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3.1</w:t>
              </w:r>
            </w:hyperlink>
            <w:hyperlink w:anchor="i054d85828dba40f68d38dbf919d795f3_7">
              <w:r>
                <w:rPr>
                  <w:rStyle w:val="InternetLink"/>
                </w:rPr>
                <w:t>    </w:t>
              </w:r>
            </w:hyperlink>
            <w:hyperlink w:anchor="i054d85828dba40f68d38dbf919d795f3_7">
              <w:r>
                <w:rPr>
                  <w:rStyle w:val="InternetLink"/>
                </w:rPr>
                <w:t>Delivery of Financial Statements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3.2</w:t>
              </w:r>
            </w:hyperlink>
            <w:hyperlink w:anchor="i054d85828dba40f68d38dbf919d795f3_7">
              <w:r>
                <w:rPr>
                  <w:rStyle w:val="InternetLink"/>
                </w:rPr>
                <w:t>    </w:t>
              </w:r>
            </w:hyperlink>
            <w:hyperlink w:anchor="i054d85828dba40f68d38dbf919d795f3_7">
              <w:r>
                <w:rPr>
                  <w:rStyle w:val="InternetLink"/>
                </w:rPr>
                <w:t>Inspection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3.3</w:t>
              </w:r>
            </w:hyperlink>
            <w:hyperlink w:anchor="i054d85828dba40f68d38dbf919d795f3_7">
              <w:r>
                <w:rPr>
                  <w:rStyle w:val="InternetLink"/>
                </w:rPr>
                <w:t>    </w:t>
              </w:r>
            </w:hyperlink>
            <w:hyperlink w:anchor="i054d85828dba40f68d38dbf919d795f3_7">
              <w:r>
                <w:rPr>
                  <w:rStyle w:val="InternetLink"/>
                </w:rPr>
                <w:t>Observer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3.4</w:t>
              </w:r>
            </w:hyperlink>
            <w:hyperlink w:anchor="i054d85828dba40f68d38dbf919d795f3_7">
              <w:r>
                <w:rPr>
                  <w:rStyle w:val="InternetLink"/>
                </w:rPr>
                <w:t>    </w:t>
              </w:r>
            </w:hyperlink>
            <w:hyperlink w:anchor="i054d85828dba40f68d38dbf919d795f3_7">
              <w:r>
                <w:rPr>
                  <w:rStyle w:val="InternetLink"/>
                </w:rPr>
                <w:t>Termination of Information and Observer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3.5</w:t>
              </w:r>
            </w:hyperlink>
            <w:hyperlink w:anchor="i054d85828dba40f68d38dbf919d795f3_7">
              <w:r>
                <w:rPr>
                  <w:rStyle w:val="InternetLink"/>
                </w:rPr>
                <w:t>    </w:t>
              </w:r>
            </w:hyperlink>
            <w:hyperlink w:anchor="i054d85828dba40f68d38dbf919d795f3_7">
              <w:r>
                <w:rPr>
                  <w:rStyle w:val="InternetLink"/>
                </w:rPr>
                <w:t>Confidentiality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4.</w:t>
              </w:r>
            </w:hyperlink>
            <w:hyperlink w:anchor="i054d85828dba40f68d38dbf919d795f3_7">
              <w:r>
                <w:rPr>
                  <w:rStyle w:val="InternetLink"/>
                </w:rPr>
                <w:t>    </w:t>
              </w:r>
            </w:hyperlink>
            <w:hyperlink w:anchor="i054d85828dba40f68d38dbf919d795f3_7">
              <w:r>
                <w:rPr>
                  <w:rStyle w:val="InternetLink"/>
                </w:rPr>
                <w:t>Rights to Future Stock Issuances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17</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306705"/>
                <wp:effectExtent l="0" t="0" r="0" b="0"/>
                <wp:wrapNone/>
                <wp:docPr id="191" name="Frame19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v:rect>
            </w:pict>
          </mc:Fallback>
        </mc:AlternateContent>
      </w:r>
    </w:p>
    <w:tbl>
      <w:tblPr>
        <w:tblW w:w="4561" w:type="dxa"/>
        <w:jc w:val="left"/>
        <w:tblInd w:w="0" w:type="dxa"/>
        <w:tblCellMar>
          <w:top w:w="28" w:type="dxa"/>
          <w:left w:w="28" w:type="dxa"/>
          <w:bottom w:w="28" w:type="dxa"/>
          <w:right w:w="28" w:type="dxa"/>
        </w:tblCellMar>
      </w:tblPr>
      <w:tblGrid>
        <w:gridCol w:w="1512"/>
        <w:gridCol w:w="1325"/>
        <w:gridCol w:w="1333"/>
        <w:gridCol w:w="114"/>
        <w:gridCol w:w="114"/>
        <w:gridCol w:w="163"/>
      </w:tblGrid>
      <w:tr>
        <w:trPr/>
        <w:tc>
          <w:tcPr>
            <w:tcW w:w="1512"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4.1</w:t>
              </w:r>
            </w:hyperlink>
            <w:hyperlink w:anchor="i054d85828dba40f68d38dbf919d795f3_7">
              <w:r>
                <w:rPr>
                  <w:rStyle w:val="InternetLink"/>
                </w:rPr>
                <w:t>    </w:t>
              </w:r>
            </w:hyperlink>
            <w:hyperlink w:anchor="i054d85828dba40f68d38dbf919d795f3_7">
              <w:r>
                <w:rPr>
                  <w:rStyle w:val="InternetLink"/>
                </w:rPr>
                <w:t>Right of First Offer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17</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4.2</w:t>
              </w:r>
            </w:hyperlink>
            <w:hyperlink w:anchor="i054d85828dba40f68d38dbf919d795f3_7">
              <w:r>
                <w:rPr>
                  <w:rStyle w:val="InternetLink"/>
                </w:rPr>
                <w:t>    </w:t>
              </w:r>
            </w:hyperlink>
            <w:hyperlink w:anchor="i054d85828dba40f68d38dbf919d795f3_7">
              <w:r>
                <w:rPr>
                  <w:rStyle w:val="InternetLink"/>
                </w:rPr>
                <w:t>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w:t>
              </w:r>
            </w:hyperlink>
            <w:hyperlink w:anchor="i054d85828dba40f68d38dbf919d795f3_7">
              <w:r>
                <w:rPr>
                  <w:rStyle w:val="InternetLink"/>
                </w:rPr>
                <w:t>    </w:t>
              </w:r>
            </w:hyperlink>
            <w:hyperlink w:anchor="i054d85828dba40f68d38dbf919d795f3_7">
              <w:r>
                <w:rPr>
                  <w:rStyle w:val="InternetLink"/>
                </w:rPr>
                <w:t>Additional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5.1</w:t>
              </w:r>
            </w:hyperlink>
            <w:hyperlink w:anchor="i054d85828dba40f68d38dbf919d795f3_7">
              <w:r>
                <w:rPr>
                  <w:rStyle w:val="InternetLink"/>
                </w:rPr>
                <w:t>    </w:t>
              </w:r>
            </w:hyperlink>
            <w:hyperlink w:anchor="i054d85828dba40f68d38dbf919d795f3_7">
              <w:r>
                <w:rPr>
                  <w:rStyle w:val="InternetLink"/>
                </w:rPr>
                <w:t>Insurance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5.2</w:t>
              </w:r>
            </w:hyperlink>
            <w:hyperlink w:anchor="i054d85828dba40f68d38dbf919d795f3_7">
              <w:r>
                <w:rPr>
                  <w:rStyle w:val="InternetLink"/>
                </w:rPr>
                <w:t>    </w:t>
              </w:r>
            </w:hyperlink>
            <w:hyperlink w:anchor="i054d85828dba40f68d38dbf919d795f3_7">
              <w:r>
                <w:rPr>
                  <w:rStyle w:val="InternetLink"/>
                </w:rPr>
                <w:t>Employee Agreements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5.3</w:t>
              </w:r>
            </w:hyperlink>
            <w:hyperlink w:anchor="i054d85828dba40f68d38dbf919d795f3_7">
              <w:r>
                <w:rPr>
                  <w:rStyle w:val="InternetLink"/>
                </w:rPr>
                <w:t>    </w:t>
              </w:r>
            </w:hyperlink>
            <w:hyperlink w:anchor="i054d85828dba40f68d38dbf919d795f3_7">
              <w:r>
                <w:rPr>
                  <w:rStyle w:val="InternetLink"/>
                </w:rPr>
                <w:t>Employee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5.4</w:t>
              </w:r>
            </w:hyperlink>
            <w:hyperlink w:anchor="i054d85828dba40f68d38dbf919d795f3_7">
              <w:r>
                <w:rPr>
                  <w:rStyle w:val="InternetLink"/>
                </w:rPr>
                <w:t>    </w:t>
              </w:r>
            </w:hyperlink>
            <w:hyperlink w:anchor="i054d85828dba40f68d38dbf919d795f3_7">
              <w:r>
                <w:rPr>
                  <w:rStyle w:val="InternetLink"/>
                </w:rPr>
                <w:t>Qualified Small Business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5.5    Matters Requiring Director Approval</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5.6</w:t>
              </w:r>
            </w:hyperlink>
            <w:hyperlink w:anchor="i054d85828dba40f68d38dbf919d795f3_7">
              <w:r>
                <w:rPr>
                  <w:rStyle w:val="InternetLink"/>
                </w:rPr>
                <w:t>    </w:t>
              </w:r>
            </w:hyperlink>
            <w:hyperlink w:anchor="i054d85828dba40f68d38dbf919d795f3_7">
              <w:r>
                <w:rPr>
                  <w:rStyle w:val="InternetLink"/>
                </w:rPr>
                <w:t>Board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5.7</w:t>
              </w:r>
            </w:hyperlink>
            <w:hyperlink w:anchor="i054d85828dba40f68d38dbf919d795f3_7">
              <w:r>
                <w:rPr>
                  <w:rStyle w:val="InternetLink"/>
                </w:rPr>
                <w:t>    </w:t>
              </w:r>
            </w:hyperlink>
            <w:hyperlink w:anchor="i054d85828dba40f68d38dbf919d795f3_7">
              <w:r>
                <w:rPr>
                  <w:rStyle w:val="InternetLink"/>
                </w:rPr>
                <w:t>Successor 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5.8</w:t>
              </w:r>
            </w:hyperlink>
            <w:hyperlink w:anchor="i054d85828dba40f68d38dbf919d795f3_7">
              <w:r>
                <w:rPr>
                  <w:rStyle w:val="InternetLink"/>
                </w:rPr>
                <w:t>    </w:t>
              </w:r>
            </w:hyperlink>
            <w:hyperlink w:anchor="i054d85828dba40f68d38dbf919d795f3_7">
              <w:r>
                <w:rPr>
                  <w:rStyle w:val="InternetLink"/>
                </w:rPr>
                <w:t>Expenses of Counsel</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5.9</w:t>
              </w:r>
            </w:hyperlink>
            <w:hyperlink w:anchor="i054d85828dba40f68d38dbf919d795f3_7">
              <w:r>
                <w:rPr>
                  <w:rStyle w:val="InternetLink"/>
                </w:rPr>
                <w:t>    </w:t>
              </w:r>
            </w:hyperlink>
            <w:hyperlink w:anchor="i054d85828dba40f68d38dbf919d795f3_7">
              <w:r>
                <w:rPr>
                  <w:rStyle w:val="InternetLink"/>
                </w:rPr>
                <w:t>Indemnification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22</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5.10</w:t>
              </w:r>
            </w:hyperlink>
            <w:hyperlink w:anchor="i054d85828dba40f68d38dbf919d795f3_7">
              <w:r>
                <w:rPr>
                  <w:rStyle w:val="InternetLink"/>
                </w:rPr>
                <w:t>    </w:t>
              </w:r>
            </w:hyperlink>
            <w:hyperlink w:anchor="i054d85828dba40f68d38dbf919d795f3_7">
              <w:r>
                <w:rPr>
                  <w:rStyle w:val="InternetLink"/>
                </w:rPr>
                <w:t>Right to Conduct Activities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22</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5.11</w:t>
              </w:r>
            </w:hyperlink>
            <w:hyperlink w:anchor="i054d85828dba40f68d38dbf919d795f3_7">
              <w:r>
                <w:rPr>
                  <w:rStyle w:val="InternetLink"/>
                </w:rPr>
                <w:t>    </w:t>
              </w:r>
            </w:hyperlink>
            <w:hyperlink w:anchor="i054d85828dba40f68d38dbf919d795f3_7">
              <w:r>
                <w:rPr>
                  <w:rStyle w:val="InternetLink"/>
                </w:rPr>
                <w:t>Harassment Policy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5.12</w:t>
              </w:r>
            </w:hyperlink>
            <w:hyperlink w:anchor="i054d85828dba40f68d38dbf919d795f3_7">
              <w:r>
                <w:rPr>
                  <w:rStyle w:val="InternetLink"/>
                </w:rPr>
                <w:t>    </w:t>
              </w:r>
            </w:hyperlink>
            <w:hyperlink w:anchor="i054d85828dba40f68d38dbf919d795f3_7">
              <w:r>
                <w:rPr>
                  <w:rStyle w:val="InternetLink"/>
                </w:rPr>
                <w:t>Termination of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w:t>
              </w:r>
            </w:hyperlink>
            <w:hyperlink w:anchor="i054d85828dba40f68d38dbf919d795f3_7">
              <w:r>
                <w:rPr>
                  <w:rStyle w:val="InternetLink"/>
                </w:rPr>
                <w:t>    </w:t>
              </w:r>
            </w:hyperlink>
            <w:hyperlink w:anchor="i054d85828dba40f68d38dbf919d795f3_7">
              <w:r>
                <w:rPr>
                  <w:rStyle w:val="InternetLink"/>
                </w:rPr>
                <w:t>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6.1</w:t>
              </w:r>
            </w:hyperlink>
            <w:hyperlink w:anchor="i054d85828dba40f68d38dbf919d795f3_7">
              <w:r>
                <w:rPr>
                  <w:rStyle w:val="InternetLink"/>
                </w:rPr>
                <w:t>    </w:t>
              </w:r>
            </w:hyperlink>
            <w:hyperlink w:anchor="i054d85828dba40f68d38dbf919d795f3_7">
              <w:r>
                <w:rPr>
                  <w:rStyle w:val="InternetLink"/>
                </w:rPr>
                <w:t>Successors and Assigns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6.2</w:t>
              </w:r>
            </w:hyperlink>
            <w:hyperlink w:anchor="i054d85828dba40f68d38dbf919d795f3_7">
              <w:r>
                <w:rPr>
                  <w:rStyle w:val="InternetLink"/>
                </w:rPr>
                <w:t>    </w:t>
              </w:r>
            </w:hyperlink>
            <w:hyperlink w:anchor="i054d85828dba40f68d38dbf919d795f3_7">
              <w:r>
                <w:rPr>
                  <w:rStyle w:val="InternetLink"/>
                </w:rPr>
                <w:t>Governing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6.3</w:t>
              </w:r>
            </w:hyperlink>
            <w:hyperlink w:anchor="i054d85828dba40f68d38dbf919d795f3_7">
              <w:r>
                <w:rPr>
                  <w:rStyle w:val="InternetLink"/>
                </w:rPr>
                <w:t>    </w:t>
              </w:r>
            </w:hyperlink>
            <w:hyperlink w:anchor="i054d85828dba40f68d38dbf919d795f3_7">
              <w:r>
                <w:rPr>
                  <w:rStyle w:val="InternetLink"/>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6.4</w:t>
              </w:r>
            </w:hyperlink>
            <w:hyperlink w:anchor="i054d85828dba40f68d38dbf919d795f3_7">
              <w:r>
                <w:rPr>
                  <w:rStyle w:val="InternetLink"/>
                </w:rPr>
                <w:t>    </w:t>
              </w:r>
            </w:hyperlink>
            <w:hyperlink w:anchor="i054d85828dba40f68d38dbf919d795f3_7">
              <w:r>
                <w:rPr>
                  <w:rStyle w:val="InternetLink"/>
                </w:rPr>
                <w:t>Titles and Subtitles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6.5</w:t>
              </w:r>
            </w:hyperlink>
            <w:hyperlink w:anchor="i054d85828dba40f68d38dbf919d795f3_7">
              <w:r>
                <w:rPr>
                  <w:rStyle w:val="InternetLink"/>
                </w:rPr>
                <w:t>    </w:t>
              </w:r>
            </w:hyperlink>
            <w:hyperlink w:anchor="i054d85828dba40f68d38dbf919d795f3_7">
              <w:r>
                <w:rPr>
                  <w:rStyle w:val="InternetLink"/>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6.6</w:t>
              </w:r>
            </w:hyperlink>
            <w:hyperlink w:anchor="i054d85828dba40f68d38dbf919d795f3_7">
              <w:r>
                <w:rPr>
                  <w:rStyle w:val="InternetLink"/>
                </w:rPr>
                <w:t>    </w:t>
              </w:r>
            </w:hyperlink>
            <w:hyperlink w:anchor="i054d85828dba40f68d38dbf919d795f3_7">
              <w:r>
                <w:rPr>
                  <w:rStyle w:val="InternetLink"/>
                </w:rPr>
                <w:t>Amendments and Waivers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25</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6.7</w:t>
              </w:r>
            </w:hyperlink>
            <w:hyperlink w:anchor="i054d85828dba40f68d38dbf919d795f3_7">
              <w:r>
                <w:rPr>
                  <w:rStyle w:val="InternetLink"/>
                </w:rPr>
                <w:t>    </w:t>
              </w:r>
            </w:hyperlink>
            <w:hyperlink w:anchor="i054d85828dba40f68d38dbf919d795f3_7">
              <w:r>
                <w:rPr>
                  <w:rStyle w:val="InternetLink"/>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25</w:t>
              </w:r>
            </w:hyperlink>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6.8</w:t>
              </w:r>
            </w:hyperlink>
            <w:hyperlink w:anchor="i054d85828dba40f68d38dbf919d795f3_7">
              <w:r>
                <w:rPr>
                  <w:rStyle w:val="InternetLink"/>
                </w:rPr>
                <w:t>    </w:t>
              </w:r>
            </w:hyperlink>
            <w:hyperlink w:anchor="i054d85828dba40f68d38dbf919d795f3_7">
              <w:r>
                <w:rPr>
                  <w:rStyle w:val="InternetLink"/>
                </w:rPr>
                <w:t>Aggregation of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25</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306705"/>
                <wp:effectExtent l="0" t="0" r="0" b="0"/>
                <wp:wrapNone/>
                <wp:docPr id="192" name="Frame19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v:rect>
            </w:pict>
          </mc:Fallback>
        </mc:AlternateContent>
      </w:r>
    </w:p>
    <w:tbl>
      <w:tblPr>
        <w:tblW w:w="4170" w:type="dxa"/>
        <w:jc w:val="left"/>
        <w:tblInd w:w="0" w:type="dxa"/>
        <w:tblCellMar>
          <w:top w:w="28" w:type="dxa"/>
          <w:left w:w="28" w:type="dxa"/>
          <w:bottom w:w="28" w:type="dxa"/>
          <w:right w:w="28" w:type="dxa"/>
        </w:tblCellMar>
      </w:tblPr>
      <w:tblGrid>
        <w:gridCol w:w="1369"/>
        <w:gridCol w:w="1203"/>
        <w:gridCol w:w="1207"/>
        <w:gridCol w:w="114"/>
        <w:gridCol w:w="114"/>
        <w:gridCol w:w="163"/>
      </w:tblGrid>
      <w:tr>
        <w:trPr/>
        <w:tc>
          <w:tcPr>
            <w:tcW w:w="136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6.9</w:t>
              </w:r>
            </w:hyperlink>
            <w:hyperlink w:anchor="i054d85828dba40f68d38dbf919d795f3_7">
              <w:r>
                <w:rPr>
                  <w:rStyle w:val="InternetLink"/>
                </w:rPr>
                <w:t>    </w:t>
              </w:r>
            </w:hyperlink>
            <w:hyperlink w:anchor="i054d85828dba40f68d38dbf919d795f3_7">
              <w:r>
                <w:rPr>
                  <w:rStyle w:val="InternetLink"/>
                </w:rPr>
                <w:t>Additional Investors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6.10</w:t>
              </w:r>
            </w:hyperlink>
            <w:hyperlink w:anchor="i054d85828dba40f68d38dbf919d795f3_7">
              <w:r>
                <w:rPr>
                  <w:rStyle w:val="InternetLink"/>
                </w:rPr>
                <w:t>    </w:t>
              </w:r>
            </w:hyperlink>
            <w:hyperlink w:anchor="i054d85828dba40f68d38dbf919d795f3_7">
              <w:r>
                <w:rPr>
                  <w:rStyle w:val="InternetLink"/>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6.11</w:t>
              </w:r>
            </w:hyperlink>
            <w:hyperlink w:anchor="i054d85828dba40f68d38dbf919d795f3_7">
              <w:r>
                <w:rPr>
                  <w:rStyle w:val="InternetLink"/>
                </w:rPr>
                <w:t>    </w:t>
              </w:r>
            </w:hyperlink>
            <w:hyperlink w:anchor="i054d85828dba40f68d38dbf919d795f3_7">
              <w:r>
                <w:rPr>
                  <w:rStyle w:val="InternetLink"/>
                </w:rPr>
                <w:t>Dispute Resolution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6.12</w:t>
              </w:r>
            </w:hyperlink>
            <w:hyperlink w:anchor="i054d85828dba40f68d38dbf919d795f3_7">
              <w:r>
                <w:rPr>
                  <w:rStyle w:val="InternetLink"/>
                </w:rPr>
                <w:t>    </w:t>
              </w:r>
            </w:hyperlink>
            <w:hyperlink w:anchor="i054d85828dba40f68d38dbf919d795f3_7">
              <w:r>
                <w:rPr>
                  <w:rStyle w:val="InternetLink"/>
                </w:rPr>
                <w:t>Delays or Omissions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Pr>
                <w:t>6.13</w:t>
              </w:r>
            </w:hyperlink>
            <w:hyperlink w:anchor="i054d85828dba40f68d38dbf919d795f3_7">
              <w:r>
                <w:rPr>
                  <w:rStyle w:val="InternetLink"/>
                </w:rPr>
                <w:t>    </w:t>
              </w:r>
            </w:hyperlink>
            <w:hyperlink w:anchor="i054d85828dba40f68d38dbf919d795f3_7">
              <w:r>
                <w:rPr>
                  <w:rStyle w:val="InternetLink"/>
                </w:rPr>
                <w:t>No Presumption against Drafter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054d85828dba40f68d38dbf919d795f3_7">
              <w:r>
                <w:rPr>
                  <w:rStyle w:val="InternetLink"/>
                  <w:rFonts w:ascii="Times New Roman;sans-serif" w:hAnsi="Times New Roman;sans-serif"/>
                  <w:b w:val="false"/>
                  <w:strike w:val="false"/>
                  <w:dstrike w:val="false"/>
                  <w:color w:val="000000"/>
                  <w:sz w:val="24"/>
                  <w:u w:val="none"/>
                  <w:effect w:val="none"/>
                </w:rPr>
                <w:t>27</w:t>
              </w:r>
            </w:hyperlink>
          </w:p>
        </w:tc>
      </w:tr>
    </w:tbl>
    <w:p>
      <w:pPr>
        <w:pStyle w:val="TextBody"/>
        <w:spacing w:before="0" w:after="240"/>
        <w:rPr/>
      </w:pPr>
      <w:r>
        <w:rPr/>
      </w:r>
    </w:p>
    <w:p>
      <w:pPr>
        <w:pStyle w:val="TextBody"/>
        <w:spacing w:lineRule="auto" w:line="240" w:before="0" w:after="240"/>
        <w:rPr/>
      </w:pP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Schedule of Investors</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306705"/>
                <wp:effectExtent l="0" t="0" r="0" b="0"/>
                <wp:wrapNone/>
                <wp:docPr id="193" name="Frame19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INVESTORS’ RIGHTS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THIS AMENDED AND RESTATED INVESTORS’ RIGHTS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as of the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and each of the investors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each of which is referred to in this Agreement as an “</w:t>
      </w:r>
      <w:r>
        <w:rPr>
          <w:rFonts w:ascii="Times New Roman;sans-serif" w:hAnsi="Times New Roman;sans-serif"/>
          <w:b/>
          <w:color w:val="000000"/>
          <w:sz w:val="24"/>
        </w:rPr>
        <w:t>Investor</w:t>
      </w:r>
      <w:r>
        <w:rPr>
          <w:color w:val="000000"/>
        </w:rPr>
        <w:t>”</w:t>
      </w:r>
      <w:r>
        <w:rPr>
          <w:rFonts w:ascii="Times New Roman;sans-serif" w:hAnsi="Times New Roman;sans-serif"/>
          <w:b w:val="false"/>
          <w:color w:val="000000"/>
          <w:sz w:val="24"/>
        </w:rPr>
        <w:t xml:space="preserve">, and any purchaser that becomes a party to this Agreement in accordance with </w:t>
      </w:r>
      <w:r>
        <w:rPr>
          <w:rFonts w:ascii="Times New Roman;sans-serif" w:hAnsi="Times New Roman;sans-serif"/>
          <w:b w:val="false"/>
          <w:color w:val="000000"/>
          <w:sz w:val="24"/>
          <w:u w:val="single"/>
        </w:rPr>
        <w:t>Section 6.9</w:t>
      </w:r>
      <w:r>
        <w:rPr>
          <w:color w:val="000000"/>
        </w:rPr>
        <w:t xml:space="preserve"> </w:t>
      </w:r>
      <w:r>
        <w:rPr>
          <w:rFonts w:ascii="Times New Roman;sans-serif" w:hAnsi="Times New Roman;sans-serif"/>
          <w:b w:val="false"/>
          <w:color w:val="000000"/>
          <w:sz w:val="24"/>
        </w:rPr>
        <w:t>hereof.</w: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possess registration rights, information rights, rights of first offer, and other rights pursuant to that certain Investors’ Rights Agreement dated as of April 9, 2019, by and among the Company and such Existing Investors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Existing Investors are holders of at least sixty percent (60%) of the Series A-2 Preferred Stock, $0.0001 par value per share, of the Company (the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 and desire to amend and restate the Prior Agreement in its entirety and to accept the rights created pursuant to this Agreement in lieu of the rights granted to them under the Prior Agreement; and</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are parties to that certain Series B Preferred Stock Purchase Agreement of even date herewith by and among the Company and such Investors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xml:space="preserve">), which provides that as a condition to closing of the issuance of Series B Preferred Stock, this Agreement must be executed and delivered by such Investors and the Company; </w:t>
      </w:r>
    </w:p>
    <w:p>
      <w:pPr>
        <w:pStyle w:val="TextBody"/>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Existing Investors hereby agree that the Prior Agreement is hereby amended and restated in its entirety by this Agreement, and the parties to this Agreement further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 of, or shares the same management company or investment adviser with, such Person.</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color w:val="000000"/>
          <w:sz w:val="24"/>
        </w:rPr>
        <w:t>Board of Directors</w:t>
      </w:r>
      <w:r>
        <w:rPr>
          <w:color w:val="000000"/>
        </w:rPr>
        <w:t xml:space="preserve">” </w:t>
      </w:r>
      <w:r>
        <w:rPr>
          <w:rFonts w:ascii="Times New Roman;sans-serif" w:hAnsi="Times New Roman;sans-serif"/>
          <w:b w:val="false"/>
          <w:color w:val="000000"/>
          <w:sz w:val="24"/>
        </w:rPr>
        <w:t>means the board of directors of the Company.</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color w:val="000000"/>
          <w:sz w:val="24"/>
        </w:rPr>
        <w:t>Certificate of Incorporation</w:t>
      </w:r>
      <w:r>
        <w:rPr>
          <w:color w:val="000000"/>
        </w:rPr>
        <w:t xml:space="preserve">” </w:t>
      </w:r>
      <w:r>
        <w:rPr>
          <w:rFonts w:ascii="Times New Roman;sans-serif" w:hAnsi="Times New Roman;sans-serif"/>
          <w:b w:val="false"/>
          <w:color w:val="000000"/>
          <w:sz w:val="24"/>
        </w:rPr>
        <w:t>means the Company’s Amended and Restated Certificate of Incorporation, as amended and/or restated from time to time.</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shares of the Company’s common stock, par value $0.0001 per share.</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color w:val="000000"/>
        </w:rPr>
        <w:t>“</w:t>
      </w:r>
      <w:r>
        <w:rPr>
          <w:rFonts w:ascii="Times New Roman;sans-serif" w:hAnsi="Times New Roman;sans-serif"/>
          <w:b/>
          <w:color w:val="000000"/>
          <w:sz w:val="24"/>
        </w:rPr>
        <w:t>Competitor</w:t>
      </w:r>
      <w:r>
        <w:rPr>
          <w:color w:val="000000"/>
        </w:rPr>
        <w:t xml:space="preserve">” </w:t>
      </w:r>
      <w:r>
        <w:rPr>
          <w:rFonts w:ascii="Times New Roman;sans-serif" w:hAnsi="Times New Roman;sans-serif"/>
          <w:b w:val="false"/>
          <w:color w:val="000000"/>
          <w:sz w:val="24"/>
        </w:rPr>
        <w:t xml:space="preserve">means a Person engaged, directly or indirectly (including through any partnership, limited liability company, corporation, joint venture or similar arrangement (whether now existing or formed hereafter)), in analyzing speech as an indicator or predictor of a speaker’s physical or mental health state or changes therein, but shall not include (a)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color w:val="000000"/>
          <w:sz w:val="24"/>
        </w:rPr>
        <w:t>Damages</w:t>
      </w:r>
      <w:r>
        <w:rPr>
          <w:color w:val="000000"/>
        </w:rPr>
        <w:t xml:space="preserve">” </w:t>
      </w:r>
      <w:r>
        <w:rPr>
          <w:rFonts w:ascii="Times New Roman;sans-serif" w:hAnsi="Times New Roman;sans-serif"/>
          <w:b w:val="false"/>
          <w:color w:val="000000"/>
          <w:sz w:val="24"/>
        </w:rPr>
        <w:t>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color w:val="000000"/>
          <w:sz w:val="24"/>
        </w:rPr>
        <w:t>Derivative Securities</w:t>
      </w:r>
      <w:r>
        <w:rPr>
          <w:color w:val="000000"/>
        </w:rPr>
        <w:t xml:space="preserve">” </w:t>
      </w:r>
      <w:r>
        <w:rPr>
          <w:rFonts w:ascii="Times New Roman;sans-serif" w:hAnsi="Times New Roman;sans-serif"/>
          <w:b w:val="false"/>
          <w:color w:val="000000"/>
          <w:sz w:val="24"/>
        </w:rPr>
        <w:t>means any securities or rights convertible into, or exercisable or exchangeable for (in each case, directly or indirectly)</w:t>
      </w:r>
      <w:r>
        <w:rPr>
          <w:rFonts w:ascii="Times New Roman;sans-serif" w:hAnsi="Times New Roman;sans-serif"/>
          <w:b/>
          <w:color w:val="000000"/>
          <w:sz w:val="24"/>
        </w:rPr>
        <w:t xml:space="preserve">, </w:t>
      </w:r>
      <w:r>
        <w:rPr>
          <w:rFonts w:ascii="Times New Roman;sans-serif" w:hAnsi="Times New Roman;sans-serif"/>
          <w:b w:val="false"/>
          <w:color w:val="000000"/>
          <w:sz w:val="24"/>
        </w:rPr>
        <w:t>Common Stock, including options and warrants.</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and the rules and regulations promulgated thereunder.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color w:val="000000"/>
          <w:sz w:val="24"/>
        </w:rPr>
        <w:t>Excluded Registration</w:t>
      </w:r>
      <w:r>
        <w:rPr>
          <w:color w:val="000000"/>
        </w:rPr>
        <w:t xml:space="preserve">” </w:t>
      </w:r>
      <w:r>
        <w:rPr>
          <w:rFonts w:ascii="Times New Roman;sans-serif" w:hAnsi="Times New Roman;sans-serif"/>
          <w:b w:val="false"/>
          <w:color w:val="000000"/>
          <w:sz w:val="24"/>
        </w:rPr>
        <w:t>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color w:val="000000"/>
          <w:sz w:val="24"/>
        </w:rPr>
        <w:t>FOIA Party</w:t>
      </w:r>
      <w:r>
        <w:rPr>
          <w:color w:val="000000"/>
        </w:rPr>
        <w:t xml:space="preserve">” </w:t>
      </w:r>
      <w:r>
        <w:rPr>
          <w:rFonts w:ascii="Times New Roman;sans-serif" w:hAnsi="Times New Roman;sans-serif"/>
          <w:b w:val="false"/>
          <w:color w:val="000000"/>
          <w:sz w:val="24"/>
        </w:rPr>
        <w:t>means a Person that, in the determination of the Board of Directors, may be subject to, and thereby required to disclose non-public information furnished by or relating to the Company under, the Freedom of Information Act, 5 U.S.C. 552 (“</w:t>
      </w:r>
      <w:r>
        <w:rPr>
          <w:rFonts w:ascii="Times New Roman;sans-serif" w:hAnsi="Times New Roman;sans-serif"/>
          <w:b/>
          <w:color w:val="000000"/>
          <w:sz w:val="24"/>
        </w:rPr>
        <w:t>FOIA</w:t>
      </w:r>
      <w:r>
        <w:rPr>
          <w:color w:val="000000"/>
        </w:rPr>
        <w:t>”</w:t>
      </w:r>
      <w:r>
        <w:rPr>
          <w:rFonts w:ascii="Times New Roman;sans-serif" w:hAnsi="Times New Roman;sans-serif"/>
          <w:b w:val="false"/>
          <w:color w:val="000000"/>
          <w:sz w:val="24"/>
        </w:rPr>
        <w:t>), any state public records access law, any state or other jurisdiction’s laws similar in intent or effect to FOIA, or any other similar statutory or regulatory requirement.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color w:val="000000"/>
          <w:sz w:val="24"/>
        </w:rPr>
        <w:t>Form S-1</w:t>
      </w:r>
      <w:r>
        <w:rPr>
          <w:color w:val="000000"/>
        </w:rPr>
        <w:t xml:space="preserve">” </w:t>
      </w:r>
      <w:r>
        <w:rPr>
          <w:rFonts w:ascii="Times New Roman;sans-serif" w:hAnsi="Times New Roman;sans-serif"/>
          <w:b w:val="false"/>
          <w:color w:val="000000"/>
          <w:sz w:val="24"/>
        </w:rPr>
        <w:t>means such form under the Securities Act as in effect on the date hereof or any successor registration form under the Securities Act subsequently adopted by the SEC.</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color w:val="000000"/>
          <w:sz w:val="24"/>
        </w:rPr>
        <w:t>Form S-3</w:t>
      </w:r>
      <w:r>
        <w:rPr>
          <w:color w:val="000000"/>
        </w:rPr>
        <w:t xml:space="preserve">” </w:t>
      </w:r>
      <w:r>
        <w:rPr>
          <w:rFonts w:ascii="Times New Roman;sans-serif" w:hAnsi="Times New Roman;sans-serif"/>
          <w:b w:val="false"/>
          <w:color w:val="000000"/>
          <w:sz w:val="24"/>
        </w:rPr>
        <w:t>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generally accepted accounting principles in the United States as in effect from time to time.</w:t>
      </w:r>
    </w:p>
    <w:p>
      <w:pPr>
        <w:pStyle w:val="TextBody"/>
        <w:spacing w:lineRule="auto" w:line="240" w:before="0" w:after="240"/>
        <w:ind w:left="0" w:right="0" w:firstLine="144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color w:val="000000"/>
          <w:sz w:val="24"/>
        </w:rPr>
        <w:t>Holder</w:t>
      </w:r>
      <w:r>
        <w:rPr>
          <w:color w:val="000000"/>
        </w:rPr>
        <w:t xml:space="preserve">” </w:t>
      </w:r>
      <w:r>
        <w:rPr>
          <w:rFonts w:ascii="Times New Roman;sans-serif" w:hAnsi="Times New Roman;sans-serif"/>
          <w:b w:val="false"/>
          <w:color w:val="000000"/>
          <w:sz w:val="24"/>
        </w:rPr>
        <w:t>means any holder of Registrable Securities who is a party to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color w:val="000000"/>
          <w:sz w:val="24"/>
        </w:rPr>
        <w:t>IFRS</w:t>
      </w:r>
      <w:r>
        <w:rPr>
          <w:color w:val="000000"/>
        </w:rPr>
        <w:t xml:space="preserve">” </w:t>
      </w:r>
      <w:r>
        <w:rPr>
          <w:rFonts w:ascii="Times New Roman;sans-serif" w:hAnsi="Times New Roman;sans-serif"/>
          <w:b w:val="false"/>
          <w:color w:val="000000"/>
          <w:sz w:val="24"/>
        </w:rPr>
        <w:t>means the International Financial Reporting Standards.</w:t>
      </w:r>
    </w:p>
    <w:p>
      <w:pPr>
        <w:pStyle w:val="TextBody"/>
        <w:spacing w:lineRule="auto" w:line="240" w:before="0" w:after="240"/>
        <w:ind w:left="0" w:right="0" w:firstLine="144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color w:val="000000"/>
          <w:sz w:val="24"/>
        </w:rPr>
        <w:t>Immediate Family Member</w:t>
      </w:r>
      <w:r>
        <w:rPr>
          <w:color w:val="000000"/>
        </w:rPr>
        <w:t xml:space="preserve">” </w:t>
      </w:r>
      <w:r>
        <w:rPr>
          <w:rFonts w:ascii="Times New Roman;sans-serif" w:hAnsi="Times New Roman;sans-serif"/>
          <w:b w:val="false"/>
          <w:color w:val="000000"/>
          <w:sz w:val="24"/>
        </w:rPr>
        <w:t xml:space="preserve">means a child, stepchild, grandchild, parent, stepparent, grandparent, spouse, life-partner or similar statutorily-recognized domestic </w:t>
      </w:r>
      <w:r>
        <w:br w:type="page"/>
      </w:r>
    </w:p>
    <w:p>
      <w:pPr>
        <w:pStyle w:val="TextBody"/>
        <w:spacing w:before="0" w:after="0"/>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partner, sibling, mother-in-law, father-in-law, son-in-law, daughter-in-law, brother-in-law, or sister-in-law, including, adoptive relationships, of a natural person referred to herein.</w:t>
      </w:r>
    </w:p>
    <w:p>
      <w:pPr>
        <w:pStyle w:val="TextBody"/>
        <w:spacing w:lineRule="auto" w:line="240" w:before="0" w:after="240"/>
        <w:ind w:left="0" w:right="0" w:firstLine="1440"/>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color w:val="000000"/>
          <w:sz w:val="24"/>
        </w:rPr>
        <w:t>Initiating Holders</w:t>
      </w:r>
      <w:r>
        <w:rPr>
          <w:color w:val="000000"/>
        </w:rPr>
        <w:t xml:space="preserve">” </w:t>
      </w:r>
      <w:r>
        <w:rPr>
          <w:rFonts w:ascii="Times New Roman;sans-serif" w:hAnsi="Times New Roman;sans-serif"/>
          <w:b w:val="false"/>
          <w:color w:val="000000"/>
          <w:sz w:val="24"/>
        </w:rPr>
        <w:t>means, collectively, Holders who properly initiate a registration request under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1.18</w:t>
      </w:r>
      <w:r>
        <w:rPr>
          <w:color w:val="000000"/>
        </w:rPr>
        <w:t>“</w:t>
      </w:r>
      <w:r>
        <w:rPr>
          <w:rFonts w:ascii="Times New Roman;sans-serif" w:hAnsi="Times New Roman;sans-serif"/>
          <w:b/>
          <w:color w:val="000000"/>
          <w:sz w:val="24"/>
        </w:rPr>
        <w:t>IPO</w:t>
      </w:r>
      <w:r>
        <w:rPr>
          <w:color w:val="000000"/>
        </w:rPr>
        <w:t xml:space="preserve">” </w:t>
      </w:r>
      <w:r>
        <w:rPr>
          <w:rFonts w:ascii="Times New Roman;sans-serif" w:hAnsi="Times New Roman;sans-serif"/>
          <w:b w:val="false"/>
          <w:color w:val="000000"/>
          <w:sz w:val="24"/>
        </w:rPr>
        <w:t>means the Company’s first underwritten public offering of its Common Stock under the Securities Act.</w:t>
      </w:r>
    </w:p>
    <w:p>
      <w:pPr>
        <w:pStyle w:val="TextBody"/>
        <w:spacing w:lineRule="auto" w:line="240" w:before="0" w:after="240"/>
        <w:ind w:left="0" w:right="0" w:firstLine="1440"/>
        <w:jc w:val="both"/>
        <w:rPr/>
      </w:pPr>
      <w:r>
        <w:rPr>
          <w:rFonts w:ascii="Times New Roman;sans-serif" w:hAnsi="Times New Roman;sans-serif"/>
          <w:b w:val="false"/>
          <w:color w:val="000000"/>
          <w:sz w:val="24"/>
        </w:rPr>
        <w:t>1.19</w:t>
      </w:r>
      <w:r>
        <w:rPr>
          <w:color w:val="000000"/>
        </w:rPr>
        <w:t>“</w:t>
      </w:r>
      <w:r>
        <w:rPr>
          <w:rFonts w:ascii="Times New Roman;sans-serif" w:hAnsi="Times New Roman;sans-serif"/>
          <w:b/>
          <w:color w:val="000000"/>
          <w:sz w:val="24"/>
        </w:rPr>
        <w:t>Major Investor</w:t>
      </w:r>
      <w:r>
        <w:rPr>
          <w:color w:val="000000"/>
        </w:rPr>
        <w:t xml:space="preserve">” </w:t>
      </w:r>
      <w:r>
        <w:rPr>
          <w:rFonts w:ascii="Times New Roman;sans-serif" w:hAnsi="Times New Roman;sans-serif"/>
          <w:b w:val="false"/>
          <w:color w:val="000000"/>
          <w:sz w:val="24"/>
        </w:rPr>
        <w:t xml:space="preserve">means any Investor that, individually or together with such Investor’s Affiliates, holds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shares of Registrable Securities (as adjusted for any stock split, stock dividend, combination, or other recapitalization or reclassification effected after the date hereof).</w:t>
      </w:r>
    </w:p>
    <w:p>
      <w:pPr>
        <w:pStyle w:val="TextBody"/>
        <w:spacing w:lineRule="auto" w:line="240" w:before="0" w:after="240"/>
        <w:ind w:left="0" w:right="0" w:firstLine="1440"/>
        <w:jc w:val="both"/>
        <w:rPr/>
      </w:pPr>
      <w:r>
        <w:rPr>
          <w:rFonts w:ascii="Times New Roman;sans-serif" w:hAnsi="Times New Roman;sans-serif"/>
          <w:b w:val="false"/>
          <w:color w:val="000000"/>
          <w:sz w:val="24"/>
        </w:rPr>
        <w:t>1.20</w:t>
      </w:r>
      <w:r>
        <w:rPr>
          <w:color w:val="000000"/>
        </w:rPr>
        <w:t>“</w:t>
      </w:r>
      <w:r>
        <w:rPr>
          <w:rFonts w:ascii="Times New Roman;sans-serif" w:hAnsi="Times New Roman;sans-serif"/>
          <w:b/>
          <w:color w:val="000000"/>
          <w:sz w:val="24"/>
        </w:rPr>
        <w:t>New Securities</w:t>
      </w:r>
      <w:r>
        <w:rPr>
          <w:color w:val="000000"/>
        </w:rPr>
        <w:t xml:space="preserve">” </w:t>
      </w:r>
      <w:r>
        <w:rPr>
          <w:rFonts w:ascii="Times New Roman;sans-serif" w:hAnsi="Times New Roman;sans-serif"/>
          <w:b w:val="false"/>
          <w:color w:val="000000"/>
          <w:sz w:val="24"/>
        </w:rPr>
        <w:t>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pStyle w:val="TextBody"/>
        <w:spacing w:lineRule="auto" w:line="240" w:before="0" w:after="240"/>
        <w:ind w:left="0" w:right="0" w:firstLine="1440"/>
        <w:jc w:val="both"/>
        <w:rPr/>
      </w:pPr>
      <w:r>
        <w:rPr>
          <w:rFonts w:ascii="Times New Roman;sans-serif" w:hAnsi="Times New Roman;sans-serif"/>
          <w:b w:val="false"/>
          <w:color w:val="000000"/>
          <w:sz w:val="24"/>
        </w:rPr>
        <w:t>1.21</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individual, corporation, partnership, trust, limited liability company, association or other entity</w:t>
      </w:r>
      <w:r>
        <w:rPr>
          <w:rFonts w:ascii="Times New Roman;sans-serif" w:hAnsi="Times New Roman;sans-serif"/>
          <w:b w:val="false"/>
          <w:color w:val="0000FF"/>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1.22</w:t>
      </w:r>
      <w:r>
        <w:rPr>
          <w:color w:val="000000"/>
        </w:rPr>
        <w:t>“</w:t>
      </w:r>
      <w:r>
        <w:rPr>
          <w:rFonts w:ascii="Times New Roman;sans-serif" w:hAnsi="Times New Roman;sans-serif"/>
          <w:b/>
          <w:color w:val="000000"/>
          <w:sz w:val="24"/>
        </w:rPr>
        <w:t>Preferred Stock</w:t>
      </w:r>
      <w:r>
        <w:rPr>
          <w:color w:val="000000"/>
        </w:rPr>
        <w:t xml:space="preserve">” </w:t>
      </w:r>
      <w:r>
        <w:rPr>
          <w:rFonts w:ascii="Times New Roman;sans-serif" w:hAnsi="Times New Roman;sans-serif"/>
          <w:b w:val="false"/>
          <w:color w:val="000000"/>
          <w:sz w:val="24"/>
        </w:rPr>
        <w:t>means, collectively, shares of the Company’s Series A-1 Preferred Stock, Series A-2 Preferred Stock and Series B Preferred Stock.</w:t>
      </w:r>
    </w:p>
    <w:p>
      <w:pPr>
        <w:pStyle w:val="TextBody"/>
        <w:spacing w:lineRule="auto" w:line="240" w:before="0" w:after="240"/>
        <w:ind w:left="0" w:right="0" w:firstLine="1440"/>
        <w:jc w:val="both"/>
        <w:rPr/>
      </w:pPr>
      <w:r>
        <w:rPr>
          <w:rFonts w:ascii="Times New Roman;sans-serif" w:hAnsi="Times New Roman;sans-serif"/>
          <w:b w:val="false"/>
          <w:color w:val="000000"/>
          <w:sz w:val="24"/>
        </w:rPr>
        <w:t>1.23</w:t>
      </w:r>
      <w:r>
        <w:rPr>
          <w:color w:val="000000"/>
        </w:rPr>
        <w:t>“</w:t>
      </w:r>
      <w:r>
        <w:rPr>
          <w:rFonts w:ascii="Times New Roman;sans-serif" w:hAnsi="Times New Roman;sans-serif"/>
          <w:b/>
          <w:color w:val="000000"/>
          <w:sz w:val="24"/>
        </w:rPr>
        <w:t>Registrable Securities</w:t>
      </w:r>
      <w:r>
        <w:rPr>
          <w:color w:val="000000"/>
        </w:rPr>
        <w:t xml:space="preserve">” </w:t>
      </w:r>
      <w:r>
        <w:rPr>
          <w:rFonts w:ascii="Times New Roman;sans-serif" w:hAnsi="Times New Roman;sans-serif"/>
          <w:b w:val="false"/>
          <w:color w:val="000000"/>
          <w:sz w:val="24"/>
        </w:rPr>
        <w:t>means (i) the Common Stock issuable or issued upon conversion of the Preferred Stock; (ii) any Common Stock, or any Common Stock issued or issuable (directly or indirectly) upon conversion and/or exercise of any other securities of the Company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excluding in all cases, however, any Registrable Securities sold by a Person in a transaction in which the applicable rights under this Agreement are not assigned pursuant to </w:t>
      </w:r>
      <w:r>
        <w:rPr>
          <w:rFonts w:ascii="Times New Roman;sans-serif" w:hAnsi="Times New Roman;sans-serif"/>
          <w:b w:val="false"/>
          <w:color w:val="000000"/>
          <w:sz w:val="24"/>
          <w:u w:val="single"/>
        </w:rPr>
        <w:t>Subsection 6.1,</w:t>
      </w:r>
      <w:r>
        <w:rPr>
          <w:color w:val="000000"/>
        </w:rPr>
        <w:t xml:space="preserve"> </w:t>
      </w:r>
      <w:r>
        <w:rPr>
          <w:rFonts w:ascii="Times New Roman;sans-serif" w:hAnsi="Times New Roman;sans-serif"/>
          <w:b w:val="false"/>
          <w:color w:val="000000"/>
          <w:sz w:val="24"/>
        </w:rPr>
        <w:t xml:space="preserve">and excluding for purposes of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any shares for which registration rights have terminated pursuant to </w:t>
      </w:r>
      <w:r>
        <w:rPr>
          <w:rFonts w:ascii="Times New Roman;sans-serif" w:hAnsi="Times New Roman;sans-serif"/>
          <w:b w:val="false"/>
          <w:color w:val="000000"/>
          <w:sz w:val="24"/>
          <w:u w:val="single"/>
        </w:rPr>
        <w:t>Subsection 2.13</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1.24</w:t>
      </w:r>
      <w:r>
        <w:rPr>
          <w:color w:val="000000"/>
        </w:rPr>
        <w:t>“</w:t>
      </w:r>
      <w:r>
        <w:rPr>
          <w:rFonts w:ascii="Times New Roman;sans-serif" w:hAnsi="Times New Roman;sans-serif"/>
          <w:b/>
          <w:color w:val="000000"/>
          <w:sz w:val="24"/>
        </w:rPr>
        <w:t>Registrable Securities then outstanding</w:t>
      </w:r>
      <w:r>
        <w:rPr>
          <w:color w:val="000000"/>
        </w:rPr>
        <w:t xml:space="preserve">” </w:t>
      </w:r>
      <w:r>
        <w:rPr>
          <w:rFonts w:ascii="Times New Roman;sans-serif" w:hAnsi="Times New Roman;sans-serif"/>
          <w:b w:val="false"/>
          <w:color w:val="000000"/>
          <w:sz w:val="24"/>
        </w:rPr>
        <w:t>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spacing w:lineRule="auto" w:line="240" w:before="0" w:after="240"/>
        <w:ind w:left="0" w:right="0" w:firstLine="1440"/>
        <w:jc w:val="both"/>
        <w:rPr/>
      </w:pPr>
      <w:r>
        <w:rPr>
          <w:rFonts w:ascii="Times New Roman;sans-serif" w:hAnsi="Times New Roman;sans-serif"/>
          <w:b w:val="false"/>
          <w:color w:val="000000"/>
          <w:sz w:val="24"/>
        </w:rPr>
        <w:t>1.25</w:t>
      </w:r>
      <w:r>
        <w:rPr>
          <w:color w:val="000000"/>
        </w:rPr>
        <w:t>“</w:t>
      </w:r>
      <w:r>
        <w:rPr>
          <w:rFonts w:ascii="Times New Roman;sans-serif" w:hAnsi="Times New Roman;sans-serif"/>
          <w:b/>
          <w:color w:val="000000"/>
          <w:sz w:val="24"/>
        </w:rPr>
        <w:t>Relevant Stockholder</w:t>
      </w:r>
      <w:r>
        <w:rPr>
          <w:color w:val="000000"/>
        </w:rPr>
        <w:t xml:space="preserve">” </w:t>
      </w:r>
      <w:r>
        <w:rPr>
          <w:rFonts w:ascii="Times New Roman;sans-serif" w:hAnsi="Times New Roman;sans-serif"/>
          <w:b w:val="false"/>
          <w:color w:val="000000"/>
          <w:sz w:val="24"/>
        </w:rPr>
        <w:t xml:space="preserve">means each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1.26</w:t>
      </w:r>
      <w:r>
        <w:rPr>
          <w:color w:val="000000"/>
        </w:rPr>
        <w:t>“</w:t>
      </w:r>
      <w:r>
        <w:rPr>
          <w:rFonts w:ascii="Times New Roman;sans-serif" w:hAnsi="Times New Roman;sans-serif"/>
          <w:b/>
          <w:color w:val="000000"/>
          <w:sz w:val="24"/>
        </w:rPr>
        <w:t>Restricted Securities</w:t>
      </w:r>
      <w:r>
        <w:rPr>
          <w:color w:val="000000"/>
        </w:rPr>
        <w:t xml:space="preserve">” </w:t>
      </w:r>
      <w:r>
        <w:rPr>
          <w:rFonts w:ascii="Times New Roman;sans-serif" w:hAnsi="Times New Roman;sans-serif"/>
          <w:b w:val="false"/>
          <w:color w:val="000000"/>
          <w:sz w:val="24"/>
        </w:rPr>
        <w:t xml:space="preserve">means the securities of the Company required to be notated with the legend set forth in </w:t>
      </w:r>
      <w:r>
        <w:rPr>
          <w:rFonts w:ascii="Times New Roman;sans-serif" w:hAnsi="Times New Roman;sans-serif"/>
          <w:b w:val="false"/>
          <w:color w:val="000000"/>
          <w:sz w:val="24"/>
          <w:u w:val="single"/>
        </w:rPr>
        <w:t>Subsection 2.12(b)</w:t>
      </w:r>
      <w:r>
        <w:rPr>
          <w:color w:val="000000"/>
        </w:rPr>
        <w:t xml:space="preserve"> </w:t>
      </w:r>
      <w:r>
        <w:rPr>
          <w:rFonts w:ascii="Times New Roman;sans-serif" w:hAnsi="Times New Roman;sans-serif"/>
          <w:b w:val="false"/>
          <w:color w:val="000000"/>
          <w:sz w:val="24"/>
        </w:rPr>
        <w:t>hereof.</w:t>
      </w:r>
    </w:p>
    <w:p>
      <w:pPr>
        <w:pStyle w:val="TextBody"/>
        <w:spacing w:lineRule="auto" w:line="240" w:before="0" w:after="240"/>
        <w:ind w:left="0" w:right="0" w:firstLine="1440"/>
        <w:jc w:val="both"/>
        <w:rPr/>
      </w:pPr>
      <w:r>
        <w:rPr>
          <w:rFonts w:ascii="Times New Roman;sans-serif" w:hAnsi="Times New Roman;sans-serif"/>
          <w:b w:val="false"/>
          <w:color w:val="000000"/>
          <w:sz w:val="24"/>
        </w:rPr>
        <w:t>1.27</w:t>
      </w: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w:t>
      </w:r>
    </w:p>
    <w:p>
      <w:pPr>
        <w:pStyle w:val="TextBody"/>
        <w:spacing w:lineRule="auto" w:line="240" w:before="0" w:after="240"/>
        <w:ind w:left="0" w:right="0" w:firstLine="1440"/>
        <w:jc w:val="both"/>
        <w:rPr/>
      </w:pPr>
      <w:r>
        <w:rPr>
          <w:rFonts w:ascii="Times New Roman;sans-serif" w:hAnsi="Times New Roman;sans-serif"/>
          <w:b w:val="false"/>
          <w:color w:val="000000"/>
          <w:sz w:val="24"/>
        </w:rPr>
        <w:t>1.28</w:t>
      </w:r>
      <w:r>
        <w:rPr>
          <w:color w:val="000000"/>
        </w:rPr>
        <w:t>“</w:t>
      </w:r>
      <w:r>
        <w:rPr>
          <w:rFonts w:ascii="Times New Roman;sans-serif" w:hAnsi="Times New Roman;sans-serif"/>
          <w:b/>
          <w:color w:val="000000"/>
          <w:sz w:val="24"/>
        </w:rPr>
        <w:t>SEC Rule 144</w:t>
      </w:r>
      <w:r>
        <w:rPr>
          <w:color w:val="000000"/>
        </w:rPr>
        <w:t xml:space="preserve">” </w:t>
      </w:r>
      <w:r>
        <w:rPr>
          <w:rFonts w:ascii="Times New Roman;sans-serif" w:hAnsi="Times New Roman;sans-serif"/>
          <w:b w:val="false"/>
          <w:color w:val="000000"/>
          <w:sz w:val="24"/>
        </w:rPr>
        <w:t>means Rule 144 promulgated by the SEC under the Securities Act.</w:t>
      </w:r>
    </w:p>
    <w:p>
      <w:pPr>
        <w:pStyle w:val="TextBody"/>
        <w:spacing w:lineRule="auto" w:line="240" w:before="0" w:after="240"/>
        <w:ind w:left="0" w:right="0" w:firstLine="1440"/>
        <w:jc w:val="both"/>
        <w:rPr/>
      </w:pPr>
      <w:r>
        <w:rPr>
          <w:rFonts w:ascii="Times New Roman;sans-serif" w:hAnsi="Times New Roman;sans-serif"/>
          <w:b w:val="false"/>
          <w:color w:val="000000"/>
          <w:sz w:val="24"/>
        </w:rPr>
        <w:t>1.29</w:t>
      </w:r>
      <w:r>
        <w:rPr>
          <w:color w:val="000000"/>
        </w:rPr>
        <w:t>“</w:t>
      </w:r>
      <w:r>
        <w:rPr>
          <w:rFonts w:ascii="Times New Roman;sans-serif" w:hAnsi="Times New Roman;sans-serif"/>
          <w:b/>
          <w:color w:val="000000"/>
          <w:sz w:val="24"/>
        </w:rPr>
        <w:t>SEC Rule 145</w:t>
      </w:r>
      <w:r>
        <w:rPr>
          <w:color w:val="000000"/>
        </w:rPr>
        <w:t xml:space="preserve">” </w:t>
      </w:r>
      <w:r>
        <w:rPr>
          <w:rFonts w:ascii="Times New Roman;sans-serif" w:hAnsi="Times New Roman;sans-serif"/>
          <w:b w:val="false"/>
          <w:color w:val="000000"/>
          <w:sz w:val="24"/>
        </w:rPr>
        <w:t>means Rule 145 promulgated by the SEC under the Securities Act.</w:t>
      </w:r>
      <w:r>
        <w:br w:type="page"/>
      </w:r>
    </w:p>
    <w:p>
      <w:pPr>
        <w:pStyle w:val="TextBody"/>
        <w:spacing w:before="0" w:after="0"/>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1.30</w:t>
      </w:r>
      <w:r>
        <w:rPr>
          <w:color w:val="000000"/>
        </w:rPr>
        <w:t>“</w:t>
      </w:r>
      <w:r>
        <w:rPr>
          <w:rFonts w:ascii="Times New Roman;sans-serif" w:hAnsi="Times New Roman;sans-serif"/>
          <w:b/>
          <w:color w:val="000000"/>
          <w:sz w:val="24"/>
        </w:rPr>
        <w:t>Securities Act</w:t>
      </w:r>
      <w:r>
        <w:rPr>
          <w:color w:val="000000"/>
        </w:rPr>
        <w:t xml:space="preserve">” </w:t>
      </w:r>
      <w:r>
        <w:rPr>
          <w:rFonts w:ascii="Times New Roman;sans-serif" w:hAnsi="Times New Roman;sans-serif"/>
          <w:b w:val="false"/>
          <w:color w:val="000000"/>
          <w:sz w:val="24"/>
        </w:rPr>
        <w:t>means the Securities Act of 1933, as amended, and the rules and regulations promulgated thereunder.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1.31</w:t>
      </w:r>
      <w:r>
        <w:rPr>
          <w:color w:val="000000"/>
        </w:rPr>
        <w:t>“</w:t>
      </w:r>
      <w:r>
        <w:rPr>
          <w:rFonts w:ascii="Times New Roman;sans-serif" w:hAnsi="Times New Roman;sans-serif"/>
          <w:b/>
          <w:color w:val="000000"/>
          <w:sz w:val="24"/>
        </w:rPr>
        <w:t>Selling Expenses</w:t>
      </w:r>
      <w:r>
        <w:rPr>
          <w:color w:val="000000"/>
        </w:rPr>
        <w:t xml:space="preserve">” </w:t>
      </w:r>
      <w:r>
        <w:rPr>
          <w:rFonts w:ascii="Times New Roman;sans-serif" w:hAnsi="Times New Roman;sans-serif"/>
          <w:b w:val="false"/>
          <w:color w:val="000000"/>
          <w:sz w:val="24"/>
        </w:rPr>
        <w:t xml:space="preserve">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Registration Rights</w:t>
      </w:r>
      <w:r>
        <w:rPr>
          <w:rFonts w:ascii="Times New Roman;sans-serif" w:hAnsi="Times New Roman;sans-serif"/>
          <w:b w:val="false"/>
          <w:color w:val="000000"/>
          <w:sz w:val="24"/>
        </w:rPr>
        <w:t>. The Company covenants and agrees as follows:</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Demand Registration</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Form S-1 Demand</w:t>
      </w:r>
      <w:r>
        <w:rPr>
          <w:rFonts w:ascii="Times New Roman;sans-serif" w:hAnsi="Times New Roman;sans-serif"/>
          <w:b w:val="false"/>
          <w:color w:val="000000"/>
          <w:sz w:val="24"/>
        </w:rPr>
        <w:t xml:space="preserve">. If at any time after the earlier of (i)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of this Agreement or (ii)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the registration statement for the IPO, the Company receives a request from Holders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that the Company file a Form S-1 registration statement with respect to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(or a lesser percent if the anticipated aggregate offering price, net of Selling Expenses, would exceed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then the Company shall (x)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date such request is given, give notice thereof (the “</w:t>
      </w:r>
      <w:r>
        <w:rPr>
          <w:rFonts w:ascii="Times New Roman;sans-serif" w:hAnsi="Times New Roman;sans-serif"/>
          <w:b/>
          <w:color w:val="000000"/>
          <w:sz w:val="24"/>
        </w:rPr>
        <w:t>Demand Notice</w:t>
      </w:r>
      <w:r>
        <w:rPr>
          <w:color w:val="000000"/>
        </w:rPr>
        <w:t>”</w:t>
      </w:r>
      <w:r>
        <w:rPr>
          <w:rFonts w:ascii="Times New Roman;sans-serif" w:hAnsi="Times New Roman;sans-serif"/>
          <w:b w:val="false"/>
          <w:color w:val="000000"/>
          <w:sz w:val="24"/>
        </w:rPr>
        <w:t xml:space="preserve">) to all Holders other than the Initiating Holders; and (y) as soon as practicable,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the Demand Notice is given, and in each case, subject to the limitations of </w:t>
      </w:r>
      <w:r>
        <w:rPr>
          <w:rFonts w:ascii="Times New Roman;sans-serif" w:hAnsi="Times New Roman;sans-serif"/>
          <w:b w:val="false"/>
          <w:color w:val="000000"/>
          <w:sz w:val="24"/>
          <w:u w:val="single"/>
        </w:rPr>
        <w:t>Subsections 2.1(c)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2.3</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Form S-3 Demand</w:t>
      </w:r>
      <w:r>
        <w:rPr>
          <w:rFonts w:ascii="Times New Roman;sans-serif" w:hAnsi="Times New Roman;sans-serif"/>
          <w:b w:val="false"/>
          <w:color w:val="000000"/>
          <w:sz w:val="24"/>
        </w:rPr>
        <w:t xml:space="preserve">. If at any time when it is eligible to use a Form S-3 registration statement, the Company receives a request from Holders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that the Company file a Form S-3 registration statement with respect to outstanding Registrable Securities of such Holders having an anticipated aggregate offering price, net of Selling Expenses,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then the Company shall (i)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give a Demand Notice to all Holders other than the Initiating Holders; and (ii) as soon as practicable,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the Demand Notice is given, and in each case, subject to the limitations of </w:t>
      </w:r>
      <w:r>
        <w:rPr>
          <w:rFonts w:ascii="Times New Roman;sans-serif" w:hAnsi="Times New Roman;sans-serif"/>
          <w:b w:val="false"/>
          <w:color w:val="000000"/>
          <w:sz w:val="24"/>
          <w:u w:val="single"/>
        </w:rPr>
        <w:t>Subsections 2.1(c)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2.3</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obligations, if the Company furnishes to Holders requesting a registration pursuant to this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request of the Initiating Holders is given;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 xml:space="preserve">however, </w:t>
      </w:r>
      <w:r>
        <w:rPr>
          <w:rFonts w:ascii="Times New Roman;sans-serif" w:hAnsi="Times New Roman;sans-serif"/>
          <w:b w:val="false"/>
          <w:color w:val="000000"/>
          <w:sz w:val="24"/>
        </w:rPr>
        <w:t xml:space="preserve">that the Company may not invoke this right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any </w:t>
      </w:r>
      <w:r>
        <w:br w:type="page"/>
      </w:r>
    </w:p>
    <w:p>
      <w:pPr>
        <w:pStyle w:val="TextBody"/>
        <w:spacing w:before="0" w:after="0"/>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and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 xml:space="preserve">that the Company shall not register any securities for its own account or that of any other stockholder during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other than an Excluded Registration.</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Company shall not be obligated to effect, or to take any action to effect, any registration pursuant to </w:t>
      </w:r>
      <w:r>
        <w:rPr>
          <w:rFonts w:ascii="Times New Roman;sans-serif" w:hAnsi="Times New Roman;sans-serif"/>
          <w:b w:val="false"/>
          <w:color w:val="000000"/>
          <w:sz w:val="24"/>
          <w:u w:val="single"/>
        </w:rPr>
        <w:t>Subsection 2.1(a)(i)</w:t>
      </w:r>
      <w:r>
        <w:rPr>
          <w:color w:val="000000"/>
        </w:rPr>
        <w:t xml:space="preserve"> </w:t>
      </w:r>
      <w:r>
        <w:rPr>
          <w:rFonts w:ascii="Times New Roman;sans-serif" w:hAnsi="Times New Roman;sans-serif"/>
          <w:b w:val="false"/>
          <w:color w:val="000000"/>
          <w:sz w:val="24"/>
        </w:rPr>
        <w:t xml:space="preserve">during the period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 faith estimate of the date of filing of, and ending on a date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a Company-initiated registration,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the Company is actively employing in good faith commercially reasonable efforts to cause such registration statement to become effective; (ii) after the Company has effected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registration pursuant to </w:t>
      </w:r>
      <w:r>
        <w:rPr>
          <w:rFonts w:ascii="Times New Roman;sans-serif" w:hAnsi="Times New Roman;sans-serif"/>
          <w:b w:val="false"/>
          <w:color w:val="000000"/>
          <w:sz w:val="24"/>
          <w:u w:val="single"/>
        </w:rPr>
        <w:t>Subsection 2.1(a)</w:t>
      </w:r>
      <w:r>
        <w:rPr>
          <w:rFonts w:ascii="Times New Roman;sans-serif" w:hAnsi="Times New Roman;sans-serif"/>
          <w:b w:val="false"/>
          <w:color w:val="000000"/>
          <w:sz w:val="24"/>
        </w:rPr>
        <w:t xml:space="preserve">; or (iii) if the Initiating Holders propose to dispose of shares of Registrable Securities that may be immediately registered on Form S-3 pursuant to a request made pursuant to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 xml:space="preserve">. The Company shall not be obligated to effect, or to take any action to effect, any registration pursuant to </w:t>
      </w:r>
      <w:r>
        <w:rPr>
          <w:rFonts w:ascii="Times New Roman;sans-serif" w:hAnsi="Times New Roman;sans-serif"/>
          <w:b w:val="false"/>
          <w:color w:val="000000"/>
          <w:sz w:val="24"/>
          <w:u w:val="single"/>
        </w:rPr>
        <w:t>Subsection 2.1(b)</w:t>
      </w:r>
      <w:r>
        <w:rPr>
          <w:color w:val="000000"/>
        </w:rPr>
        <w:t xml:space="preserve"> </w:t>
      </w:r>
      <w:r>
        <w:rPr>
          <w:rFonts w:ascii="Times New Roman;sans-serif" w:hAnsi="Times New Roman;sans-serif"/>
          <w:b w:val="false"/>
          <w:color w:val="000000"/>
          <w:sz w:val="24"/>
        </w:rPr>
        <w:t xml:space="preserve">(i) during the period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 faith estimate of the date of filing of, and ending on a date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a Company-initiated registration,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the Company is actively employing in good faith commercially reasonable efforts to cause such registration statement to become effective; or (ii) if the Company has effected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registrations pursuant to </w:t>
      </w:r>
      <w:r>
        <w:rPr>
          <w:rFonts w:ascii="Times New Roman;sans-serif" w:hAnsi="Times New Roman;sans-serif"/>
          <w:b w:val="false"/>
          <w:color w:val="000000"/>
          <w:sz w:val="24"/>
          <w:u w:val="single"/>
        </w:rPr>
        <w:t>Subsection 2.1(b)</w:t>
      </w:r>
      <w:r>
        <w:rPr>
          <w:color w:val="000000"/>
        </w:rPr>
        <w:t xml:space="preserve"> </w:t>
      </w:r>
      <w:r>
        <w:rPr>
          <w:rFonts w:ascii="Times New Roman;sans-serif" w:hAnsi="Times New Roman;sans-serif"/>
          <w:b w:val="false"/>
          <w:color w:val="000000"/>
          <w:sz w:val="24"/>
        </w:rPr>
        <w:t xml:space="preserve">within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immediately preceding the date of such request. A registration shall not be counted as “effected” for purposes of this </w:t>
      </w:r>
      <w:r>
        <w:rPr>
          <w:rFonts w:ascii="Times New Roman;sans-serif" w:hAnsi="Times New Roman;sans-serif"/>
          <w:b w:val="false"/>
          <w:color w:val="000000"/>
          <w:sz w:val="24"/>
          <w:u w:val="single"/>
        </w:rPr>
        <w:t>Subsection 2.1(d)</w:t>
      </w:r>
      <w:r>
        <w:rPr>
          <w:color w:val="000000"/>
        </w:rPr>
        <w:t xml:space="preserve"> </w:t>
      </w:r>
      <w:r>
        <w:rPr>
          <w:rFonts w:ascii="Times New Roman;sans-serif" w:hAnsi="Times New Roman;sans-serif"/>
          <w:b w:val="false"/>
          <w:color w:val="000000"/>
          <w:sz w:val="24"/>
        </w:rPr>
        <w:t xml:space="preserve">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 xml:space="preserve">, in which case such withdrawn registration statement shall be counted as “effected” for purposes of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such withdrawal is during a period the Company has deferred taking action pursuant to </w:t>
      </w:r>
      <w:r>
        <w:rPr>
          <w:rFonts w:ascii="Times New Roman;sans-serif" w:hAnsi="Times New Roman;sans-serif"/>
          <w:b w:val="false"/>
          <w:color w:val="000000"/>
          <w:sz w:val="24"/>
          <w:u w:val="single"/>
        </w:rPr>
        <w:t>Subsection 2.1(c)</w:t>
      </w:r>
      <w:r>
        <w:rPr>
          <w:rFonts w:ascii="Times New Roman;sans-serif" w:hAnsi="Times New Roman;sans-serif"/>
          <w:b w:val="false"/>
          <w:color w:val="000000"/>
          <w:sz w:val="24"/>
        </w:rPr>
        <w:t xml:space="preserve">, then the Initiating Holders may withdraw their request for registration and such registration will not be counted as “effected” for purposes of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Company Registration</w:t>
      </w:r>
      <w:r>
        <w:rPr>
          <w:rFonts w:ascii="Times New Roman;sans-serif" w:hAnsi="Times New Roman;sans-serif"/>
          <w:b w:val="false"/>
          <w:color w:val="000000"/>
          <w:sz w:val="24"/>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such notice is given by the Company, the Company shall, subject to the provisions of </w:t>
      </w:r>
      <w:r>
        <w:rPr>
          <w:rFonts w:ascii="Times New Roman;sans-serif" w:hAnsi="Times New Roman;sans-serif"/>
          <w:b w:val="false"/>
          <w:color w:val="000000"/>
          <w:sz w:val="24"/>
          <w:u w:val="single"/>
        </w:rPr>
        <w:t>Subsection 2.3</w:t>
      </w:r>
      <w:r>
        <w:rPr>
          <w:rFonts w:ascii="Times New Roman;sans-serif" w:hAnsi="Times New Roman;sans-serif"/>
          <w:b w:val="false"/>
          <w:color w:val="000000"/>
          <w:sz w:val="24"/>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 xml:space="preserve">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Underwriting Requirements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pursuant to </w:t>
      </w:r>
      <w:r>
        <w:rPr>
          <w:rFonts w:ascii="Times New Roman;sans-serif" w:hAnsi="Times New Roman;sans-serif"/>
          <w:b w:val="false"/>
          <w:color w:val="000000"/>
          <w:sz w:val="24"/>
          <w:u w:val="single"/>
        </w:rPr>
        <w:t>Subsection 2.1</w:t>
      </w:r>
      <w:r>
        <w:rPr>
          <w:rFonts w:ascii="Times New Roman;sans-serif" w:hAnsi="Times New Roman;sans-serif"/>
          <w:b w:val="false"/>
          <w:color w:val="000000"/>
          <w:sz w:val="24"/>
        </w:rPr>
        <w:t xml:space="preserve">, the Initiating Holders intend to distribute the Registrable Securities covered by their request by means of an underwriting, they shall so advise the Company as a part of their request made pursuant to </w:t>
      </w:r>
      <w:r>
        <w:rPr>
          <w:rFonts w:ascii="Times New Roman;sans-serif" w:hAnsi="Times New Roman;sans-serif"/>
          <w:b w:val="false"/>
          <w:color w:val="000000"/>
          <w:sz w:val="24"/>
          <w:u w:val="single"/>
        </w:rPr>
        <w:t>Subsection 2.1</w:t>
      </w:r>
      <w:r>
        <w:rPr>
          <w:rFonts w:ascii="Times New Roman;sans-serif" w:hAnsi="Times New Roman;sans-serif"/>
          <w:b w:val="false"/>
          <w:color w:val="000000"/>
          <w:sz w:val="24"/>
        </w:rPr>
        <w:t xml:space="preserve">, and the Company shall include such information in the Demand Notice. The underwriter(s) will be selected by the Initiating Holders, subject only to the reasonable approval of the Board of Directors.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sans-serif" w:hAnsi="Times New Roman;sans-serif"/>
          <w:b w:val="false"/>
          <w:color w:val="000000"/>
          <w:sz w:val="24"/>
          <w:u w:val="single"/>
        </w:rPr>
        <w:t>Subsection 2.4(e))</w:t>
      </w:r>
      <w:r>
        <w:rPr>
          <w:color w:val="000000"/>
        </w:rPr>
        <w:t xml:space="preserve"> </w:t>
      </w:r>
      <w:r>
        <w:rPr>
          <w:rFonts w:ascii="Times New Roman;sans-serif" w:hAnsi="Times New Roman;sans-serif"/>
          <w:b w:val="false"/>
          <w:color w:val="000000"/>
          <w:sz w:val="24"/>
        </w:rPr>
        <w:t xml:space="preserve">enter into an underwriting </w:t>
      </w:r>
      <w:r>
        <w:br w:type="page"/>
      </w:r>
    </w:p>
    <w:p>
      <w:pPr>
        <w:pStyle w:val="TextBody"/>
        <w:spacing w:before="0" w:after="0"/>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agreement in customary form with the underwriter(s) selected for such underwriting. Notwithstanding any other provision of this </w:t>
      </w:r>
      <w:r>
        <w:rPr>
          <w:rFonts w:ascii="Times New Roman;sans-serif" w:hAnsi="Times New Roman;sans-serif"/>
          <w:b w:val="false"/>
          <w:color w:val="000000"/>
          <w:sz w:val="24"/>
          <w:u w:val="single"/>
        </w:rPr>
        <w:t>Subsection 2.3</w:t>
      </w:r>
      <w:r>
        <w:rPr>
          <w:rFonts w:ascii="Times New Roman;sans-serif" w:hAnsi="Times New Roman;sans-serif"/>
          <w:b w:val="false"/>
          <w:color w:val="000000"/>
          <w:sz w:val="24"/>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connection with any offering involving an underwriting of shares of the Company’s capital stock pursuant to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sans-serif" w:hAnsi="Times New Roman;sans-serif"/>
          <w:b w:val="false"/>
          <w:color w:val="000000"/>
          <w:sz w:val="24"/>
          <w:u w:val="single"/>
        </w:rPr>
        <w:t>Subsection 2.3(b)</w:t>
      </w:r>
      <w:r>
        <w:rPr>
          <w:color w:val="000000"/>
        </w:rPr>
        <w:t xml:space="preserve"> </w:t>
      </w:r>
      <w:r>
        <w:rPr>
          <w:rFonts w:ascii="Times New Roman;sans-serif" w:hAnsi="Times New Roman;sans-serif"/>
          <w:b w:val="false"/>
          <w:color w:val="000000"/>
          <w:sz w:val="24"/>
        </w:rPr>
        <w:t>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Obligations of the Company</w:t>
      </w:r>
      <w:r>
        <w:rPr>
          <w:rFonts w:ascii="Times New Roman;sans-serif" w:hAnsi="Times New Roman;sans-serif"/>
          <w:b w:val="false"/>
          <w:color w:val="000000"/>
          <w:sz w:val="24"/>
        </w:rPr>
        <w:t xml:space="preserve">. Whenever required under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to effect the registration of any Registrable Securities, the Company shall, as expeditiously as reasonably possible:</w:t>
      </w:r>
      <w:r>
        <w:br w:type="page"/>
      </w:r>
    </w:p>
    <w:p>
      <w:pPr>
        <w:pStyle w:val="TextBody"/>
        <w:spacing w:before="0" w:after="0"/>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if earlier, until the distribution contemplated in the registration statement has been completed;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shall be extended for a period of time equal to the period the Holder refrains, at the request of an underwriter of Common Stock (or other securities) of the Company, from selling any securities included in such registration;</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of any underwritten public offering, enter into and perform its obligations under an underwriting agreement, in usual and customary form, with the underwriter(s) of such offering;</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provide a transfer agent and registrar for all Registrable Securities registered pursuant to this Agreement and provide a CUSIP number for all such Registrable Securities, in each case not later than the effective date of such registration;</w:t>
      </w:r>
    </w:p>
    <w:p>
      <w:pPr>
        <w:pStyle w:val="TextBody"/>
        <w:spacing w:lineRule="auto" w:line="240" w:before="0" w:after="240"/>
        <w:ind w:left="0" w:right="0" w:firstLine="216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pStyle w:val="TextBody"/>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notify each selling Holder, promptly after the Company receives notice thereof, of the time when such registration statement has been declared effective or a supplement to any prospectus forming a part of such registration statement has been filed; and</w:t>
      </w:r>
      <w:r>
        <w:br w:type="page"/>
      </w:r>
    </w:p>
    <w:p>
      <w:pPr>
        <w:pStyle w:val="TextBody"/>
        <w:spacing w:before="0" w:after="0"/>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after such registration statement becomes effective, notify each selling Holder of any request by the SEC that the Company amend or supplement such registration statement or prospectus.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Furnish Information</w:t>
      </w:r>
      <w:r>
        <w:rPr>
          <w:rFonts w:ascii="Times New Roman;sans-serif" w:hAnsi="Times New Roman;sans-serif"/>
          <w:b w:val="false"/>
          <w:color w:val="000000"/>
          <w:sz w:val="24"/>
        </w:rPr>
        <w:t xml:space="preserve">. It shall be a condition precedent to the obligations of the Company to take any action pursuant to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Expenses of Registration</w:t>
      </w:r>
      <w:r>
        <w:rPr>
          <w:rFonts w:ascii="Times New Roman;sans-serif" w:hAnsi="Times New Roman;sans-serif"/>
          <w:b w:val="false"/>
          <w:color w:val="000000"/>
          <w:sz w:val="24"/>
        </w:rPr>
        <w:t xml:space="preserve">. All expenses (other than Selling Expenses) incurred in connection with registrations, filings, or qualifications 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including all registration, filing, and qualification fees; printers’ and accounting fees; fees and disbursements of counsel for the Company; and the reasonable fees and disbursements of one counsel for the selling Holders (“</w:t>
      </w:r>
      <w:r>
        <w:rPr>
          <w:rFonts w:ascii="Times New Roman;sans-serif" w:hAnsi="Times New Roman;sans-serif"/>
          <w:b/>
          <w:color w:val="000000"/>
          <w:sz w:val="24"/>
        </w:rPr>
        <w:t>Selling Holder Counsel</w:t>
      </w:r>
      <w:r>
        <w:rPr>
          <w:color w:val="000000"/>
        </w:rPr>
        <w:t>”</w:t>
      </w:r>
      <w:r>
        <w:rPr>
          <w:rFonts w:ascii="Times New Roman;sans-serif" w:hAnsi="Times New Roman;sans-serif"/>
          <w:b w:val="false"/>
          <w:color w:val="000000"/>
          <w:sz w:val="24"/>
        </w:rPr>
        <w:t xml:space="preserve">), shall be borne and paid by the Company; </w:t>
      </w:r>
      <w:r>
        <w:rPr>
          <w:rFonts w:ascii="Times New Roman;sans-serif" w:hAnsi="Times New Roman;sans-serif"/>
          <w:b w:val="false"/>
          <w:color w:val="000000"/>
          <w:sz w:val="24"/>
          <w:u w:val="single"/>
        </w:rPr>
        <w:t>provided, however</w:t>
      </w:r>
      <w:r>
        <w:rPr>
          <w:rFonts w:ascii="Times New Roman;sans-serif" w:hAnsi="Times New Roman;sans-serif"/>
          <w:b w:val="false"/>
          <w:color w:val="000000"/>
          <w:sz w:val="24"/>
        </w:rPr>
        <w:t xml:space="preserve">, that the Company shall not be required to pay for any expenses of any registration proceeding begun pursuant to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sans-serif" w:hAnsi="Times New Roman;sans-serif"/>
          <w:b w:val="false"/>
          <w:color w:val="000000"/>
          <w:sz w:val="24"/>
          <w:u w:val="single"/>
        </w:rPr>
        <w:t>Subsections 2.1(a)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2.1(b)</w:t>
      </w:r>
      <w:r>
        <w:rPr>
          <w:rFonts w:ascii="Times New Roman;sans-serif" w:hAnsi="Times New Roman;sans-serif"/>
          <w:b w:val="false"/>
          <w:color w:val="000000"/>
          <w:sz w:val="24"/>
        </w:rPr>
        <w:t xml:space="preserve">, as the case may be. All Selling Expenses relating to Registrable Securities registered pursuant to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shall be borne and paid by the Holders pro rata on the basis of the number of Registrable Securities registered on their behalf.</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Delay of Registration</w:t>
      </w:r>
      <w:r>
        <w:rPr>
          <w:rFonts w:ascii="Times New Roman;sans-serif" w:hAnsi="Times New Roman;sans-serif"/>
          <w:b w:val="false"/>
          <w:color w:val="000000"/>
          <w:sz w:val="24"/>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If any Registrable Securities are included in a registration statement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val="false"/>
          <w:color w:val="000000"/>
          <w:sz w:val="24"/>
          <w:u w:val="single"/>
        </w:rPr>
        <w:t>Subsection 2.8(a)</w:t>
      </w:r>
      <w:r>
        <w:rPr>
          <w:color w:val="000000"/>
        </w:rPr>
        <w:t xml:space="preserve"> </w:t>
      </w:r>
      <w:r>
        <w:rPr>
          <w:rFonts w:ascii="Times New Roman;sans-serif" w:hAnsi="Times New Roman;sans-serif"/>
          <w:b w:val="false"/>
          <w:color w:val="000000"/>
          <w:sz w:val="24"/>
        </w:rPr>
        <w:t xml:space="preserve">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w:t>
      </w:r>
      <w:r>
        <w:br w:type="page"/>
      </w:r>
    </w:p>
    <w:p>
      <w:pPr>
        <w:pStyle w:val="TextBody"/>
        <w:spacing w:before="0" w:after="0"/>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Holder, underwriter, controlling Person, or other aforementioned Person expressly for use in connection with such registration.</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val="false"/>
          <w:color w:val="000000"/>
          <w:sz w:val="24"/>
          <w:u w:val="single"/>
        </w:rPr>
        <w:t>Subsection 2.8(b)</w:t>
      </w:r>
      <w:r>
        <w:rPr>
          <w:color w:val="000000"/>
        </w:rPr>
        <w:t xml:space="preserve"> </w:t>
      </w:r>
      <w:r>
        <w:rPr>
          <w:rFonts w:ascii="Times New Roman;sans-serif" w:hAnsi="Times New Roman;sans-serif"/>
          <w:b w:val="false"/>
          <w:color w:val="000000"/>
          <w:sz w:val="24"/>
        </w:rPr>
        <w:t xml:space="preserve">shall not apply to amounts paid in settlement of any such claim or proceeding if such settlement is effected without the consent of the Holder, which consent shall not be unreasonably withheld;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 xml:space="preserve">further </w:t>
      </w:r>
      <w:r>
        <w:rPr>
          <w:rFonts w:ascii="Times New Roman;sans-serif" w:hAnsi="Times New Roman;sans-serif"/>
          <w:b w:val="false"/>
          <w:color w:val="000000"/>
          <w:sz w:val="24"/>
        </w:rPr>
        <w:t xml:space="preserve">that in no event shall the aggregate amounts payable by any Holder by way of indemnity or contribution under </w:t>
      </w:r>
      <w:r>
        <w:rPr>
          <w:rFonts w:ascii="Times New Roman;sans-serif" w:hAnsi="Times New Roman;sans-serif"/>
          <w:b w:val="false"/>
          <w:color w:val="000000"/>
          <w:sz w:val="24"/>
          <w:u w:val="single"/>
        </w:rPr>
        <w:t>Subsections 2.8(b)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2.8(d)</w:t>
      </w:r>
      <w:r>
        <w:rPr>
          <w:color w:val="000000"/>
        </w:rPr>
        <w:t xml:space="preserve"> </w:t>
      </w:r>
      <w:r>
        <w:rPr>
          <w:rFonts w:ascii="Times New Roman;sans-serif" w:hAnsi="Times New Roman;sans-serif"/>
          <w:b w:val="false"/>
          <w:color w:val="000000"/>
          <w:sz w:val="24"/>
        </w:rPr>
        <w:t>exceed the proceeds from the offering received by such Holder (net of any Selling Expenses paid by such Holder), except in the case of fraud or willful misconduct by such Holder.</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Promptly after receipt by an indemnified party under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sans-serif" w:hAnsi="Times New Roman;sans-serif"/>
          <w:b w:val="false"/>
          <w:color w:val="000000"/>
          <w:sz w:val="24"/>
          <w:u w:val="single"/>
        </w:rPr>
        <w:t>Subsection 2.8</w:t>
      </w:r>
      <w:r>
        <w:rPr>
          <w:rFonts w:ascii="Times New Roman;sans-serif" w:hAnsi="Times New Roman;sans-serif"/>
          <w:b w:val="false"/>
          <w:color w:val="000000"/>
          <w:sz w:val="24"/>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provides for indemnification in such case, or (ii) contribution under the Securities Act may be required on the part of any party hereto for which indemnification is provided under this </w:t>
      </w:r>
      <w:r>
        <w:rPr>
          <w:rFonts w:ascii="Times New Roman;sans-serif" w:hAnsi="Times New Roman;sans-serif"/>
          <w:b w:val="false"/>
          <w:color w:val="000000"/>
          <w:sz w:val="24"/>
          <w:u w:val="single"/>
        </w:rPr>
        <w:t>Subsection 2.8</w:t>
      </w:r>
      <w:r>
        <w:rPr>
          <w:rFonts w:ascii="Times New Roman;sans-serif" w:hAnsi="Times New Roman;sans-serif"/>
          <w:b w:val="false"/>
          <w:color w:val="000000"/>
          <w:sz w:val="24"/>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w:t>
      </w:r>
      <w:r>
        <w:br w:type="page"/>
      </w:r>
    </w:p>
    <w:p>
      <w:pPr>
        <w:pStyle w:val="TextBody"/>
        <w:spacing w:before="0" w:after="0"/>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material fact, relates to information supplied by the indemnifying party or by the indemnified party and the parties’ relative intent, knowledge, access to information, and opportunity to correct or prevent such statement or omission;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in no event shall a Holder’s liability pursuant to this </w:t>
      </w:r>
      <w:r>
        <w:rPr>
          <w:rFonts w:ascii="Times New Roman;sans-serif" w:hAnsi="Times New Roman;sans-serif"/>
          <w:b w:val="false"/>
          <w:color w:val="000000"/>
          <w:sz w:val="24"/>
          <w:u w:val="single"/>
        </w:rPr>
        <w:t>Subsection 2.8(d)</w:t>
      </w:r>
      <w:r>
        <w:rPr>
          <w:rFonts w:ascii="Times New Roman;sans-serif" w:hAnsi="Times New Roman;sans-serif"/>
          <w:b w:val="false"/>
          <w:color w:val="000000"/>
          <w:sz w:val="24"/>
        </w:rPr>
        <w:t xml:space="preserve">, when combined with the amounts paid or payable by such Holder pursuant to </w:t>
      </w:r>
      <w:r>
        <w:rPr>
          <w:rFonts w:ascii="Times New Roman;sans-serif" w:hAnsi="Times New Roman;sans-serif"/>
          <w:b w:val="false"/>
          <w:color w:val="000000"/>
          <w:sz w:val="24"/>
          <w:u w:val="single"/>
        </w:rPr>
        <w:t>Subsection 2.8(b)</w:t>
      </w:r>
      <w:r>
        <w:rPr>
          <w:rFonts w:ascii="Times New Roman;sans-serif" w:hAnsi="Times New Roman;sans-serif"/>
          <w:b w:val="false"/>
          <w:color w:val="000000"/>
          <w:sz w:val="24"/>
        </w:rPr>
        <w:t>, exceed the proceeds from the offering received by such Holder (net of any Selling Expenses paid by such Holder), except in the case of willful misconduct or fraud by such Holder.</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Unless otherwise superseded by an underwriting agreement entered into in connection with the underwritten public offering, the obligations of the Company and Holders under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shall survive the completion of any offering of Registrable Securities in a registration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and otherwise shall survive the termination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Reports Under Exchange Act</w:t>
      </w:r>
      <w:r>
        <w:rPr>
          <w:rFonts w:ascii="Times New Roman;sans-serif" w:hAnsi="Times New Roman;sans-serif"/>
          <w:b w:val="false"/>
          <w:color w:val="000000"/>
          <w:sz w:val="24"/>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make and keep available adequate current public information, as those terms are understood and defined in SEC Rule 144, at all times after the effective date of the registration statement filed by the Company for the IPO;</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furnish to any Holder, so long as the Holder owns any Registrable Securities, forthwith upon request (i) to the extent accurate, a written statement by the Company that it has complied with the reporting requirements of SEC Rule 144 (at any time after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Limitations on Subsequent Registration Rights</w:t>
      </w:r>
      <w:r>
        <w:rPr>
          <w:rFonts w:ascii="Times New Roman;sans-serif" w:hAnsi="Times New Roman;sans-serif"/>
          <w:b w:val="false"/>
          <w:color w:val="000000"/>
          <w:sz w:val="24"/>
        </w:rPr>
        <w:t xml:space="preserve">. From and after the date of this Agreement, the Company shall not, without the prior written consent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enter into any agreement with any holder or prospective holder of any securities of the Company that would provide to such holder or prospective holder the right to include securities in any registration on </w:t>
      </w:r>
      <w:r>
        <w:br w:type="page"/>
      </w:r>
    </w:p>
    <w:p>
      <w:pPr>
        <w:pStyle w:val="TextBody"/>
        <w:spacing w:before="0" w:after="0"/>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limitation shall not apply to Registrable Securities acquired by any additional Investor that becomes a party to this Agreement in accordance with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Market Stand-off Agreement</w:t>
      </w:r>
      <w:r>
        <w:rPr>
          <w:rFonts w:ascii="Times New Roman;sans-serif" w:hAnsi="Times New Roman;sans-serif"/>
          <w:b w:val="false"/>
          <w:color w:val="000000"/>
          <w:sz w:val="24"/>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or ninety (90) days in the case of any registration other than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trustee of the trust agrees to be bound in writing by the restrictions set forth herein, and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 xml:space="preserve">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Company’s outstanding Common Stock (after giving effect to conversion into Common Stock of all outstanding Preferred Stock). The underwriters in connection with such registration are intended third-party beneficiaries of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 except that, notwithstanding the foregoing, the Company and the underwriters may, in their sole discretion, waive or terminate these restrictions with respect to up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of the Common Stock.</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Restrictions on Transfer</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Preferred Stock and the Registrable Securities shall not be sold, pledged, or otherwise transferred, and the Company shall not recognize and shall issue stop-transfer instructions to its transfer agent with respect to any such sale, pledge, or transfer, </w:t>
      </w:r>
      <w:r>
        <w:br w:type="page"/>
      </w:r>
    </w:p>
    <w:p>
      <w:pPr>
        <w:pStyle w:val="TextBody"/>
        <w:spacing w:before="0" w:after="0"/>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be notated with a legend substantially in the following form: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MAY BE TRANSFERRED ONLY IN ACCORDANCE WITH THE TERMS OF AN AGREEMENT BETWEEN THE COMPANY AND THE STOCKHOLDER, A COPY OF WHICH IS ON FILE WITH THE SECRETARY OF THE COMPANY.</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sans-serif" w:hAnsi="Times New Roman;sans-serif"/>
          <w:b w:val="false"/>
          <w:color w:val="000000"/>
          <w:sz w:val="24"/>
          <w:u w:val="single"/>
        </w:rPr>
        <w:t>Subsection 2.12</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holder of such Restricted Securities, by acceptance of ownership thereof, agrees to comply in all respects with the provisions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each transferee agrees in writing to be subject to the terms of this </w:t>
      </w:r>
      <w:r>
        <w:rPr>
          <w:rFonts w:ascii="Times New Roman;sans-serif" w:hAnsi="Times New Roman;sans-serif"/>
          <w:b w:val="false"/>
          <w:color w:val="000000"/>
          <w:sz w:val="24"/>
          <w:u w:val="single"/>
        </w:rPr>
        <w:t>Subsection 2.12</w:t>
      </w:r>
      <w:r>
        <w:rPr>
          <w:rFonts w:ascii="Times New Roman;sans-serif" w:hAnsi="Times New Roman;sans-serif"/>
          <w:b w:val="false"/>
          <w:color w:val="000000"/>
          <w:sz w:val="24"/>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sans-serif" w:hAnsi="Times New Roman;sans-serif"/>
          <w:b w:val="false"/>
          <w:color w:val="000000"/>
          <w:sz w:val="24"/>
          <w:u w:val="single"/>
        </w:rPr>
        <w:t>Subsection 2.12(b)</w:t>
      </w:r>
      <w:r>
        <w:rPr>
          <w:rFonts w:ascii="Times New Roman;sans-serif" w:hAnsi="Times New Roman;sans-serif"/>
          <w:b w:val="false"/>
          <w:color w:val="000000"/>
          <w:sz w:val="24"/>
        </w:rPr>
        <w:t xml:space="preserve">, except that such certificate instrument, or book entry shall not be notated with such restrictive legend if, in the opinion of </w:t>
      </w:r>
      <w:r>
        <w:br w:type="page"/>
      </w:r>
    </w:p>
    <w:p>
      <w:pPr>
        <w:pStyle w:val="TextBody"/>
        <w:spacing w:before="0" w:after="0"/>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counsel for such Holder and the Company, such legend is not required in order to establish compliance with any provisions of the Securities Act.</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Termination of Registration Rights</w:t>
      </w:r>
      <w:r>
        <w:rPr>
          <w:rFonts w:ascii="Times New Roman;sans-serif" w:hAnsi="Times New Roman;sans-serif"/>
          <w:b w:val="false"/>
          <w:color w:val="000000"/>
          <w:sz w:val="24"/>
        </w:rPr>
        <w:t xml:space="preserve">. The right of any Holder to request registration or inclusion of Registrable Securities in any registration pursuant to </w:t>
      </w:r>
      <w:r>
        <w:rPr>
          <w:rFonts w:ascii="Times New Roman;sans-serif" w:hAnsi="Times New Roman;sans-serif"/>
          <w:b w:val="false"/>
          <w:color w:val="000000"/>
          <w:sz w:val="24"/>
          <w:u w:val="single"/>
        </w:rPr>
        <w:t>Subsections 2.1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2.2</w:t>
      </w:r>
      <w:r>
        <w:rPr>
          <w:color w:val="000000"/>
        </w:rPr>
        <w:t xml:space="preserve"> </w:t>
      </w:r>
      <w:r>
        <w:rPr>
          <w:rFonts w:ascii="Times New Roman;sans-serif" w:hAnsi="Times New Roman;sans-serif"/>
          <w:b w:val="false"/>
          <w:color w:val="000000"/>
          <w:sz w:val="24"/>
        </w:rPr>
        <w:t xml:space="preserve">shall terminate upon the earliest to occur of: </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Information and Observer Rights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Delivery of Financial Statements</w:t>
      </w:r>
      <w:r>
        <w:rPr>
          <w:rFonts w:ascii="Times New Roman;sans-serif" w:hAnsi="Times New Roman;sans-serif"/>
          <w:b w:val="false"/>
          <w:color w:val="000000"/>
          <w:sz w:val="24"/>
        </w:rPr>
        <w:t xml:space="preserve">. The Company shall deliver to each Major Investor,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Board of Directors has not reasonably determined that such Major Investor is a Competitor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Times New Roman;sans-serif" w:hAnsi="Times New Roman;sans-serif"/>
          <w:b w:val="false"/>
          <w:color w:val="000000"/>
          <w:sz w:val="24"/>
          <w:u w:val="single"/>
        </w:rPr>
        <w:t>Subsection 3.1(d))</w:t>
      </w:r>
      <w:r>
        <w:rPr>
          <w:color w:val="000000"/>
        </w:rPr>
        <w:t xml:space="preserve"> </w:t>
      </w:r>
      <w:r>
        <w:rPr>
          <w:rFonts w:ascii="Times New Roman;sans-serif" w:hAnsi="Times New Roman;sans-serif"/>
          <w:b w:val="false"/>
          <w:color w:val="000000"/>
          <w:sz w:val="24"/>
        </w:rPr>
        <w:t>for such year, with an explanation of any material differences between such amounts and a schedule as to the sources and applications of funds for such year, and (iii) a statement of stockholders’ equity as of the end of such year;</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as soon as practicable, but in any event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before the end of each fiscal year, a budget and business plan for the next fiscal year (collectively, the “</w:t>
      </w:r>
      <w:r>
        <w:rPr>
          <w:rFonts w:ascii="Times New Roman;sans-serif" w:hAnsi="Times New Roman;sans-serif"/>
          <w:b/>
          <w:color w:val="000000"/>
          <w:sz w:val="24"/>
        </w:rPr>
        <w:t>Budget</w:t>
      </w:r>
      <w:r>
        <w:rPr>
          <w:color w:val="000000"/>
        </w:rPr>
        <w:t>”</w:t>
      </w:r>
      <w:r>
        <w:rPr>
          <w:rFonts w:ascii="Times New Roman;sans-serif" w:hAnsi="Times New Roman;sans-serif"/>
          <w:b w:val="false"/>
          <w:color w:val="000000"/>
          <w:sz w:val="24"/>
        </w:rPr>
        <w:t>), approved by the Board of Directors prepared on a monthly basis, including balance sheets, income statements, and statements of cash flow for such months and, promptly after prepared, any other budgets or revised budgets prepared by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with respect to the financial statements called for in </w:t>
      </w:r>
      <w:r>
        <w:rPr>
          <w:rFonts w:ascii="Times New Roman;sans-serif" w:hAnsi="Times New Roman;sans-serif"/>
          <w:b w:val="false"/>
          <w:color w:val="000000"/>
          <w:sz w:val="24"/>
          <w:u w:val="single"/>
        </w:rPr>
        <w:t>Subsection 3.1(a)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rFonts w:ascii="Times New Roman;sans-serif" w:hAnsi="Times New Roman;sans-serif"/>
          <w:b w:val="false"/>
          <w:color w:val="000000"/>
          <w:sz w:val="24"/>
        </w:rPr>
        <w:t xml:space="preserve">, an instrument executed by the chief financial officer or chief executive officer of the Company certifying that such financial statements were prepared in accordance with GAAP consistently applied with prior practice for earlier periods (except as otherwise set forth in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rFonts w:ascii="Times New Roman;sans-serif" w:hAnsi="Times New Roman;sans-serif"/>
          <w:b w:val="false"/>
          <w:color w:val="000000"/>
          <w:sz w:val="24"/>
        </w:rPr>
        <w:t xml:space="preserve">) and fairly present the financial condition of the Company and its results of operation for the periods specified therein; </w:t>
      </w:r>
      <w:r>
        <w:br w:type="page"/>
      </w:r>
    </w:p>
    <w:p>
      <w:pPr>
        <w:pStyle w:val="TextBody"/>
        <w:spacing w:before="0" w:after="0"/>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to the extent any Major Investor so requests, copies of the financial statements called for in </w:t>
      </w:r>
      <w:r>
        <w:rPr>
          <w:rFonts w:ascii="Times New Roman;sans-serif" w:hAnsi="Times New Roman;sans-serif"/>
          <w:b w:val="false"/>
          <w:color w:val="000000"/>
          <w:sz w:val="24"/>
          <w:u w:val="single"/>
        </w:rPr>
        <w:t>Subsection 3.1(a)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color w:val="000000"/>
        </w:rPr>
        <w:t xml:space="preserve"> </w:t>
      </w:r>
      <w:r>
        <w:rPr>
          <w:rFonts w:ascii="Times New Roman;sans-serif" w:hAnsi="Times New Roman;sans-serif"/>
          <w:b w:val="false"/>
          <w:color w:val="000000"/>
          <w:sz w:val="24"/>
        </w:rPr>
        <w:t xml:space="preserve">prepared in accordance with IFRS (except that such financial statements called for in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may be (i) be subject to normal year-end audit adjustments and (ii) not contain all notes thereto that may be required in accordance with IFRS); and</w:t>
      </w:r>
    </w:p>
    <w:p>
      <w:pPr>
        <w:pStyle w:val="TextBody"/>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such other information relating to the financial condition, business, prospects, or corporate affairs of the Company as any Major Investor may from time to time reasonably request;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be obligated under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Notwithstanding anything else in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 xml:space="preserve">to the contrary, the Company may cease providing the information set forth in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 xml:space="preserve">during the period starting with the date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Company’s covenants under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shall be reinstated at such time as the Company is no longer actively employing its commercially reasonable efforts to cause such registration statement to become effective.</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 xml:space="preserve">. The Company shall permit each Major Investor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be obligated pursuant to this </w:t>
      </w:r>
      <w:r>
        <w:rPr>
          <w:rFonts w:ascii="Times New Roman;sans-serif" w:hAnsi="Times New Roman;sans-serif"/>
          <w:b w:val="false"/>
          <w:color w:val="000000"/>
          <w:sz w:val="24"/>
          <w:u w:val="single"/>
        </w:rPr>
        <w:t>Subsection 3.2</w:t>
      </w:r>
      <w:r>
        <w:rPr>
          <w:color w:val="000000"/>
        </w:rPr>
        <w:t xml:space="preserve"> </w:t>
      </w:r>
      <w:r>
        <w:rPr>
          <w:rFonts w:ascii="Times New Roman;sans-serif" w:hAnsi="Times New Roman;sans-serif"/>
          <w:b w:val="false"/>
          <w:color w:val="000000"/>
          <w:sz w:val="24"/>
        </w:rPr>
        <w:t>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Observer Rights</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Termination of Information and Observer Rights</w:t>
      </w:r>
      <w:r>
        <w:rPr>
          <w:rFonts w:ascii="Times New Roman;sans-serif" w:hAnsi="Times New Roman;sans-serif"/>
          <w:b w:val="false"/>
          <w:color w:val="000000"/>
          <w:sz w:val="24"/>
        </w:rPr>
        <w:t xml:space="preserve">. The covenants set forth in </w:t>
      </w:r>
      <w:r>
        <w:rPr>
          <w:rFonts w:ascii="Times New Roman;sans-serif" w:hAnsi="Times New Roman;sans-serif"/>
          <w:b w:val="false"/>
          <w:color w:val="000000"/>
          <w:sz w:val="24"/>
          <w:u w:val="single"/>
        </w:rPr>
        <w:t>Subsection 3.1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3.2</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sans-serif" w:hAnsi="Times New Roman;sans-serif"/>
          <w:b w:val="false"/>
          <w:color w:val="000000"/>
          <w:sz w:val="24"/>
          <w:u w:val="single"/>
        </w:rPr>
        <w:t>Subsection 3.5</w:t>
      </w:r>
      <w:r>
        <w:rPr>
          <w:color w:val="000000"/>
        </w:rPr>
        <w:t xml:space="preserve"> </w:t>
      </w:r>
      <w:r>
        <w:rPr>
          <w:rFonts w:ascii="Times New Roman;sans-serif" w:hAnsi="Times New Roman;sans-serif"/>
          <w:b w:val="false"/>
          <w:color w:val="000000"/>
          <w:sz w:val="24"/>
        </w:rPr>
        <w:t xml:space="preserve">by such Investor), (b) is or has </w:t>
      </w:r>
      <w:r>
        <w:br w:type="page"/>
      </w:r>
    </w:p>
    <w:p>
      <w:pPr>
        <w:pStyle w:val="TextBody"/>
        <w:spacing w:before="0" w:after="0"/>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sans-serif" w:hAnsi="Times New Roman;sans-serif"/>
          <w:b w:val="false"/>
          <w:color w:val="000000"/>
          <w:sz w:val="24"/>
          <w:u w:val="single"/>
        </w:rPr>
        <w:t>Subsection 3.5</w:t>
      </w:r>
      <w:r>
        <w:rPr>
          <w:color w:val="000000"/>
        </w:rPr>
        <w:t xml:space="preserve"> </w:t>
      </w:r>
      <w:r>
        <w:rPr>
          <w:rFonts w:ascii="Times New Roman;sans-serif" w:hAnsi="Times New Roman;sans-serif"/>
          <w:b w:val="false"/>
          <w:color w:val="000000"/>
          <w:sz w:val="24"/>
        </w:rPr>
        <w:t xml:space="preserve">and such prospective purchaser is not a Competitor of the Company; (iii) to any existing or prospective Affiliate, partner, member, stockholder, or wholly owned subsidiary of such Investor in the ordinary course of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Investor informs such Person that such information is confidential and directs such Person to maintain the confidentiality of such information; or (iv) as may otherwise be required by law, regulation, rule, court order or subpoena,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Investor promptly notifies the Company of such disclosure and takes reasonable steps to minimize the extent of any such required disclosure.</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Rights to Future Stock Issuances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Right of First Offer</w:t>
      </w:r>
      <w:r>
        <w:rPr>
          <w:rFonts w:ascii="Times New Roman;sans-serif" w:hAnsi="Times New Roman;sans-serif"/>
          <w:b w:val="false"/>
          <w:color w:val="000000"/>
          <w:sz w:val="24"/>
        </w:rPr>
        <w:t xml:space="preserve">. Subject to the terms and conditions of this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Times New Roman;sans-serif" w:hAnsi="Times New Roman;sans-serif"/>
          <w:b/>
          <w:color w:val="000000"/>
          <w:sz w:val="24"/>
        </w:rPr>
        <w:t>Investor Beneficial Owners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such Affiliate or Investor Beneficial Owner (x) is not a Competitor or FOIA Party, unless such party’s purchase of New Securities is otherwise consented to by the Board of Directors, (y) 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Times New Roman;sans-serif" w:hAnsi="Times New Roman;sans-serif"/>
          <w:b/>
          <w:color w:val="000000"/>
          <w:sz w:val="24"/>
        </w:rPr>
        <w:t>Investor</w:t>
      </w:r>
      <w:r>
        <w:rPr>
          <w:color w:val="000000"/>
        </w:rPr>
        <w:t xml:space="preserve">” </w:t>
      </w:r>
      <w:r>
        <w:rPr>
          <w:rFonts w:ascii="Times New Roman;sans-serif" w:hAnsi="Times New Roman;sans-serif"/>
          <w:b w:val="false"/>
          <w:color w:val="000000"/>
          <w:sz w:val="24"/>
        </w:rPr>
        <w:t xml:space="preserve">under each such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Competitor or FOIA Party shall not be entitled to any rights as a Major Investor under </w:t>
      </w:r>
      <w:r>
        <w:rPr>
          <w:rFonts w:ascii="Times New Roman;sans-serif" w:hAnsi="Times New Roman;sans-serif"/>
          <w:b w:val="false"/>
          <w:color w:val="000000"/>
          <w:sz w:val="24"/>
          <w:u w:val="single"/>
        </w:rPr>
        <w:t>Subsections 3.1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4.1</w:t>
      </w:r>
      <w:r>
        <w:rPr>
          <w:color w:val="000000"/>
        </w:rPr>
        <w:t xml:space="preserve"> </w:t>
      </w:r>
      <w:r>
        <w:rPr>
          <w:rFonts w:ascii="Times New Roman;sans-serif" w:hAnsi="Times New Roman;sans-serif"/>
          <w:b w:val="false"/>
          <w:color w:val="000000"/>
          <w:sz w:val="24"/>
        </w:rPr>
        <w:t>hereof), and (z) agrees to purchase at least such number of New Securities as are allocable hereunder to the Major Investor holding the fewest number of Preferred Stock and any other Derivative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give notice (the “</w:t>
      </w:r>
      <w:r>
        <w:rPr>
          <w:rFonts w:ascii="Times New Roman;sans-serif" w:hAnsi="Times New Roman;sans-serif"/>
          <w:b/>
          <w:color w:val="000000"/>
          <w:sz w:val="24"/>
        </w:rPr>
        <w:t>Offer Notice</w:t>
      </w:r>
      <w:r>
        <w:rPr>
          <w:color w:val="000000"/>
        </w:rPr>
        <w:t>”</w:t>
      </w:r>
      <w:r>
        <w:rPr>
          <w:rFonts w:ascii="Times New Roman;sans-serif" w:hAnsi="Times New Roman;sans-serif"/>
          <w:b w:val="false"/>
          <w:color w:val="000000"/>
          <w:sz w:val="24"/>
        </w:rPr>
        <w:t>) to each Major Investor, stating (i) its bona fide intention to offer such New Securities, (ii) the number of such New Securities to be offered, and (iii) the price and terms, if any, upon which it proposes to offer such New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By notification to the Company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held by all the Major Investors (including all shares of Common Stock issuable (directly or indirectly) upon conversion and/or exercise, as applicable, of the Preferred Stock and any other Derivative Securities then held by all the Major Investors). At the expiration of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the Company shall promptly notify each Major Investor that elects to purchase or acquire all the shares available to it (each, a “</w:t>
      </w:r>
      <w:r>
        <w:rPr>
          <w:rFonts w:ascii="Times New Roman;sans-serif" w:hAnsi="Times New Roman;sans-serif"/>
          <w:b/>
          <w:color w:val="000000"/>
          <w:sz w:val="24"/>
        </w:rPr>
        <w:t>Fully Exercising Investor</w:t>
      </w:r>
      <w:r>
        <w:rPr>
          <w:color w:val="000000"/>
        </w:rPr>
        <w:t>”</w:t>
      </w:r>
      <w:r>
        <w:rPr>
          <w:rFonts w:ascii="Times New Roman;sans-serif" w:hAnsi="Times New Roman;sans-serif"/>
          <w:b w:val="false"/>
          <w:color w:val="000000"/>
          <w:sz w:val="24"/>
        </w:rPr>
        <w:t xml:space="preserve">) of any other Major Investor’s failure to do likewise. During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commencing after the Company has given such notice, each Fully Exercising </w:t>
      </w:r>
      <w:r>
        <w:br w:type="page"/>
      </w:r>
    </w:p>
    <w:p>
      <w:pPr>
        <w:pStyle w:val="TextBody"/>
        <w:spacing w:before="0" w:after="0"/>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sans-serif" w:hAnsi="Times New Roman;sans-serif"/>
          <w:b w:val="false"/>
          <w:color w:val="000000"/>
          <w:sz w:val="24"/>
          <w:u w:val="single"/>
        </w:rPr>
        <w:t>Subsection 4.1(b)</w:t>
      </w:r>
      <w:r>
        <w:rPr>
          <w:color w:val="000000"/>
        </w:rPr>
        <w:t xml:space="preserve"> </w:t>
      </w:r>
      <w:r>
        <w:rPr>
          <w:rFonts w:ascii="Times New Roman;sans-serif" w:hAnsi="Times New Roman;sans-serif"/>
          <w:b w:val="false"/>
          <w:color w:val="000000"/>
          <w:sz w:val="24"/>
        </w:rPr>
        <w:t xml:space="preserve">shall occur within the later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that the Offer Notice is given and the date of initial sale of New Securities pursuant to </w:t>
      </w:r>
      <w:r>
        <w:rPr>
          <w:rFonts w:ascii="Times New Roman;sans-serif" w:hAnsi="Times New Roman;sans-serif"/>
          <w:b w:val="false"/>
          <w:color w:val="000000"/>
          <w:sz w:val="24"/>
          <w:u w:val="single"/>
        </w:rPr>
        <w:t>Subsection 4.1(c)</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all New Securities referred to in the Offer Notice are not elected to be purchased or acquired as provided in </w:t>
      </w:r>
      <w:r>
        <w:rPr>
          <w:rFonts w:ascii="Times New Roman;sans-serif" w:hAnsi="Times New Roman;sans-serif"/>
          <w:b w:val="false"/>
          <w:color w:val="000000"/>
          <w:sz w:val="24"/>
          <w:u w:val="single"/>
        </w:rPr>
        <w:t>Subsection 4.1(b)</w:t>
      </w:r>
      <w:r>
        <w:rPr>
          <w:rFonts w:ascii="Times New Roman;sans-serif" w:hAnsi="Times New Roman;sans-serif"/>
          <w:b w:val="false"/>
          <w:color w:val="000000"/>
          <w:sz w:val="24"/>
        </w:rPr>
        <w:t xml:space="preserve">, the Company may, during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following the expiration of the periods provided in </w:t>
      </w:r>
      <w:r>
        <w:rPr>
          <w:rFonts w:ascii="Times New Roman;sans-serif" w:hAnsi="Times New Roman;sans-serif"/>
          <w:b w:val="false"/>
          <w:color w:val="000000"/>
          <w:sz w:val="24"/>
          <w:u w:val="single"/>
        </w:rPr>
        <w:t>Subsection 4.1(b)</w:t>
      </w:r>
      <w:r>
        <w:rPr>
          <w:rFonts w:ascii="Times New Roman;sans-serif" w:hAnsi="Times New Roman;sans-serif"/>
          <w:b w:val="false"/>
          <w:color w:val="000000"/>
          <w:sz w:val="24"/>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execution thereof, the right provided hereunder shall be deemed to be revived and such New Securities shall not be offered unless first reoffered to the Major Investors in accordance with this </w:t>
      </w:r>
      <w:r>
        <w:rPr>
          <w:rFonts w:ascii="Times New Roman;sans-serif" w:hAnsi="Times New Roman;sans-serif"/>
          <w:b w:val="false"/>
          <w:color w:val="000000"/>
          <w:sz w:val="24"/>
          <w:u w:val="single"/>
        </w:rPr>
        <w:t>Subsection 4.1</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right of first offer in this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 xml:space="preserve">shall not be applicable to (i) Exempted Securities (as defined in the Certificate of Incorporation); (ii) shares of Common Stock issued in the IPO and (iii) shares of Series B Preferred Stock issued pursuant to Section 1.4 of the Purchase Agreement. </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The covenants set forth in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Additional Covenants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The Company shall continue to maintain Directors and Officers liability insurance in an amount and on terms and conditions satisfactory to the Board of Directors, and will use commercially reasonable efforts to cause such insurance policies to be maintained until such time as the Board of Directors determines that such insurance should be discontinued. The Directors and Officers liability insurance shall not be cancelable by the Company without prior approval by the Board of Directors. Notwithstanding any other provision of this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to the contrary, for so long as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is serving on the Board of Directors, the Company shall not cease to maintain a Directors and Officers liability insurance policy in an amount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unless approved by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and the Company shall annually,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end of each fiscal year of the Company, deliver to the holders of Preferred Stock a certification that such a Directors and Officers liability insurance policy remains in effect. </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Employee Agreements</w:t>
      </w:r>
      <w:r>
        <w:rPr>
          <w:rFonts w:ascii="Times New Roman;sans-serif" w:hAnsi="Times New Roman;sans-serif"/>
          <w:b w:val="false"/>
          <w:color w:val="000000"/>
          <w:sz w:val="24"/>
        </w:rPr>
        <w:t xml:space="preserve">.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addition, the Company shall not amend, modify, terminate, waive, or otherwise alter, in whole or in part, any </w:t>
      </w:r>
      <w:r>
        <w:br w:type="page"/>
      </w:r>
    </w:p>
    <w:p>
      <w:pPr>
        <w:pStyle w:val="TextBody"/>
        <w:spacing w:before="0" w:after="0"/>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above-referenced agreements or any restricted stock agreement between the Company and any employee, without the consent of the Board of Directors.</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Employee Stock</w:t>
      </w:r>
      <w:r>
        <w:rPr>
          <w:rFonts w:ascii="Times New Roman;sans-serif" w:hAnsi="Times New Roman;sans-serif"/>
          <w:b w:val="false"/>
          <w:color w:val="000000"/>
          <w:sz w:val="24"/>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with the first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such shares vesting following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continued employment or service, and the remaining shares vesting in equal installments every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over the following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and (ii) a market stand-off provision substantially similar to that in </w:t>
      </w:r>
      <w:r>
        <w:rPr>
          <w:rFonts w:ascii="Times New Roman;sans-serif" w:hAnsi="Times New Roman;sans-serif"/>
          <w:b w:val="false"/>
          <w:color w:val="000000"/>
          <w:sz w:val="24"/>
          <w:u w:val="single"/>
        </w:rPr>
        <w:t>Subsection 2.11</w:t>
      </w:r>
      <w:r>
        <w:rPr>
          <w:rFonts w:ascii="Times New Roman;sans-serif" w:hAnsi="Times New Roman;sans-serif"/>
          <w:b w:val="false"/>
          <w:color w:val="000000"/>
          <w:sz w:val="24"/>
        </w:rPr>
        <w:t xml:space="preserve">. Without the prior approval by the Board of Directors,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sans-serif" w:hAnsi="Times New Roman;sans-serif"/>
          <w:b w:val="false"/>
          <w:color w:val="000000"/>
          <w:sz w:val="24"/>
          <w:u w:val="single"/>
        </w:rPr>
        <w:t>Subsection 5.3</w:t>
      </w:r>
      <w:r>
        <w:rPr>
          <w:rFonts w:ascii="Times New Roman;sans-serif" w:hAnsi="Times New Roman;sans-serif"/>
          <w:b w:val="false"/>
          <w:color w:val="000000"/>
          <w:sz w:val="24"/>
        </w:rPr>
        <w:t>. In addition, unless otherwise approved by the Board of Directors, the Company shall retain (and not waive) a “right of first refusal” on employee transfers until the Company’s IPO and shall have the right to repurchase unvested shares at cost upon termination of employment of a holder of restricted stock.</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Qualified Small Business Stock</w:t>
      </w:r>
      <w:r>
        <w:rPr>
          <w:rFonts w:ascii="Times New Roman;sans-serif" w:hAnsi="Times New Roman;sans-serif"/>
          <w:b w:val="false"/>
          <w:color w:val="000000"/>
          <w:sz w:val="24"/>
        </w:rPr>
        <w:t>. The Company shall use commercially reasonable efforts to cause the shares of Series B Preferred Stock issued pursuant to the Purchase Agreement, as well as any shares into which such shares are converted, within the meaning of Section 1202(f) of the Internal Revenue Code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xml:space="preserve">), to constitute “qualified small business stock” as defined in Section 1202(c) of the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Board Matters</w:t>
      </w:r>
      <w:r>
        <w:rPr>
          <w:rFonts w:ascii="Times New Roman;sans-serif" w:hAnsi="Times New Roman;sans-serif"/>
          <w:b w:val="false"/>
          <w:color w:val="000000"/>
          <w:sz w:val="24"/>
        </w:rPr>
        <w:t>. Unless otherwise determined by the vote of a majority of the directors then in office, the Board of Directors shall meet at least quarterly in accordance with an agreed-upon schedule. The Company shall reimburse all directors for all reasonable out-of-pocket travel expenses incurred (consistent with the Company’s travel policy) in connection with attending meetings of the Board of Directors. The Company shall also maintain a formal scientific advisory board comprised of outside scientists who shall from time to time advise the Board of Directors and Company on matters within their expertise.</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 Indemnification</w:t>
      </w:r>
      <w:r>
        <w:rPr>
          <w:rFonts w:ascii="Times New Roman;sans-serif" w:hAnsi="Times New Roman;sans-serif"/>
          <w:b w:val="false"/>
          <w:color w:val="000000"/>
          <w:sz w:val="24"/>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r>
        <w:br w:type="page"/>
      </w:r>
    </w:p>
    <w:p>
      <w:pPr>
        <w:pStyle w:val="TextBody"/>
        <w:spacing w:before="0" w:after="0"/>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Expenses of Counsel</w:t>
      </w:r>
      <w:r>
        <w:rPr>
          <w:rFonts w:ascii="Times New Roman;sans-serif" w:hAnsi="Times New Roman;sans-serif"/>
          <w:b w:val="false"/>
          <w:color w:val="000000"/>
          <w:sz w:val="24"/>
        </w:rPr>
        <w:t>. In the event of a transaction which is a Sale of the Company (as defined in the Amended and Restated Voting Agreement of even date herewith among the Investors, the Company and the other parties named therein), the reasonable fees and disbursements of one counsel for the Major Investors (“</w:t>
      </w:r>
      <w:r>
        <w:rPr>
          <w:rFonts w:ascii="Times New Roman;sans-serif" w:hAnsi="Times New Roman;sans-serif"/>
          <w:b/>
          <w:color w:val="000000"/>
          <w:sz w:val="24"/>
        </w:rPr>
        <w:t>Investor Counsel</w:t>
      </w:r>
      <w:r>
        <w:rPr>
          <w:color w:val="000000"/>
        </w:rPr>
        <w:t>”</w:t>
      </w:r>
      <w:r>
        <w:rPr>
          <w:rFonts w:ascii="Times New Roman;sans-serif" w:hAnsi="Times New Roman;sans-serif"/>
          <w:b w:val="false"/>
          <w:color w:val="000000"/>
          <w:sz w:val="24"/>
        </w:rPr>
        <w:t>), in their capacities as stockholders, shall be borne and paid by the Company. Investor Counsel shall be selected by Major Investors possessing a majority of the Registrable Securities held by Major Investors.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and the Company’s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Indemnification Matters</w:t>
      </w:r>
      <w:r>
        <w:rPr>
          <w:rFonts w:ascii="Times New Roman;sans-serif" w:hAnsi="Times New Roman;sans-serif"/>
          <w:b w:val="false"/>
          <w:color w:val="000000"/>
          <w:sz w:val="24"/>
        </w:rPr>
        <w:t>. The Company hereby acknowledges that one (1) or more of the directors nominated to serve on the Board of Directors by the Investors (each an “</w:t>
      </w:r>
      <w:r>
        <w:rPr>
          <w:rFonts w:ascii="Times New Roman;sans-serif" w:hAnsi="Times New Roman;sans-serif"/>
          <w:b/>
          <w:color w:val="000000"/>
          <w:sz w:val="24"/>
        </w:rPr>
        <w:t>Investor Director</w:t>
      </w:r>
      <w:r>
        <w:rPr>
          <w:color w:val="000000"/>
        </w:rPr>
        <w:t>”</w:t>
      </w:r>
      <w:r>
        <w:rPr>
          <w:rFonts w:ascii="Times New Roman;sans-serif" w:hAnsi="Times New Roman;sans-serif"/>
          <w:b w:val="false"/>
          <w:color w:val="000000"/>
          <w:sz w:val="24"/>
        </w:rPr>
        <w:t>) may have certain rights to indemnification, advancement of expenses and/or insurance provided by one or more of the Investors and certain of their Affiliates (collectively, the “</w:t>
      </w:r>
      <w:r>
        <w:rPr>
          <w:rFonts w:ascii="Times New Roman;sans-serif" w:hAnsi="Times New Roman;sans-serif"/>
          <w:b/>
          <w:color w:val="000000"/>
          <w:sz w:val="24"/>
        </w:rPr>
        <w:t>Investor Indemnitors</w:t>
      </w:r>
      <w:r>
        <w:rPr>
          <w:color w:val="000000"/>
        </w:rPr>
        <w:t>”</w:t>
      </w:r>
      <w:r>
        <w:rPr>
          <w:rFonts w:ascii="Times New Roman;sans-serif" w:hAnsi="Times New Roman;sans-serif"/>
          <w:b w:val="false"/>
          <w:color w:val="000000"/>
          <w:sz w:val="24"/>
        </w:rPr>
        <w:t>). The Company hereby agrees (a) that it is the indemnitor of first resort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Times New Roman;sans-serif" w:hAnsi="Times New Roman;sans-serif"/>
          <w:b w:val="false"/>
          <w:color w:val="000000"/>
          <w:sz w:val="24"/>
          <w:u w:val="single"/>
        </w:rPr>
        <w:t>Subsection 5.9</w:t>
      </w:r>
      <w:r>
        <w:rPr>
          <w:color w:val="000000"/>
        </w:rPr>
        <w:t xml:space="preserve"> </w:t>
      </w:r>
      <w:r>
        <w:rPr>
          <w:rFonts w:ascii="Times New Roman;sans-serif" w:hAnsi="Times New Roman;sans-serif"/>
          <w:b w:val="false"/>
          <w:color w:val="000000"/>
          <w:sz w:val="24"/>
        </w:rPr>
        <w:t xml:space="preserve">and shall have the right, power and authority to enforce the provisions of this </w:t>
      </w:r>
      <w:r>
        <w:rPr>
          <w:rFonts w:ascii="Times New Roman;sans-serif" w:hAnsi="Times New Roman;sans-serif"/>
          <w:b w:val="false"/>
          <w:color w:val="000000"/>
          <w:sz w:val="24"/>
          <w:u w:val="single"/>
        </w:rPr>
        <w:t>Subsection 5.9</w:t>
      </w:r>
      <w:r>
        <w:rPr>
          <w:color w:val="000000"/>
        </w:rPr>
        <w:t xml:space="preserve"> </w:t>
      </w:r>
      <w:r>
        <w:rPr>
          <w:rFonts w:ascii="Times New Roman;sans-serif" w:hAnsi="Times New Roman;sans-serif"/>
          <w:b w:val="false"/>
          <w:color w:val="000000"/>
          <w:sz w:val="24"/>
        </w:rPr>
        <w:t>as though they were a party to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Right to Conduct Activities</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Harassment Policy</w:t>
      </w:r>
      <w:r>
        <w:rPr>
          <w:rFonts w:ascii="Times New Roman;sans-serif" w:hAnsi="Times New Roman;sans-serif"/>
          <w:b w:val="false"/>
          <w:color w:val="000000"/>
          <w:sz w:val="24"/>
        </w:rPr>
        <w:t>. The Company is subject to and shall maintain (i) a Code of Conduct governing appropriate workplace behavior and (ii) an Anti-Harassment and Discrimination Policy prohibiting discrimination and harassment at the Company.</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Termination of Covenants</w:t>
      </w:r>
      <w:r>
        <w:rPr>
          <w:rFonts w:ascii="Times New Roman;sans-serif" w:hAnsi="Times New Roman;sans-serif"/>
          <w:b w:val="false"/>
          <w:color w:val="000000"/>
          <w:sz w:val="24"/>
        </w:rPr>
        <w:t xml:space="preserve">. The covenants set forth in this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except for </w:t>
      </w:r>
      <w:r>
        <w:rPr>
          <w:rFonts w:ascii="Times New Roman;sans-serif" w:hAnsi="Times New Roman;sans-serif"/>
          <w:b w:val="false"/>
          <w:color w:val="000000"/>
          <w:sz w:val="24"/>
          <w:u w:val="single"/>
        </w:rPr>
        <w:t>Subsections 5.7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5.10</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shares of Registrable Securities (subject to appropriate adjustment for stock splits, stock dividends, combinations, and other recapitalizations);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4"/>
          <w:u w:val="single"/>
        </w:rPr>
        <w:t>Subsection 2.11</w:t>
      </w:r>
      <w:r>
        <w:rPr>
          <w:rFonts w:ascii="Times New Roman;sans-serif" w:hAnsi="Times New Roman;sans-serif"/>
          <w:b w:val="false"/>
          <w:color w:val="000000"/>
          <w:sz w:val="24"/>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r>
        <w:rPr>
          <w:rFonts w:ascii="Times New Roman;sans-serif" w:hAnsi="Times New Roman;sans-serif"/>
          <w:b/>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for convenience only and are not to be considered in construing or interpreting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sans-serif" w:hAnsi="Times New Roman;sans-serif"/>
          <w:b w:val="false"/>
          <w:color w:val="000000"/>
          <w:sz w:val="24"/>
          <w:u w:val="single"/>
        </w:rPr>
        <w:t>Subsection 6.5</w:t>
      </w:r>
      <w:r>
        <w:rPr>
          <w:rFonts w:ascii="Times New Roman;sans-serif" w:hAnsi="Times New Roman;sans-serif"/>
          <w:b w:val="false"/>
          <w:color w:val="000000"/>
          <w:sz w:val="24"/>
        </w:rPr>
        <w:t xml:space="preserve">. </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consents to the delivery of any stockholder notice pursuant to the Delaware General Corporation Law (the “</w:t>
      </w:r>
      <w:r>
        <w:rPr>
          <w:rFonts w:ascii="Times New Roman;sans-serif" w:hAnsi="Times New Roman;sans-serif"/>
          <w:b/>
          <w:color w:val="000000"/>
          <w:sz w:val="24"/>
        </w:rPr>
        <w:t>DGCL</w:t>
      </w:r>
      <w:r>
        <w:rPr>
          <w:color w:val="000000"/>
        </w:rPr>
        <w:t>”</w:t>
      </w:r>
      <w:r>
        <w:rPr>
          <w:rFonts w:ascii="Times New Roman;sans-serif" w:hAnsi="Times New Roman;sans-serif"/>
          <w:b w:val="false"/>
          <w:color w:val="000000"/>
          <w:sz w:val="24"/>
        </w:rPr>
        <w:t>),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may in its sole discretion waive compliance with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 xml:space="preserve">(and the Company’s failure to object promptly in writing after notification of a proposed assignment allegedly in violation of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 xml:space="preserve">shall be deemed to be a waiver);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with respect to a particular transaction shall be deemed to apply to all Investors in the same fashion if such waiver does so by its terms, notwithstanding the fact that certain Investors may nonetheless, by agreement with the Company, purchase securities in such transaction), (b) </w:t>
      </w:r>
      <w:r>
        <w:rPr>
          <w:rFonts w:ascii="Times New Roman;sans-serif" w:hAnsi="Times New Roman;sans-serif"/>
          <w:b w:val="false"/>
          <w:color w:val="000000"/>
          <w:sz w:val="24"/>
          <w:u w:val="single"/>
        </w:rPr>
        <w:t>Subsections 3.1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and any other section of this Agreement applicable to the Major Investors (including this clause (b) of this </w:t>
      </w:r>
      <w:r>
        <w:rPr>
          <w:rFonts w:ascii="Times New Roman;sans-serif" w:hAnsi="Times New Roman;sans-serif"/>
          <w:b w:val="false"/>
          <w:color w:val="000000"/>
          <w:sz w:val="24"/>
          <w:u w:val="single"/>
        </w:rPr>
        <w:t>Subsection 6.6)</w:t>
      </w:r>
      <w:r>
        <w:rPr>
          <w:color w:val="000000"/>
        </w:rPr>
        <w:t xml:space="preserve"> </w:t>
      </w:r>
      <w:r>
        <w:rPr>
          <w:rFonts w:ascii="Times New Roman;sans-serif" w:hAnsi="Times New Roman;sans-serif"/>
          <w:b w:val="false"/>
          <w:color w:val="000000"/>
          <w:sz w:val="24"/>
        </w:rPr>
        <w:t xml:space="preserve">may not be amended, modified, terminated or waived without the written consent of the holders of at least a majority of the Registrable Securities then outstanding and held by the Major Investors and (c) the rights of a Relevant Stockholder under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 xml:space="preserve">may not be amended, modified, terminated or waived without the written consent of the Relevant Stockholder. Notwithstanding the foregoing,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may be amended by the Company from time to time to add transferees of any Registrable Securities in compliance with the terms of this Agreement without the consent of the other parties;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may also be amended by the Company after the date of this Agreement without the consent of the other parties to add information regarding any additional Investor who becomes a party to this Agreement in accordance with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Times New Roman;sans-serif" w:hAnsi="Times New Roman;sans-serif"/>
          <w:b w:val="false"/>
          <w:color w:val="000000"/>
          <w:sz w:val="24"/>
          <w:u w:val="single"/>
        </w:rPr>
        <w:t>Subsection 6.6</w:t>
      </w:r>
      <w:r>
        <w:rPr>
          <w:color w:val="000000"/>
        </w:rPr>
        <w:t xml:space="preserve"> </w:t>
      </w:r>
      <w:r>
        <w:rPr>
          <w:rFonts w:ascii="Times New Roman;sans-serif" w:hAnsi="Times New Roman;sans-serif"/>
          <w:b w:val="false"/>
          <w:color w:val="000000"/>
          <w:sz w:val="24"/>
        </w:rPr>
        <w:t xml:space="preserve">shall be binding on all parties hereto, </w:t>
      </w:r>
      <w:r>
        <w:br w:type="page"/>
      </w:r>
    </w:p>
    <w:p>
      <w:pPr>
        <w:pStyle w:val="TextBody"/>
        <w:spacing w:before="0" w:after="0"/>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Notwithstanding anything to the contrary contained herein, if the Company issues additional shares of Series B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 </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w:t>
      </w:r>
      <w:r>
        <w:br w:type="page"/>
      </w:r>
    </w:p>
    <w:p>
      <w:pPr>
        <w:pStyle w:val="TextBody"/>
        <w:spacing w:before="0" w:after="0"/>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David Liu</w:t>
        <w:br/>
        <w:t>Title: Chief Executive Officer</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pP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before="480" w:after="283"/>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Title: [***]</w:t>
      </w:r>
      <w:r>
        <w:br w:type="page"/>
      </w:r>
    </w:p>
    <w:p>
      <w:pPr>
        <w:pStyle w:val="TextBody"/>
        <w:spacing w:before="0" w:after="0"/>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pP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48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240"/>
        <w:rPr/>
      </w:pPr>
      <w:r>
        <w:rPr/>
      </w:r>
    </w:p>
    <w:p>
      <w:pPr>
        <w:pStyle w:val="TextBody"/>
        <w:spacing w:before="0" w:after="240"/>
        <w:rPr/>
      </w:pPr>
      <w:r>
        <w:rPr/>
      </w:r>
    </w:p>
    <w:p>
      <w:pPr>
        <w:pStyle w:val="TextBody"/>
        <w:spacing w:before="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pPr>
      <w:r>
        <w:rPr>
          <w:rFonts w:ascii="Times New Roman;sans-serif" w:hAnsi="Times New Roman;sans-serif"/>
          <w:b w:val="false"/>
          <w:color w:val="000000"/>
          <w:sz w:val="24"/>
          <w:u w:val="single"/>
        </w:rPr>
        <w:t>/s/[***]    </w:t>
        <w:br/>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spacing w:lineRule="auto" w:line="240"/>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Exhibit 4.18</w: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Execution Version </w:t>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spacing w:before="0" w:after="240"/>
        <w:jc w:val="center"/>
        <w:rPr/>
      </w:pPr>
      <w:r>
        <w:rPr/>
      </w:r>
    </w:p>
    <w:p>
      <w:pPr>
        <w:pStyle w:val="TextBody"/>
        <w:spacing w:before="0" w:after="2"/>
        <w:jc w:val="center"/>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RIGHT OF FIRST REFUSAL AND CO-SALE AGREEMENT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spacing w:lineRule="auto" w:line="240" w:before="0" w:after="24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Exhibit 4.18</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31445"/>
                <wp:effectExtent l="0" t="0" r="0" b="0"/>
                <wp:wrapNone/>
                <wp:docPr id="227" name="Frame2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7440" w:type="dxa"/>
        <w:jc w:val="left"/>
        <w:tblInd w:w="0" w:type="dxa"/>
        <w:tblCellMar>
          <w:top w:w="28" w:type="dxa"/>
          <w:left w:w="28" w:type="dxa"/>
          <w:bottom w:w="28" w:type="dxa"/>
          <w:right w:w="28" w:type="dxa"/>
        </w:tblCellMar>
      </w:tblPr>
      <w:tblGrid>
        <w:gridCol w:w="2554"/>
        <w:gridCol w:w="2243"/>
        <w:gridCol w:w="2252"/>
        <w:gridCol w:w="114"/>
        <w:gridCol w:w="114"/>
        <w:gridCol w:w="163"/>
      </w:tblGrid>
      <w:tr>
        <w:trPr/>
        <w:tc>
          <w:tcPr>
            <w:tcW w:w="2554"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1.</w:t>
              </w:r>
            </w:hyperlink>
            <w:hyperlink w:anchor="i3dcaff8b775f4961b3cce1e78c4d305a_7">
              <w:r>
                <w:rPr>
                  <w:rStyle w:val="InternetLink"/>
                </w:rPr>
                <w:t>    </w:t>
              </w:r>
            </w:hyperlink>
            <w:hyperlink w:anchor="i3dcaff8b775f4961b3cce1e78c4d305a_7">
              <w:r>
                <w:rPr>
                  <w:rStyle w:val="InternetLink"/>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2.</w:t>
              </w:r>
            </w:hyperlink>
            <w:hyperlink w:anchor="i3dcaff8b775f4961b3cce1e78c4d305a_7">
              <w:r>
                <w:rPr>
                  <w:rStyle w:val="InternetLink"/>
                </w:rPr>
                <w:t>    </w:t>
              </w:r>
            </w:hyperlink>
            <w:hyperlink w:anchor="i3dcaff8b775f4961b3cce1e78c4d305a_7">
              <w:r>
                <w:rPr>
                  <w:rStyle w:val="InternetLink"/>
                </w:rPr>
                <w:t>Agreement Among the Company, the Investors and the Key Holders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3</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2.1</w:t>
              </w:r>
            </w:hyperlink>
            <w:hyperlink w:anchor="i3dcaff8b775f4961b3cce1e78c4d305a_7">
              <w:r>
                <w:rPr>
                  <w:rStyle w:val="InternetLink"/>
                </w:rPr>
                <w:t>    </w:t>
              </w:r>
            </w:hyperlink>
            <w:hyperlink w:anchor="i3dcaff8b775f4961b3cce1e78c4d305a_7">
              <w:r>
                <w:rPr>
                  <w:rStyle w:val="InternetLink"/>
                </w:rPr>
                <w:t>Right of First Refusal</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3</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2.2</w:t>
              </w:r>
            </w:hyperlink>
            <w:hyperlink w:anchor="i3dcaff8b775f4961b3cce1e78c4d305a_7">
              <w:r>
                <w:rPr>
                  <w:rStyle w:val="InternetLink"/>
                </w:rPr>
                <w:t>    </w:t>
              </w:r>
            </w:hyperlink>
            <w:hyperlink w:anchor="i3dcaff8b775f4961b3cce1e78c4d305a_7">
              <w:r>
                <w:rPr>
                  <w:rStyle w:val="InternetLink"/>
                </w:rPr>
                <w:t>Right of Co-Sale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4</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2.3</w:t>
              </w:r>
            </w:hyperlink>
            <w:hyperlink w:anchor="i3dcaff8b775f4961b3cce1e78c4d305a_7">
              <w:r>
                <w:rPr>
                  <w:rStyle w:val="InternetLink"/>
                </w:rPr>
                <w:t>    </w:t>
              </w:r>
            </w:hyperlink>
            <w:hyperlink w:anchor="i3dcaff8b775f4961b3cce1e78c4d305a_7">
              <w:r>
                <w:rPr>
                  <w:rStyle w:val="InternetLink"/>
                </w:rPr>
                <w:t>Effect of Failure to Comply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6</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3.</w:t>
              </w:r>
            </w:hyperlink>
            <w:hyperlink w:anchor="i3dcaff8b775f4961b3cce1e78c4d305a_7">
              <w:r>
                <w:rPr>
                  <w:rStyle w:val="InternetLink"/>
                </w:rPr>
                <w:t>    </w:t>
              </w:r>
            </w:hyperlink>
            <w:hyperlink w:anchor="i3dcaff8b775f4961b3cce1e78c4d305a_7">
              <w:r>
                <w:rPr>
                  <w:rStyle w:val="InternetLink"/>
                </w:rPr>
                <w:t>Exempt Transfers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3.1</w:t>
              </w:r>
            </w:hyperlink>
            <w:hyperlink w:anchor="i3dcaff8b775f4961b3cce1e78c4d305a_7">
              <w:r>
                <w:rPr>
                  <w:rStyle w:val="InternetLink"/>
                </w:rPr>
                <w:t>    </w:t>
              </w:r>
            </w:hyperlink>
            <w:hyperlink w:anchor="i3dcaff8b775f4961b3cce1e78c4d305a_7">
              <w:r>
                <w:rPr>
                  <w:rStyle w:val="InternetLink"/>
                </w:rPr>
                <w:t>Exempted Transfers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3.2</w:t>
              </w:r>
            </w:hyperlink>
            <w:hyperlink w:anchor="i3dcaff8b775f4961b3cce1e78c4d305a_7">
              <w:r>
                <w:rPr>
                  <w:rStyle w:val="InternetLink"/>
                </w:rPr>
                <w:t>    </w:t>
              </w:r>
            </w:hyperlink>
            <w:hyperlink w:anchor="i3dcaff8b775f4961b3cce1e78c4d305a_7">
              <w:r>
                <w:rPr>
                  <w:rStyle w:val="InternetLink"/>
                </w:rPr>
                <w:t>Exempted Offerings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3.3</w:t>
              </w:r>
            </w:hyperlink>
            <w:hyperlink w:anchor="i3dcaff8b775f4961b3cce1e78c4d305a_7">
              <w:r>
                <w:rPr>
                  <w:rStyle w:val="InternetLink"/>
                </w:rPr>
                <w:t>    </w:t>
              </w:r>
            </w:hyperlink>
            <w:hyperlink w:anchor="i3dcaff8b775f4961b3cce1e78c4d305a_7">
              <w:r>
                <w:rPr>
                  <w:rStyle w:val="InternetLink"/>
                </w:rPr>
                <w:t>Prohibited Transferees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4.</w:t>
              </w:r>
            </w:hyperlink>
            <w:hyperlink w:anchor="i3dcaff8b775f4961b3cce1e78c4d305a_7">
              <w:r>
                <w:rPr>
                  <w:rStyle w:val="InternetLink"/>
                </w:rPr>
                <w:t>    </w:t>
              </w:r>
            </w:hyperlink>
            <w:hyperlink w:anchor="i3dcaff8b775f4961b3cce1e78c4d305a_7">
              <w:r>
                <w:rPr>
                  <w:rStyle w:val="InternetLink"/>
                </w:rPr>
                <w:t>Legend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5.</w:t>
              </w:r>
            </w:hyperlink>
            <w:hyperlink w:anchor="i3dcaff8b775f4961b3cce1e78c4d305a_7">
              <w:r>
                <w:rPr>
                  <w:rStyle w:val="InternetLink"/>
                </w:rPr>
                <w:t>    </w:t>
              </w:r>
            </w:hyperlink>
            <w:hyperlink w:anchor="i3dcaff8b775f4961b3cce1e78c4d305a_7">
              <w:r>
                <w:rPr>
                  <w:rStyle w:val="InternetLink"/>
                </w:rPr>
                <w:t>Lock-Up</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5.1</w:t>
              </w:r>
            </w:hyperlink>
            <w:hyperlink w:anchor="i3dcaff8b775f4961b3cce1e78c4d305a_7">
              <w:r>
                <w:rPr>
                  <w:rStyle w:val="InternetLink"/>
                </w:rPr>
                <w:t>    </w:t>
              </w:r>
            </w:hyperlink>
            <w:hyperlink w:anchor="i3dcaff8b775f4961b3cce1e78c4d305a_7">
              <w:r>
                <w:rPr>
                  <w:rStyle w:val="InternetLink"/>
                </w:rPr>
                <w:t>Agreement to Lock-Up</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5.2</w:t>
              </w:r>
            </w:hyperlink>
            <w:hyperlink w:anchor="i3dcaff8b775f4961b3cce1e78c4d305a_7">
              <w:r>
                <w:rPr>
                  <w:rStyle w:val="InternetLink"/>
                </w:rPr>
                <w:t>    </w:t>
              </w:r>
            </w:hyperlink>
            <w:hyperlink w:anchor="i3dcaff8b775f4961b3cce1e78c4d305a_7">
              <w:r>
                <w:rPr>
                  <w:rStyle w:val="InternetLink"/>
                </w:rPr>
                <w:t>Stop Transfer Instructions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w:t>
              </w:r>
            </w:hyperlink>
            <w:hyperlink w:anchor="i3dcaff8b775f4961b3cce1e78c4d305a_7">
              <w:r>
                <w:rPr>
                  <w:rStyle w:val="InternetLink"/>
                </w:rPr>
                <w:t>    </w:t>
              </w:r>
            </w:hyperlink>
            <w:hyperlink w:anchor="i3dcaff8b775f4961b3cce1e78c4d305a_7">
              <w:r>
                <w:rPr>
                  <w:rStyle w:val="InternetLink"/>
                </w:rPr>
                <w:t>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w:t>
              </w:r>
            </w:hyperlink>
            <w:hyperlink w:anchor="i3dcaff8b775f4961b3cce1e78c4d305a_7">
              <w:r>
                <w:rPr>
                  <w:rStyle w:val="InternetLink"/>
                </w:rPr>
                <w:t>    </w:t>
              </w:r>
            </w:hyperlink>
            <w:hyperlink w:anchor="i3dcaff8b775f4961b3cce1e78c4d305a_7">
              <w:r>
                <w:rPr>
                  <w:rStyle w:val="InternetLink"/>
                </w:rPr>
                <w:t>Term</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6.2</w:t>
              </w:r>
            </w:hyperlink>
            <w:hyperlink w:anchor="i3dcaff8b775f4961b3cce1e78c4d305a_7">
              <w:r>
                <w:rPr>
                  <w:rStyle w:val="InternetLink"/>
                </w:rPr>
                <w:t>    </w:t>
              </w:r>
            </w:hyperlink>
            <w:hyperlink w:anchor="i3dcaff8b775f4961b3cce1e78c4d305a_7">
              <w:r>
                <w:rPr>
                  <w:rStyle w:val="InternetLink"/>
                </w:rPr>
                <w:t>Stock Split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6.3</w:t>
              </w:r>
            </w:hyperlink>
            <w:hyperlink w:anchor="i3dcaff8b775f4961b3cce1e78c4d305a_7">
              <w:r>
                <w:rPr>
                  <w:rStyle w:val="InternetLink"/>
                </w:rPr>
                <w:t>    </w:t>
              </w:r>
            </w:hyperlink>
            <w:hyperlink w:anchor="i3dcaff8b775f4961b3cce1e78c4d305a_7">
              <w:r>
                <w:rPr>
                  <w:rStyle w:val="InternetLink"/>
                </w:rPr>
                <w:t>Ownership</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6.4</w:t>
              </w:r>
            </w:hyperlink>
            <w:hyperlink w:anchor="i3dcaff8b775f4961b3cce1e78c4d305a_7">
              <w:r>
                <w:rPr>
                  <w:rStyle w:val="InternetLink"/>
                </w:rPr>
                <w:t>    </w:t>
              </w:r>
            </w:hyperlink>
            <w:hyperlink w:anchor="i3dcaff8b775f4961b3cce1e78c4d305a_7">
              <w:r>
                <w:rPr>
                  <w:rStyle w:val="InternetLink"/>
                </w:rPr>
                <w:t>Dispute Resolution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6.5</w:t>
              </w:r>
            </w:hyperlink>
            <w:hyperlink w:anchor="i3dcaff8b775f4961b3cce1e78c4d305a_7">
              <w:r>
                <w:rPr>
                  <w:rStyle w:val="InternetLink"/>
                </w:rPr>
                <w:t>    </w:t>
              </w:r>
            </w:hyperlink>
            <w:hyperlink w:anchor="i3dcaff8b775f4961b3cce1e78c4d305a_7">
              <w:r>
                <w:rPr>
                  <w:rStyle w:val="InternetLink"/>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6.6</w:t>
              </w:r>
            </w:hyperlink>
            <w:hyperlink w:anchor="i3dcaff8b775f4961b3cce1e78c4d305a_7">
              <w:r>
                <w:rPr>
                  <w:rStyle w:val="InternetLink"/>
                </w:rPr>
                <w:t>    </w:t>
              </w:r>
            </w:hyperlink>
            <w:hyperlink w:anchor="i3dcaff8b775f4961b3cce1e78c4d305a_7">
              <w:r>
                <w:rPr>
                  <w:rStyle w:val="InternetLink"/>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10</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6.7</w:t>
              </w:r>
            </w:hyperlink>
            <w:hyperlink w:anchor="i3dcaff8b775f4961b3cce1e78c4d305a_7">
              <w:r>
                <w:rPr>
                  <w:rStyle w:val="InternetLink"/>
                </w:rPr>
                <w:t>    </w:t>
              </w:r>
            </w:hyperlink>
            <w:hyperlink w:anchor="i3dcaff8b775f4961b3cce1e78c4d305a_7">
              <w:r>
                <w:rPr>
                  <w:rStyle w:val="InternetLink"/>
                </w:rPr>
                <w:t>Delays or Omissions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10</w:t>
              </w:r>
            </w:hyperlink>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6.8</w:t>
              </w:r>
            </w:hyperlink>
            <w:hyperlink w:anchor="i3dcaff8b775f4961b3cce1e78c4d305a_7">
              <w:r>
                <w:rPr>
                  <w:rStyle w:val="InternetLink"/>
                </w:rPr>
                <w:t>    </w:t>
              </w:r>
            </w:hyperlink>
            <w:hyperlink w:anchor="i3dcaff8b775f4961b3cce1e78c4d305a_7">
              <w:r>
                <w:rPr>
                  <w:rStyle w:val="InternetLink"/>
                </w:rPr>
                <w:t>Amendment; Waiver and 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10</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306705"/>
                <wp:effectExtent l="0" t="0" r="0" b="0"/>
                <wp:wrapNone/>
                <wp:docPr id="228" name="Frame22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v:rect>
            </w:pict>
          </mc:Fallback>
        </mc:AlternateContent>
      </w:r>
    </w:p>
    <w:tbl>
      <w:tblPr>
        <w:tblW w:w="4171" w:type="dxa"/>
        <w:jc w:val="left"/>
        <w:tblInd w:w="0" w:type="dxa"/>
        <w:tblCellMar>
          <w:top w:w="28" w:type="dxa"/>
          <w:left w:w="28" w:type="dxa"/>
          <w:bottom w:w="28" w:type="dxa"/>
          <w:right w:w="28" w:type="dxa"/>
        </w:tblCellMar>
      </w:tblPr>
      <w:tblGrid>
        <w:gridCol w:w="1369"/>
        <w:gridCol w:w="1205"/>
        <w:gridCol w:w="1206"/>
        <w:gridCol w:w="114"/>
        <w:gridCol w:w="114"/>
        <w:gridCol w:w="163"/>
      </w:tblGrid>
      <w:tr>
        <w:trPr/>
        <w:tc>
          <w:tcPr>
            <w:tcW w:w="1369"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6.9</w:t>
              </w:r>
            </w:hyperlink>
            <w:hyperlink w:anchor="i3dcaff8b775f4961b3cce1e78c4d305a_7">
              <w:r>
                <w:rPr>
                  <w:rStyle w:val="InternetLink"/>
                </w:rPr>
                <w:t>    </w:t>
              </w:r>
            </w:hyperlink>
            <w:hyperlink w:anchor="i3dcaff8b775f4961b3cce1e78c4d305a_7">
              <w:r>
                <w:rPr>
                  <w:rStyle w:val="InternetLink"/>
                </w:rPr>
                <w:t>Assignment of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11</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6.10</w:t>
              </w:r>
            </w:hyperlink>
            <w:hyperlink w:anchor="i3dcaff8b775f4961b3cce1e78c4d305a_7">
              <w:r>
                <w:rPr>
                  <w:rStyle w:val="InternetLink"/>
                </w:rPr>
                <w:t>    </w:t>
              </w:r>
            </w:hyperlink>
            <w:hyperlink w:anchor="i3dcaff8b775f4961b3cce1e78c4d305a_7">
              <w:r>
                <w:rPr>
                  <w:rStyle w:val="InternetLink"/>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6.11</w:t>
              </w:r>
            </w:hyperlink>
            <w:hyperlink w:anchor="i3dcaff8b775f4961b3cce1e78c4d305a_7">
              <w:r>
                <w:rPr>
                  <w:rStyle w:val="InternetLink"/>
                </w:rPr>
                <w:t>    </w:t>
              </w:r>
            </w:hyperlink>
            <w:hyperlink w:anchor="i3dcaff8b775f4961b3cce1e78c4d305a_7">
              <w:r>
                <w:rPr>
                  <w:rStyle w:val="InternetLink"/>
                </w:rPr>
                <w:t>Additional Investors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6.12</w:t>
              </w:r>
            </w:hyperlink>
            <w:hyperlink w:anchor="i3dcaff8b775f4961b3cce1e78c4d305a_7">
              <w:r>
                <w:rPr>
                  <w:rStyle w:val="InternetLink"/>
                </w:rPr>
                <w:t>    </w:t>
              </w:r>
            </w:hyperlink>
            <w:hyperlink w:anchor="i3dcaff8b775f4961b3cce1e78c4d305a_7">
              <w:r>
                <w:rPr>
                  <w:rStyle w:val="InternetLink"/>
                </w:rPr>
                <w:t>Governing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6.13</w:t>
              </w:r>
            </w:hyperlink>
            <w:hyperlink w:anchor="i3dcaff8b775f4961b3cce1e78c4d305a_7">
              <w:r>
                <w:rPr>
                  <w:rStyle w:val="InternetLink"/>
                </w:rPr>
                <w:t>    </w:t>
              </w:r>
            </w:hyperlink>
            <w:hyperlink w:anchor="i3dcaff8b775f4961b3cce1e78c4d305a_7">
              <w:r>
                <w:rPr>
                  <w:rStyle w:val="InternetLink"/>
                </w:rPr>
                <w:t>Titles and Subtitles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6.14</w:t>
              </w:r>
            </w:hyperlink>
            <w:hyperlink w:anchor="i3dcaff8b775f4961b3cce1e78c4d305a_7">
              <w:r>
                <w:rPr>
                  <w:rStyle w:val="InternetLink"/>
                </w:rPr>
                <w:t>    </w:t>
              </w:r>
            </w:hyperlink>
            <w:hyperlink w:anchor="i3dcaff8b775f4961b3cce1e78c4d305a_7">
              <w:r>
                <w:rPr>
                  <w:rStyle w:val="InternetLink"/>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6.15</w:t>
              </w:r>
            </w:hyperlink>
            <w:hyperlink w:anchor="i3dcaff8b775f4961b3cce1e78c4d305a_7">
              <w:r>
                <w:rPr>
                  <w:rStyle w:val="InternetLink"/>
                </w:rPr>
                <w:t>    </w:t>
              </w:r>
            </w:hyperlink>
            <w:hyperlink w:anchor="i3dcaff8b775f4961b3cce1e78c4d305a_7">
              <w:r>
                <w:rPr>
                  <w:rStyle w:val="InternetLink"/>
                </w:rPr>
                <w:t>Aggregation of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6.16</w:t>
              </w:r>
            </w:hyperlink>
            <w:hyperlink w:anchor="i3dcaff8b775f4961b3cce1e78c4d305a_7">
              <w:r>
                <w:rPr>
                  <w:rStyle w:val="InternetLink"/>
                </w:rPr>
                <w:t>    </w:t>
              </w:r>
            </w:hyperlink>
            <w:hyperlink w:anchor="i3dcaff8b775f4961b3cce1e78c4d305a_7">
              <w:r>
                <w:rPr>
                  <w:rStyle w:val="InternetLink"/>
                </w:rPr>
                <w:t>Specific Performance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6.17</w:t>
              </w:r>
            </w:hyperlink>
            <w:hyperlink w:anchor="i3dcaff8b775f4961b3cce1e78c4d305a_7">
              <w:r>
                <w:rPr>
                  <w:rStyle w:val="InternetLink"/>
                </w:rPr>
                <w:t>    </w:t>
              </w:r>
            </w:hyperlink>
            <w:hyperlink w:anchor="i3dcaff8b775f4961b3cce1e78c4d305a_7">
              <w:r>
                <w:rPr>
                  <w:rStyle w:val="InternetLink"/>
                </w:rPr>
                <w:t>Additional Key Holders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6.18</w:t>
              </w:r>
            </w:hyperlink>
            <w:hyperlink w:anchor="i3dcaff8b775f4961b3cce1e78c4d305a_7">
              <w:r>
                <w:rPr>
                  <w:rStyle w:val="InternetLink"/>
                </w:rPr>
                <w:t>    </w:t>
              </w:r>
            </w:hyperlink>
            <w:hyperlink w:anchor="i3dcaff8b775f4961b3cce1e78c4d305a_7">
              <w:r>
                <w:rPr>
                  <w:rStyle w:val="InternetLink"/>
                </w:rPr>
                <w:t>Consent of Spouse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13</w:t>
              </w:r>
            </w:hyperlink>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Pr>
                <w:t>6.19</w:t>
              </w:r>
            </w:hyperlink>
            <w:hyperlink w:anchor="i3dcaff8b775f4961b3cce1e78c4d305a_7">
              <w:r>
                <w:rPr>
                  <w:rStyle w:val="InternetLink"/>
                </w:rPr>
                <w:t>    </w:t>
              </w:r>
            </w:hyperlink>
            <w:hyperlink w:anchor="i3dcaff8b775f4961b3cce1e78c4d305a_7">
              <w:r>
                <w:rPr>
                  <w:rStyle w:val="InternetLink"/>
                </w:rPr>
                <w:t>No Presumption against Drafter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pPr>
            <w:hyperlink w:anchor="i3dcaff8b775f4961b3cce1e78c4d305a_7">
              <w:r>
                <w:rPr>
                  <w:rStyle w:val="InternetLink"/>
                  <w:rFonts w:ascii="Times New Roman;sans-serif" w:hAnsi="Times New Roman;sans-serif"/>
                  <w:b w:val="false"/>
                  <w:strike w:val="false"/>
                  <w:dstrike w:val="false"/>
                  <w:color w:val="000000"/>
                  <w:sz w:val="24"/>
                  <w:u w:val="none"/>
                  <w:effect w:val="none"/>
                </w:rPr>
                <w:t>13</w:t>
              </w:r>
            </w:hyperlink>
          </w:p>
        </w:tc>
      </w:tr>
    </w:tbl>
    <w:p>
      <w:pPr>
        <w:pStyle w:val="TextBody"/>
        <w:spacing w:before="0" w:after="24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Schedule A    -    Investors</w:t>
        <w:br/>
        <w:t>Schedule B    -    Key Holders</w:t>
        <w:br/>
        <w:t>Exhibit A    -    Consent of Spouse</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306705"/>
                <wp:effectExtent l="0" t="0" r="0" b="0"/>
                <wp:wrapNone/>
                <wp:docPr id="229" name="Frame22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RIGHT OF FIRST REFUSAL</w:t>
        <w:br/>
        <w:t>AND CO-SALE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THIS AMENDED AND RESTATED RIGHT OF FIRST REFUSAL AND CO-SALE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as of the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the Investors (as defined below)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and the Key Holders (as defined below) listed on </w:t>
      </w:r>
      <w:r>
        <w:rPr>
          <w:rFonts w:ascii="Times New Roman;sans-serif" w:hAnsi="Times New Roman;sans-serif"/>
          <w:b w:val="false"/>
          <w:color w:val="000000"/>
          <w:sz w:val="24"/>
          <w:u w:val="single"/>
        </w:rPr>
        <w:t>Schedule B</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each Key Holder is the beneficial owner of the number of shares of Capital Stock (which may be subject to vesting), or of options to purchase Common Stock, set forth opposite the name of such Key Holder on </w:t>
      </w:r>
      <w:r>
        <w:rPr>
          <w:rFonts w:ascii="Times New Roman;sans-serif" w:hAnsi="Times New Roman;sans-serif"/>
          <w:b w:val="false"/>
          <w:color w:val="000000"/>
          <w:sz w:val="24"/>
          <w:u w:val="single"/>
        </w:rPr>
        <w:t>Schedule B</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the Key Holders and certain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previously entered into a Right of First Refusal and Co-Sale Agreement, dated April 9, 2019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in connection with the purchase of shares of Series A-2 Preferred Stock of the Company, par value $0.0001 per share (the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Key Holders, the Existing Investors and the Company desire to induce certain of the Investors to purchase shares of Series B Preferred Stock of the Company, par value $0.0001 per share (“Series B Preferred Stock”), pursuant to that certain Series B Preferred Stock Purchase Agreement dated as of the date hereof by and among the Company and such Investors, as amended from time to time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by amending and restating the Prior Agreement in its entirety to provide the Investors with the rights and privileges as set forth herein.</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the Company, the Key Holders, and the Investors, including certain of the Existing Investors each hereby agree that the Prior Agreement is hereby amended and restated in its entirety by this Agreement, and the parties hereto further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any specified Investor, any other Investor who directly or indirectly, controls, is controlled by or is under common control with such Investor, including, without limitation, any general partner, managing member, officer, director or trustee of such Investor, or any venture capital fund or registered investment company now or hereafter existing which is controlled by one or more general partners, managing members or investment advisers of, or shares the same management company or investment adviser with, such Investor.</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color w:val="000000"/>
          <w:sz w:val="24"/>
        </w:rPr>
        <w:t>Board of Directors</w:t>
      </w:r>
      <w:r>
        <w:rPr>
          <w:color w:val="000000"/>
        </w:rPr>
        <w:t xml:space="preserve">” </w:t>
      </w:r>
      <w:r>
        <w:rPr>
          <w:rFonts w:ascii="Times New Roman;sans-serif" w:hAnsi="Times New Roman;sans-serif"/>
          <w:b w:val="false"/>
          <w:color w:val="000000"/>
          <w:sz w:val="24"/>
        </w:rPr>
        <w:t>means the board of directors of the Company.</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color w:val="000000"/>
          <w:sz w:val="24"/>
        </w:rPr>
        <w:t>Capital Stock</w:t>
      </w:r>
      <w:r>
        <w:rPr>
          <w:color w:val="000000"/>
        </w:rPr>
        <w:t xml:space="preserve">” </w:t>
      </w:r>
      <w:r>
        <w:rPr>
          <w:rFonts w:ascii="Times New Roman;sans-serif" w:hAnsi="Times New Roman;sans-serif"/>
          <w:b w:val="false"/>
          <w:color w:val="000000"/>
          <w:sz w:val="24"/>
        </w:rPr>
        <w:t>means (a) shares of Common Stock and Preferred Stock (whether now outstanding or hereafter issued in any context), (b) shares of Common Stock issued or issuable upon conversion of Preferred Stock, and (c) shares of Common Stock issued or issuable upon exercise or conversion, as applicable, of stock options, warrants or other convertible securities of the Company, in each case now owned or subsequently acquired by any Key Holder, any Investor, or their respective successors or permitted transferees or assigns. For purposes of the number of shares of Capital Stock held by an Investor or Key Holder (or any other calculation based thereon), all shares of Preferred Stock shall be deemed to have been converted into Common Stock at the then-applicable conversion ratio.</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color w:val="000000"/>
        </w:rPr>
        <w:t>“</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 xml:space="preserve">means a transaction or series of related transactions in which a person, or a group of related persons, acquires from stockholders of the Company </w:t>
      </w:r>
      <w:r>
        <w:br w:type="page"/>
      </w:r>
    </w:p>
    <w:p>
      <w:pPr>
        <w:pStyle w:val="TextBody"/>
        <w:spacing w:before="0" w:after="0"/>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representing more than fifty percent (50%) of the outstanding voting power of the Company.</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shares of Common Stock of the Company, par value $0.0001 per share.</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color w:val="000000"/>
          <w:sz w:val="24"/>
        </w:rPr>
        <w:t>Deemed Liquidation Event</w:t>
      </w:r>
      <w:r>
        <w:rPr>
          <w:color w:val="000000"/>
        </w:rPr>
        <w:t xml:space="preserve">” </w:t>
      </w:r>
      <w:r>
        <w:rPr>
          <w:rFonts w:ascii="Times New Roman;sans-serif" w:hAnsi="Times New Roman;sans-serif"/>
          <w:b w:val="false"/>
          <w:color w:val="000000"/>
          <w:sz w:val="24"/>
        </w:rPr>
        <w:t>shall have the meaning ascribed to such term in the Restated Certificate.</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color w:val="000000"/>
          <w:sz w:val="24"/>
        </w:rPr>
        <w:t>Investors</w:t>
      </w:r>
      <w:r>
        <w:rPr>
          <w:color w:val="000000"/>
        </w:rPr>
        <w:t xml:space="preserve">” </w:t>
      </w:r>
      <w:r>
        <w:rPr>
          <w:rFonts w:ascii="Times New Roman;sans-serif" w:hAnsi="Times New Roman;sans-serif"/>
          <w:b w:val="false"/>
          <w:color w:val="000000"/>
          <w:sz w:val="24"/>
        </w:rPr>
        <w:t xml:space="preserve">means the persons named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each person to whom the rights of an Investor are assigned pursuant to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 xml:space="preserve">, each person who hereafter becomes a signatory to this Agreement pursuant to </w:t>
      </w:r>
      <w:r>
        <w:rPr>
          <w:rFonts w:ascii="Times New Roman;sans-serif" w:hAnsi="Times New Roman;sans-serif"/>
          <w:b w:val="false"/>
          <w:color w:val="000000"/>
          <w:sz w:val="24"/>
          <w:u w:val="single"/>
        </w:rPr>
        <w:t>Subsection 6.11</w:t>
      </w:r>
      <w:r>
        <w:rPr>
          <w:color w:val="000000"/>
        </w:rPr>
        <w:t xml:space="preserve"> </w:t>
      </w:r>
      <w:r>
        <w:rPr>
          <w:rFonts w:ascii="Times New Roman;sans-serif" w:hAnsi="Times New Roman;sans-serif"/>
          <w:b w:val="false"/>
          <w:color w:val="000000"/>
          <w:sz w:val="24"/>
        </w:rPr>
        <w:t>and any one of them, as the context may require.</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color w:val="000000"/>
          <w:sz w:val="24"/>
        </w:rPr>
        <w:t>Key Holders</w:t>
      </w:r>
      <w:r>
        <w:rPr>
          <w:color w:val="000000"/>
        </w:rPr>
        <w:t xml:space="preserve">” </w:t>
      </w:r>
      <w:r>
        <w:rPr>
          <w:rFonts w:ascii="Times New Roman;sans-serif" w:hAnsi="Times New Roman;sans-serif"/>
          <w:b w:val="false"/>
          <w:color w:val="000000"/>
          <w:sz w:val="24"/>
        </w:rPr>
        <w:t xml:space="preserve">means the persons named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hereto, each person to whom the rights of a Key Holder are assigned pursuant to </w:t>
      </w:r>
      <w:r>
        <w:rPr>
          <w:rFonts w:ascii="Times New Roman;sans-serif" w:hAnsi="Times New Roman;sans-serif"/>
          <w:b w:val="false"/>
          <w:color w:val="000000"/>
          <w:sz w:val="24"/>
          <w:u w:val="single"/>
        </w:rPr>
        <w:t>Subsection 3.1</w:t>
      </w:r>
      <w:r>
        <w:rPr>
          <w:rFonts w:ascii="Times New Roman;sans-serif" w:hAnsi="Times New Roman;sans-serif"/>
          <w:b w:val="false"/>
          <w:color w:val="000000"/>
          <w:sz w:val="24"/>
        </w:rPr>
        <w:t xml:space="preserve">, each person who hereafter becomes a signatory to this Agreement pursuant to </w:t>
      </w:r>
      <w:r>
        <w:rPr>
          <w:rFonts w:ascii="Times New Roman;sans-serif" w:hAnsi="Times New Roman;sans-serif"/>
          <w:b w:val="false"/>
          <w:color w:val="000000"/>
          <w:sz w:val="24"/>
          <w:u w:val="single"/>
        </w:rPr>
        <w:t>Subsection 6.9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6.17</w:t>
      </w:r>
      <w:r>
        <w:rPr>
          <w:color w:val="000000"/>
        </w:rPr>
        <w:t xml:space="preserve"> </w:t>
      </w:r>
      <w:r>
        <w:rPr>
          <w:rFonts w:ascii="Times New Roman;sans-serif" w:hAnsi="Times New Roman;sans-serif"/>
          <w:b w:val="false"/>
          <w:color w:val="000000"/>
          <w:sz w:val="24"/>
        </w:rPr>
        <w:t>and any one of them, as the context may require.</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color w:val="000000"/>
          <w:sz w:val="24"/>
        </w:rPr>
        <w:t>Preferred Stock</w:t>
      </w:r>
      <w:r>
        <w:rPr>
          <w:color w:val="000000"/>
        </w:rPr>
        <w:t xml:space="preserve">” </w:t>
      </w:r>
      <w:r>
        <w:rPr>
          <w:rFonts w:ascii="Times New Roman;sans-serif" w:hAnsi="Times New Roman;sans-serif"/>
          <w:b w:val="false"/>
          <w:color w:val="000000"/>
          <w:sz w:val="24"/>
        </w:rPr>
        <w:t>means collectively, all shares of Series A-1 Preferred Stock, Series A-2 Preferred Stock and Series B Preferred Stock.</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color w:val="000000"/>
          <w:sz w:val="24"/>
        </w:rPr>
        <w:t>Proposed Key Holder Transfer</w:t>
      </w:r>
      <w:r>
        <w:rPr>
          <w:color w:val="000000"/>
        </w:rPr>
        <w:t xml:space="preserve">” </w:t>
      </w:r>
      <w:r>
        <w:rPr>
          <w:rFonts w:ascii="Times New Roman;sans-serif" w:hAnsi="Times New Roman;sans-serif"/>
          <w:b w:val="false"/>
          <w:color w:val="000000"/>
          <w:sz w:val="24"/>
        </w:rPr>
        <w:t>means any assignment, sale, offer to sell, pledge, mortgage, hypothecation, encumbrance, disposition of or any other like transfer or encumbering of any Transfer Stock (or any interest therein) proposed by any of the Key Holders.</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color w:val="000000"/>
          <w:sz w:val="24"/>
        </w:rPr>
        <w:t>Proposed Transfer Notice</w:t>
      </w:r>
      <w:r>
        <w:rPr>
          <w:color w:val="000000"/>
        </w:rPr>
        <w:t xml:space="preserve">” </w:t>
      </w:r>
      <w:r>
        <w:rPr>
          <w:rFonts w:ascii="Times New Roman;sans-serif" w:hAnsi="Times New Roman;sans-serif"/>
          <w:b w:val="false"/>
          <w:color w:val="000000"/>
          <w:sz w:val="24"/>
        </w:rPr>
        <w:t>means written notice from a Key Holder setting forth the terms and conditions of a Proposed Key Holder Transfer.</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color w:val="000000"/>
          <w:sz w:val="24"/>
        </w:rPr>
        <w:t>Prospective Transferee</w:t>
      </w:r>
      <w:r>
        <w:rPr>
          <w:color w:val="000000"/>
        </w:rPr>
        <w:t xml:space="preserve">” </w:t>
      </w:r>
      <w:r>
        <w:rPr>
          <w:rFonts w:ascii="Times New Roman;sans-serif" w:hAnsi="Times New Roman;sans-serif"/>
          <w:b w:val="false"/>
          <w:color w:val="000000"/>
          <w:sz w:val="24"/>
        </w:rPr>
        <w:t>means any person to whom a Key Holder proposes to make a Proposed Key Holder Transfer.</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color w:val="000000"/>
          <w:sz w:val="24"/>
        </w:rPr>
        <w:t>Restated Certificate</w:t>
      </w:r>
      <w:r>
        <w:rPr>
          <w:color w:val="000000"/>
        </w:rPr>
        <w:t xml:space="preserve">” </w:t>
      </w:r>
      <w:r>
        <w:rPr>
          <w:rFonts w:ascii="Times New Roman;sans-serif" w:hAnsi="Times New Roman;sans-serif"/>
          <w:b w:val="false"/>
          <w:color w:val="000000"/>
          <w:sz w:val="24"/>
        </w:rPr>
        <w:t>means the Company’s Amended and Restated Certificate of Incorporation, as amended and/or restated from time to time.</w:t>
      </w:r>
    </w:p>
    <w:p>
      <w:pPr>
        <w:pStyle w:val="TextBody"/>
        <w:spacing w:lineRule="auto" w:line="240" w:before="0" w:after="240"/>
        <w:ind w:left="0" w:right="0" w:firstLine="144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color w:val="000000"/>
          <w:sz w:val="24"/>
        </w:rPr>
        <w:t>Right of Co-Sale</w:t>
      </w:r>
      <w:r>
        <w:rPr>
          <w:color w:val="000000"/>
        </w:rPr>
        <w:t xml:space="preserve">” </w:t>
      </w:r>
      <w:r>
        <w:rPr>
          <w:rFonts w:ascii="Times New Roman;sans-serif" w:hAnsi="Times New Roman;sans-serif"/>
          <w:b w:val="false"/>
          <w:color w:val="000000"/>
          <w:sz w:val="24"/>
        </w:rPr>
        <w:t>means the right, but not an obligation, of an Investor to participate in a Proposed Key Holder Transfer on the terms and conditions specified in the Proposed Transfer Notice.</w:t>
      </w:r>
    </w:p>
    <w:p>
      <w:pPr>
        <w:pStyle w:val="TextBody"/>
        <w:spacing w:lineRule="auto" w:line="240" w:before="0" w:after="240"/>
        <w:ind w:left="0" w:right="0" w:firstLine="144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color w:val="000000"/>
          <w:sz w:val="24"/>
        </w:rPr>
        <w:t>Right of First Refusal</w:t>
      </w:r>
      <w:r>
        <w:rPr>
          <w:color w:val="000000"/>
        </w:rPr>
        <w:t xml:space="preserve">” </w:t>
      </w:r>
      <w:r>
        <w:rPr>
          <w:rFonts w:ascii="Times New Roman;sans-serif" w:hAnsi="Times New Roman;sans-serif"/>
          <w:b w:val="false"/>
          <w:color w:val="000000"/>
          <w:sz w:val="24"/>
        </w:rPr>
        <w:t>means the right, but not an obligation, of each Investor, to purchase up to its pro rata portion (based upon the total number of shares of Capital Stock then held by all Investors) of the Transfer Stock with respect to a Proposed Key Holder Transfer, on the terms and conditions specified in the Proposed Transfer Notice.</w:t>
      </w:r>
    </w:p>
    <w:p>
      <w:pPr>
        <w:pStyle w:val="TextBody"/>
        <w:spacing w:lineRule="auto" w:line="240" w:before="0" w:after="240"/>
        <w:ind w:left="0" w:right="0" w:firstLine="144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color w:val="000000"/>
          <w:sz w:val="24"/>
        </w:rPr>
        <w:t>Secondary Refusal Right</w:t>
      </w:r>
      <w:r>
        <w:rPr>
          <w:color w:val="000000"/>
        </w:rPr>
        <w:t xml:space="preserve">” </w:t>
      </w:r>
      <w:r>
        <w:rPr>
          <w:rFonts w:ascii="Times New Roman;sans-serif" w:hAnsi="Times New Roman;sans-serif"/>
          <w:b w:val="false"/>
          <w:color w:val="000000"/>
          <w:sz w:val="24"/>
        </w:rPr>
        <w:t>means the right, but not an obligation, of the Company to purchase any Transfer Stock not purchased pursuant to the Right of First Refusal on the terms and conditions specified in the Proposed Transfer Notice.</w:t>
      </w:r>
    </w:p>
    <w:p>
      <w:pPr>
        <w:pStyle w:val="TextBody"/>
        <w:spacing w:lineRule="auto" w:line="240" w:before="0" w:after="240"/>
        <w:ind w:left="0" w:right="0" w:firstLine="1440"/>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color w:val="000000"/>
          <w:sz w:val="24"/>
        </w:rPr>
        <w:t>Series A-1 Preferred Stock</w:t>
      </w:r>
      <w:r>
        <w:rPr>
          <w:color w:val="000000"/>
        </w:rPr>
        <w:t xml:space="preserve">” </w:t>
      </w:r>
      <w:r>
        <w:rPr>
          <w:rFonts w:ascii="Times New Roman;sans-serif" w:hAnsi="Times New Roman;sans-serif"/>
          <w:b w:val="false"/>
          <w:color w:val="000000"/>
          <w:sz w:val="24"/>
        </w:rPr>
        <w:t>means the Series A-1 Preferred Stock of the Company, par value $0.0001 per share.</w:t>
      </w:r>
    </w:p>
    <w:p>
      <w:pPr>
        <w:pStyle w:val="TextBody"/>
        <w:spacing w:lineRule="auto" w:line="240" w:before="0" w:after="240"/>
        <w:ind w:left="0" w:right="0" w:firstLine="1440"/>
        <w:jc w:val="both"/>
        <w:rPr/>
      </w:pPr>
      <w:r>
        <w:rPr>
          <w:rFonts w:ascii="Times New Roman;sans-serif" w:hAnsi="Times New Roman;sans-serif"/>
          <w:b w:val="false"/>
          <w:color w:val="000000"/>
          <w:sz w:val="24"/>
        </w:rPr>
        <w:t>1.18</w:t>
      </w:r>
      <w:r>
        <w:rPr>
          <w:color w:val="000000"/>
        </w:rPr>
        <w:t>“</w:t>
      </w:r>
      <w:r>
        <w:rPr>
          <w:rFonts w:ascii="Times New Roman;sans-serif" w:hAnsi="Times New Roman;sans-serif"/>
          <w:b/>
          <w:color w:val="000000"/>
          <w:sz w:val="24"/>
        </w:rPr>
        <w:t>Transfer Stock</w:t>
      </w:r>
      <w:r>
        <w:rPr>
          <w:color w:val="000000"/>
        </w:rPr>
        <w:t xml:space="preserve">” </w:t>
      </w:r>
      <w:r>
        <w:rPr>
          <w:rFonts w:ascii="Times New Roman;sans-serif" w:hAnsi="Times New Roman;sans-serif"/>
          <w:b w:val="false"/>
          <w:color w:val="000000"/>
          <w:sz w:val="24"/>
        </w:rPr>
        <w:t xml:space="preserve">means shares of Capital Stock owned by a Key Holder, or issued to a Key Holder after the date hereof (including, without limitation, in connection with any stock split, stock dividend, recapitalization, reorganization, or the like), but does not include </w:t>
      </w:r>
      <w:r>
        <w:br w:type="page"/>
      </w:r>
    </w:p>
    <w:p>
      <w:pPr>
        <w:pStyle w:val="TextBody"/>
        <w:spacing w:before="0" w:after="0"/>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350520"/>
                <wp:effectExtent l="0" t="0" r="0" b="0"/>
                <wp:wrapNone/>
                <wp:docPr id="231" name="Frame23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shares of Preferred Stock or of Common Stock that are issued or issuable upon conversion of Preferred Stock.</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Agreement Among the Company, the Investors and the Key Holders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Right of First Refusal</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xml:space="preserve">. Subject to the terms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below, each Key Holder hereby unconditionally and irrevocably grants to the Investors a Right of First Refusal to purchase all or any portion of Transfer Stock that such Key Holder may propose to transfer in a Proposed Key Holder Transfer, at the same price and on the same terms and conditions as those offered to the Prospective Transferee.</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Each Key Holder proposing to make a Proposed Key Holder Transfer must deliver a Proposed Transfer Notice to the Company and each Investor not later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prior to the consummation of such Proposed Key Holder Transfer. Such Proposed Transfer Notice shall contain the material terms and conditions (including price and form of consideration) of the Proposed Key Holder Transfer, a statement including the name and, if different, the ultimate beneficial owner of the Prospective Transferee, and the intended date of the Proposed Key Holder Transfer. To exercise its Right of First Refusal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an Investor must deliver notice to the selling Key Holder and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delivery of the Proposed Transfer Notice (the “</w:t>
      </w:r>
      <w:r>
        <w:rPr>
          <w:rFonts w:ascii="Times New Roman;sans-serif" w:hAnsi="Times New Roman;sans-serif"/>
          <w:b/>
          <w:color w:val="000000"/>
          <w:sz w:val="24"/>
        </w:rPr>
        <w:t>Notice Period</w:t>
      </w:r>
      <w:r>
        <w:rPr>
          <w:color w:val="000000"/>
        </w:rPr>
        <w:t>”</w:t>
      </w:r>
      <w:r>
        <w:rPr>
          <w:rFonts w:ascii="Times New Roman;sans-serif" w:hAnsi="Times New Roman;sans-serif"/>
          <w:b w:val="false"/>
          <w:color w:val="000000"/>
          <w:sz w:val="24"/>
        </w:rPr>
        <w:t xml:space="preserve">) specifying the number of shares of Transfer Stock to be purchased by said Investor. In the event of a 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w:t>
      </w:r>
      <w:r>
        <w:rPr>
          <w:rFonts w:ascii="Times New Roman;sans-serif" w:hAnsi="Times New Roman;sans-serif"/>
          <w:b w:val="false"/>
          <w:color w:val="000000"/>
          <w:sz w:val="24"/>
          <w:u w:val="single"/>
        </w:rPr>
        <w:t>Subsection 2.1(a)</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Undersubscription of Transfer Stock</w:t>
      </w:r>
      <w:r>
        <w:rPr>
          <w:rFonts w:ascii="Times New Roman;sans-serif" w:hAnsi="Times New Roman;sans-serif"/>
          <w:b w:val="false"/>
          <w:color w:val="000000"/>
          <w:sz w:val="24"/>
        </w:rPr>
        <w:t xml:space="preserve">. If options to purchase have been exercised by the Investors pursuant to Subsection 2.1(b) with respect to some but not all of the Transfer Stock by the end of the Notice Period, then the Company shall,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Notice Period, send written notice to those Investors who fully exercised their Right of First Refusal within the initial Notice Period (the “</w:t>
      </w:r>
      <w:r>
        <w:rPr>
          <w:rFonts w:ascii="Times New Roman;sans-serif" w:hAnsi="Times New Roman;sans-serif"/>
          <w:b/>
          <w:color w:val="000000"/>
          <w:sz w:val="24"/>
        </w:rPr>
        <w:t>Exercising Investors</w:t>
      </w:r>
      <w:r>
        <w:rPr>
          <w:color w:val="000000"/>
        </w:rPr>
        <w:t>”</w:t>
      </w:r>
      <w:r>
        <w:rPr>
          <w:rFonts w:ascii="Times New Roman;sans-serif" w:hAnsi="Times New Roman;sans-serif"/>
          <w:b w:val="false"/>
          <w:color w:val="000000"/>
          <w:sz w:val="24"/>
        </w:rPr>
        <w:t xml:space="preserve">). Each Exercising Investor shall, subject to the provisions of this </w:t>
      </w:r>
      <w:r>
        <w:rPr>
          <w:rFonts w:ascii="Times New Roman;sans-serif" w:hAnsi="Times New Roman;sans-serif"/>
          <w:b w:val="false"/>
          <w:color w:val="000000"/>
          <w:sz w:val="24"/>
          <w:u w:val="single"/>
        </w:rPr>
        <w:t>Subsection 2.1(c),</w:t>
      </w:r>
      <w:r>
        <w:rPr>
          <w:color w:val="000000"/>
        </w:rPr>
        <w:t xml:space="preserve"> </w:t>
      </w:r>
      <w:r>
        <w:rPr>
          <w:rFonts w:ascii="Times New Roman;sans-serif" w:hAnsi="Times New Roman;sans-serif"/>
          <w:b w:val="false"/>
          <w:color w:val="000000"/>
          <w:sz w:val="24"/>
        </w:rPr>
        <w:t xml:space="preserve">have an additional option to purchase all or any part of the balance of any such remaining unsubscribed shares of Transfer Stock on the terms and conditions set forth in the Proposed Transfer Notice. To exercise such option, an Exercising Investor must deliver notice to the selling Key Holder and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Notice Period (the “</w:t>
      </w:r>
      <w:r>
        <w:rPr>
          <w:rFonts w:ascii="Times New Roman;sans-serif" w:hAnsi="Times New Roman;sans-serif"/>
          <w:b/>
          <w:color w:val="000000"/>
          <w:sz w:val="24"/>
        </w:rPr>
        <w:t>Undersubscription Notice Period</w:t>
      </w:r>
      <w:r>
        <w:rPr>
          <w:color w:val="000000"/>
        </w:rPr>
        <w:t>”</w:t>
      </w:r>
      <w:r>
        <w:rPr>
          <w:rFonts w:ascii="Times New Roman;sans-serif" w:hAnsi="Times New Roman;sans-serif"/>
          <w:b w:val="false"/>
          <w:color w:val="000000"/>
          <w:sz w:val="24"/>
        </w:rPr>
        <w:t xml:space="preserve">). In the event there are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such Exercising Investors that choose to exercise the last-mentioned option for a total number of remaining shares in excess of the number available, the remaining shares available for purchase under this </w:t>
      </w:r>
      <w:r>
        <w:rPr>
          <w:rFonts w:ascii="Times New Roman;sans-serif" w:hAnsi="Times New Roman;sans-serif"/>
          <w:b w:val="false"/>
          <w:color w:val="000000"/>
          <w:sz w:val="24"/>
          <w:u w:val="single"/>
        </w:rPr>
        <w:t>Subsection 2.1(c)</w:t>
      </w:r>
      <w:r>
        <w:rPr>
          <w:color w:val="000000"/>
        </w:rPr>
        <w:t xml:space="preserve"> </w:t>
      </w:r>
      <w:r>
        <w:rPr>
          <w:rFonts w:ascii="Times New Roman;sans-serif" w:hAnsi="Times New Roman;sans-serif"/>
          <w:b w:val="false"/>
          <w:color w:val="000000"/>
          <w:sz w:val="24"/>
        </w:rPr>
        <w:t>shall be allocated to such Exercising Investors pro rata based on the number of shares of Capital Stock such Exercising Investors hold. If the options to purchase the remaining shares are exercised in full by the Exercising Investors, the Company shall immediately notify all of the Exercising Investors and the selling Key Holder of that fact.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Grant of Secondary Refusal Right to Company</w:t>
      </w:r>
      <w:r>
        <w:rPr>
          <w:rFonts w:ascii="Times New Roman;sans-serif" w:hAnsi="Times New Roman;sans-serif"/>
          <w:b w:val="false"/>
          <w:color w:val="000000"/>
          <w:sz w:val="24"/>
        </w:rPr>
        <w:t xml:space="preserve">. Subject to the terms of Section 3 below, each Key Holder hereby unconditionally and irrevocably grants to the Company a Secondary Refusal Right to purchase all or any portion of the Transfer Stock not purchased by the Investors pursuant to the Right of First Refusal pursuant to Subsections 2.1(b) and 2.1(c), as provided in this Subsection 2.1(d). To exercise its Secondary Refusal Right, the Company must deliver a notice to the selling Key Holder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Undersubscription Notice Period (the “</w:t>
      </w:r>
      <w:r>
        <w:rPr>
          <w:rFonts w:ascii="Times New Roman;sans-serif" w:hAnsi="Times New Roman;sans-serif"/>
          <w:b/>
          <w:color w:val="000000"/>
          <w:sz w:val="24"/>
        </w:rPr>
        <w:t>Secondary Exercise Deadline</w:t>
      </w:r>
      <w:r>
        <w:rPr>
          <w:color w:val="000000"/>
        </w:rPr>
        <w:t>”</w:t>
      </w:r>
      <w:r>
        <w:rPr>
          <w:rFonts w:ascii="Times New Roman;sans-serif" w:hAnsi="Times New Roman;sans-serif"/>
          <w:b w:val="false"/>
          <w:color w:val="000000"/>
          <w:sz w:val="24"/>
        </w:rPr>
        <w:t xml:space="preserve">). In the event of a </w:t>
      </w:r>
      <w:r>
        <w:br w:type="page"/>
      </w:r>
    </w:p>
    <w:p>
      <w:pPr>
        <w:pStyle w:val="TextBody"/>
        <w:spacing w:before="0" w:after="0"/>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350520"/>
                <wp:effectExtent l="0" t="0" r="0" b="0"/>
                <wp:wrapNone/>
                <wp:docPr id="232" name="Frame23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w:t>
      </w:r>
      <w:r>
        <w:rPr>
          <w:rFonts w:ascii="Times New Roman;sans-serif" w:hAnsi="Times New Roman;sans-serif"/>
          <w:b w:val="false"/>
          <w:color w:val="000000"/>
          <w:sz w:val="24"/>
          <w:u w:val="single"/>
        </w:rPr>
        <w:t>Subsection 2.1(a)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2.1(c)</w:t>
      </w:r>
      <w:r>
        <w:rPr>
          <w:rFonts w:ascii="Times New Roman;sans-serif" w:hAnsi="Times New Roman;sans-serif"/>
          <w:b w:val="false"/>
          <w:color w:val="000000"/>
          <w:sz w:val="24"/>
        </w:rPr>
        <w:t xml:space="preserve">, and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Consideration; Closing</w:t>
      </w:r>
      <w:r>
        <w:rPr>
          <w:rFonts w:ascii="Times New Roman;sans-serif" w:hAnsi="Times New Roman;sans-serif"/>
          <w:b w:val="false"/>
          <w:color w:val="000000"/>
          <w:sz w:val="24"/>
        </w:rPr>
        <w:t xml:space="preserve">. If the consideration proposed to be paid for the Transfer Stock is in property, services or other non-cash consideration, the fair market value of the consideration shall be as determined in good faith by the Board of Directors. If the Company or any Investor cannot for any reason pay for the Transfer Stock in the same form of non-cash consideration, the Company or such Investor may pay the cash value equivalent thereof, as determined in good faith by the Board of Directors and as set forth in the Proposed Transfer Notice. The closing of the purchase of Transfer Stock by the Company and the Investors shall take place, and all payments from the Company and the Investors shall have been delivered to the selling Key Holder, by the later of (i) the date specified in the Proposed Transfer Notice as the intended date of the Proposed Key Holder Transfer; and (ii)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delivery of the Proposed Transfer Notice.</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Right of Co-Sale</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Exercise of Right</w:t>
      </w:r>
      <w:r>
        <w:rPr>
          <w:rFonts w:ascii="Times New Roman;sans-serif" w:hAnsi="Times New Roman;sans-serif"/>
          <w:b w:val="false"/>
          <w:color w:val="000000"/>
          <w:sz w:val="24"/>
        </w:rPr>
        <w:t xml:space="preserve">. If any Transfer Stock subject to a Proposed Key Holder Transfer is not purchased pursuant to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above and thereafter is to be sold to a Prospective Transferee, each respective Investor may elect to exercise its Right of Co-Sale and participate on a pro rata basis in the Proposed Key Holder Transfer as set forth in </w:t>
      </w:r>
      <w:r>
        <w:rPr>
          <w:rFonts w:ascii="Times New Roman;sans-serif" w:hAnsi="Times New Roman;sans-serif"/>
          <w:b w:val="false"/>
          <w:color w:val="000000"/>
          <w:sz w:val="24"/>
          <w:u w:val="single"/>
        </w:rPr>
        <w:t>Subsection 2.2(b)</w:t>
      </w:r>
      <w:r>
        <w:rPr>
          <w:color w:val="000000"/>
        </w:rPr>
        <w:t xml:space="preserve"> </w:t>
      </w:r>
      <w:r>
        <w:rPr>
          <w:rFonts w:ascii="Times New Roman;sans-serif" w:hAnsi="Times New Roman;sans-serif"/>
          <w:b w:val="false"/>
          <w:color w:val="000000"/>
          <w:sz w:val="24"/>
        </w:rPr>
        <w:t xml:space="preserve">below and, subject to </w:t>
      </w:r>
      <w:r>
        <w:rPr>
          <w:rFonts w:ascii="Times New Roman;sans-serif" w:hAnsi="Times New Roman;sans-serif"/>
          <w:b w:val="false"/>
          <w:color w:val="000000"/>
          <w:sz w:val="24"/>
          <w:u w:val="single"/>
        </w:rPr>
        <w:t>Subsection 2.2(d)</w:t>
      </w:r>
      <w:r>
        <w:rPr>
          <w:rFonts w:ascii="Times New Roman;sans-serif" w:hAnsi="Times New Roman;sans-serif"/>
          <w:b w:val="false"/>
          <w:color w:val="000000"/>
          <w:sz w:val="24"/>
        </w:rPr>
        <w:t>, otherwise on the same terms and conditions specified in the Proposed Transfer Notice. Each Investor who desires to exercise its Right of Co-Sale (each, a “</w:t>
      </w:r>
      <w:r>
        <w:rPr>
          <w:rFonts w:ascii="Times New Roman;sans-serif" w:hAnsi="Times New Roman;sans-serif"/>
          <w:b/>
          <w:color w:val="000000"/>
          <w:sz w:val="24"/>
        </w:rPr>
        <w:t>Participating Investor</w:t>
      </w:r>
      <w:r>
        <w:rPr>
          <w:color w:val="000000"/>
        </w:rPr>
        <w:t>”</w:t>
      </w:r>
      <w:r>
        <w:rPr>
          <w:rFonts w:ascii="Times New Roman;sans-serif" w:hAnsi="Times New Roman;sans-serif"/>
          <w:b w:val="false"/>
          <w:color w:val="000000"/>
          <w:sz w:val="24"/>
        </w:rPr>
        <w:t xml:space="preserve">) must give the selling Key Holder written notice to that effect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delivery of the Secondary Exercise Deadline described above, and upon giving such notice such Participating Investor shall be deemed to have effectively exercised the Right of Co-Sale.</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Shares Includable</w:t>
      </w:r>
      <w:r>
        <w:rPr>
          <w:rFonts w:ascii="Times New Roman;sans-serif" w:hAnsi="Times New Roman;sans-serif"/>
          <w:b w:val="false"/>
          <w:color w:val="000000"/>
          <w:sz w:val="24"/>
        </w:rPr>
        <w:t>. Each Participating Investor may include in the Proposed Key Holder Transfer all or any part of such Participating Investor’s Capital Stock equal to the product obtained by multiplying (i) the aggregate number of shares of Transfer Stock subject to the Proposed Key Holder Transfer (excluding shares purchased by the Company or the Participating Investors pursuant to the Right of First Refusal or Secondary Refusal Right) by (ii) a fraction, the numerator of which is the number of shares of Capital Stock owned by such Participating Investor immediately before consummation of the Proposed Key Holder Transfer (including any shares that such Participating Investor has agreed to purchase pursuant to the Right of First Refusal) and the denominator of which is the total number of shares of Capital Stock owned, in the aggregate, by all Participating Investors immediately prior to the consummation of the Proposed Key Holder Transfer (including any shares that all Participating Investors have collectively agreed to purchase pursuant to the Right of First Refusal), plus the number of shares of Transfer Stock held by the selling Key Holder. To the extent one (1) or more of the Participating Investors exercise such right of participation in accordance with the terms and conditions set forth herein, the number of shares of Transfer Stock that the selling Key Holder may sell in the Proposed Key Holder Transfer shall be correspondingly reduced.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Purchase and Sale Agreement</w:t>
      </w:r>
      <w:r>
        <w:rPr>
          <w:rFonts w:ascii="Times New Roman;sans-serif" w:hAnsi="Times New Roman;sans-serif"/>
          <w:b w:val="false"/>
          <w:color w:val="000000"/>
          <w:sz w:val="24"/>
        </w:rPr>
        <w:t xml:space="preserve">. The Participating Investors and the selling Key Holder agree that the terms and conditions of any Proposed Key Holder Transfer in accordance with this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will be memorialized in, and governed by, a written purchase and sale agreement with the Prospective Transferee (the “</w:t>
      </w:r>
      <w:r>
        <w:rPr>
          <w:rFonts w:ascii="Times New Roman;sans-serif" w:hAnsi="Times New Roman;sans-serif"/>
          <w:b/>
          <w:color w:val="000000"/>
          <w:sz w:val="24"/>
        </w:rPr>
        <w:t>Purchase and Sale Agreement</w:t>
      </w:r>
      <w:r>
        <w:rPr>
          <w:color w:val="000000"/>
        </w:rPr>
        <w:t>”</w:t>
      </w:r>
      <w:r>
        <w:rPr>
          <w:rFonts w:ascii="Times New Roman;sans-serif" w:hAnsi="Times New Roman;sans-serif"/>
          <w:b w:val="false"/>
          <w:color w:val="000000"/>
          <w:sz w:val="24"/>
        </w:rPr>
        <w:t xml:space="preserve">) with customary terms and provisions for such a transaction, and the Participating Investors and the selling Key Holder further covenant and agree to enter into such Purchase and </w:t>
      </w:r>
      <w:r>
        <w:br w:type="page"/>
      </w:r>
    </w:p>
    <w:p>
      <w:pPr>
        <w:pStyle w:val="TextBody"/>
        <w:spacing w:before="0" w:after="0"/>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350520"/>
                <wp:effectExtent l="0" t="0" r="0" b="0"/>
                <wp:wrapNone/>
                <wp:docPr id="233" name="Frame23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Sale Agreement as a condition precedent to any sale or other transfer in accordance with this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Allocation of Consideration</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Subsection 2.2(d)(ii)</w:t>
      </w:r>
      <w:r>
        <w:rPr>
          <w:rFonts w:ascii="Times New Roman;sans-serif" w:hAnsi="Times New Roman;sans-serif"/>
          <w:b w:val="false"/>
          <w:color w:val="000000"/>
          <w:sz w:val="24"/>
        </w:rPr>
        <w:t xml:space="preserve">, the aggregate consideration payable to the Participating Investors and the selling Key Holder shall be allocated based on the number of shares of Capital Stock sold to the Prospective Transferee by each Participating Investor and the selling Key Holder as provided in </w:t>
      </w:r>
      <w:r>
        <w:rPr>
          <w:rFonts w:ascii="Times New Roman;sans-serif" w:hAnsi="Times New Roman;sans-serif"/>
          <w:b w:val="false"/>
          <w:color w:val="000000"/>
          <w:sz w:val="24"/>
          <w:u w:val="single"/>
        </w:rPr>
        <w:t>Subsection 2.2(b)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Participating Investor wishes to sell Preferred Stock, the price set forth in the Proposed Transfer Notice shall be appropriately adjusted based on the conversion ratio of the Preferred Stock into Common Stock.</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that the Proposed Key Holder Transfer constitutes a Change of Control, the terms of the Purchase and Sale Agreement shall provide that the aggregate consideration from such transfer shall be allocated to the Participating Investors and the selling Key Holder in accordance with Sections 2.1 and 2.2 of Article IV(B) of the Restated Certificate as if (A) such transfer were a Deemed Liquidation Event and (B) the Capital Stock sold in accordance with the Purchase and Sale Agreement were the only Capital Stock outstanding. In the event that a portion of the aggregate consideration payable to the Participating Investor(s) and selling Key Holder is placed into escrow and/or is payable only upon satisfaction of contingencies, the Purchase and Sale Agreement shall provide that (x) the portion of such consideration that is not placed in escrow and is not subject to contingencies (the “</w:t>
      </w:r>
      <w:r>
        <w:rPr>
          <w:rFonts w:ascii="Times New Roman;sans-serif" w:hAnsi="Times New Roman;sans-serif"/>
          <w:b/>
          <w:color w:val="000000"/>
          <w:sz w:val="24"/>
        </w:rPr>
        <w:t>Initial Consideration</w:t>
      </w:r>
      <w:r>
        <w:rPr>
          <w:color w:val="000000"/>
        </w:rPr>
        <w:t>”</w:t>
      </w:r>
      <w:r>
        <w:rPr>
          <w:rFonts w:ascii="Times New Roman;sans-serif" w:hAnsi="Times New Roman;sans-serif"/>
          <w:b w:val="false"/>
          <w:color w:val="000000"/>
          <w:sz w:val="24"/>
        </w:rPr>
        <w:t>) shall be allocated in accordance with Sections 2.1 and 2.2 of Article IV(B) of the Restated Certificate as if the Initial Consideration were the only consideration payable in connection with such transfer, and (y) any additional consideration which becomes payable to the Participating Investor(s) and selling Key Holder upon release from escrow or satisfaction of such contingencies shall be allocated in accordance with Sections 2.1 and 2.2 of Article IV(B) of the Restated Certificate after taking into account the previous payment of the Initial Consideration as part of the same transfer.</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Purchase by Selling Key Holder; Deliveries</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Subsection 2.2(c)</w:t>
      </w:r>
      <w:r>
        <w:rPr>
          <w:color w:val="000000"/>
        </w:rPr>
        <w:t xml:space="preserve"> </w:t>
      </w:r>
      <w:r>
        <w:rPr>
          <w:rFonts w:ascii="Times New Roman;sans-serif" w:hAnsi="Times New Roman;sans-serif"/>
          <w:b w:val="false"/>
          <w:color w:val="000000"/>
          <w:sz w:val="24"/>
        </w:rPr>
        <w:t xml:space="preserve">above, if any Prospective Transferee(s) refuse(s) to purchase securities subject to the Right of Co-Sale from any Participating Investor or Investors or upon the failure to negotiate in good faith a Purchase and Sale Agreement reasonably satisfactory to the Participating Investors, no Key Holder may sell any Transfer Stock to such Prospective Transferee(s) unless and until, simultaneously with such sale, such Key Holder purchases all securities subject to the Right of Co-Sale from such Participating Investor or Investors on the same terms and conditions (including the proposed purchase price) as set forth in the Proposed Transfer Notice and as provided in </w:t>
      </w:r>
      <w:r>
        <w:rPr>
          <w:rFonts w:ascii="Times New Roman;sans-serif" w:hAnsi="Times New Roman;sans-serif"/>
          <w:b w:val="false"/>
          <w:color w:val="000000"/>
          <w:sz w:val="24"/>
          <w:u w:val="single"/>
        </w:rPr>
        <w:t>Subsection 2.2(d)(i)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such sale constitutes a Change of Control, the portion of the aggregate consideration paid by the selling Key Holder to such Participating Investor or Investors shall be made in accordance with the first sentence of </w:t>
      </w:r>
      <w:r>
        <w:rPr>
          <w:rFonts w:ascii="Times New Roman;sans-serif" w:hAnsi="Times New Roman;sans-serif"/>
          <w:b w:val="false"/>
          <w:color w:val="000000"/>
          <w:sz w:val="24"/>
          <w:u w:val="single"/>
        </w:rPr>
        <w:t>Subsection 2.2(d)(ii)</w:t>
      </w:r>
      <w:r>
        <w:rPr>
          <w:rFonts w:ascii="Times New Roman;sans-serif" w:hAnsi="Times New Roman;sans-serif"/>
          <w:b w:val="false"/>
          <w:color w:val="000000"/>
          <w:sz w:val="24"/>
        </w:rPr>
        <w:t xml:space="preserve">. In connection with such purchase by the selling Key Holder, such Participating Investor or Investors shall deliver to the selling Key Holder any stock certificate or certificates, properly endorsed for transfer, representing the Capital Stock being purchased by the selling Key Holder (or request that the Company effect such transfer in the name of the selling Key Holder). Any such shares transferred to the selling Key Holder will be transferred to the Prospective Transferee against payment therefor in consummation of the sale of the Transfer Stock pursuant to the terms and conditions specified in the Proposed Transfer Notice, and the selling Key Holder shall concurrently therewith remit or direct payment to each such Participating Investor the portion of the aggregate consideration to which each such Participating Investor is entitled by reason of its participation in such sale as provided in this </w:t>
      </w:r>
      <w:r>
        <w:rPr>
          <w:rFonts w:ascii="Times New Roman;sans-serif" w:hAnsi="Times New Roman;sans-serif"/>
          <w:b w:val="false"/>
          <w:color w:val="000000"/>
          <w:sz w:val="24"/>
          <w:u w:val="single"/>
        </w:rPr>
        <w:t>Subsection 2.2(e)</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350520"/>
                <wp:effectExtent l="0" t="0" r="0" b="0"/>
                <wp:wrapNone/>
                <wp:docPr id="234" name="Frame23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Additional Compliance</w:t>
      </w:r>
      <w:r>
        <w:rPr>
          <w:rFonts w:ascii="Times New Roman;sans-serif" w:hAnsi="Times New Roman;sans-serif"/>
          <w:b w:val="false"/>
          <w:color w:val="000000"/>
          <w:sz w:val="24"/>
        </w:rPr>
        <w:t xml:space="preserve">. If any Proposed Key Holder Transfer is not consummated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receipt of the Proposed Transfer Notice by the Company, the Key Holders proposing the Proposed Key Holder Transfer may not sell any Transfer Stock unless they first comply in full with each provision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The exercise or election not to exercise any right by any Investor hereunder shall not adversely affect its right to participate in any other sales of Transfer Stock subject to this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Effect of Failure to Comply</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 Void; Equitable Relief</w:t>
      </w:r>
      <w:r>
        <w:rPr>
          <w:rFonts w:ascii="Times New Roman;sans-serif" w:hAnsi="Times New Roman;sans-serif"/>
          <w:b w:val="false"/>
          <w:color w:val="000000"/>
          <w:sz w:val="24"/>
        </w:rPr>
        <w:t>. Any Proposed Key Holder Transfer not made in compliance with the requirements of this 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Stock not made in strict compliance with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Violation of First Refusal Right</w:t>
      </w:r>
      <w:r>
        <w:rPr>
          <w:rFonts w:ascii="Times New Roman;sans-serif" w:hAnsi="Times New Roman;sans-serif"/>
          <w:b w:val="false"/>
          <w:color w:val="000000"/>
          <w:sz w:val="24"/>
        </w:rPr>
        <w:t>. If any Key Holder becomes obligated to sell any Transfer Stock to the Company or any Investor under this Agreement and fails to deliver such Transfer Stock in accordance with the terms of this Agreement, the Company and/or such Investor may, at its option, in addition to all other remedies it may have, send to such Key Holder the purchase price for such Transfer Stock as is herein specified and transfer to the name of the Company or such Investor (or request that the Company effect such transfer in the name of an Investor) on the Company’s books any certificates, instruments, or book entry representing the Transfer Stock to be sold.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Violation of Co-Sale Right</w:t>
      </w:r>
      <w:r>
        <w:rPr>
          <w:rFonts w:ascii="Times New Roman;sans-serif" w:hAnsi="Times New Roman;sans-serif"/>
          <w:b w:val="false"/>
          <w:color w:val="000000"/>
          <w:sz w:val="24"/>
        </w:rPr>
        <w:t>. If any Key Holder purports to sell any Transfer Stock in contravention of the Right of Co-Sale (a “</w:t>
      </w:r>
      <w:r>
        <w:rPr>
          <w:rFonts w:ascii="Times New Roman;sans-serif" w:hAnsi="Times New Roman;sans-serif"/>
          <w:b/>
          <w:color w:val="000000"/>
          <w:sz w:val="24"/>
        </w:rPr>
        <w:t>Prohibited Transfer</w:t>
      </w:r>
      <w:r>
        <w:rPr>
          <w:color w:val="000000"/>
        </w:rPr>
        <w:t>”</w:t>
      </w:r>
      <w:r>
        <w:rPr>
          <w:rFonts w:ascii="Times New Roman;sans-serif" w:hAnsi="Times New Roman;sans-serif"/>
          <w:b w:val="false"/>
          <w:color w:val="000000"/>
          <w:sz w:val="24"/>
        </w:rPr>
        <w:t xml:space="preserve">), each Participating Investor who desires to exercise its Right of Co-Sale under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 xml:space="preserve">may, in addition to such remedies as may be available by law, in equity or hereunder, require such Key Holder to purchase from such Participating Investor the type and number of shares of Capital Stock that such Participating Investor would have been entitled to sell to the Prospective Transferee had the Prohibited Transfer been effected in compliance with the terms of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The sale will be made on the same terms, including, without limitation, as provided in </w:t>
      </w:r>
      <w:r>
        <w:rPr>
          <w:rFonts w:ascii="Times New Roman;sans-serif" w:hAnsi="Times New Roman;sans-serif"/>
          <w:b w:val="false"/>
          <w:color w:val="000000"/>
          <w:sz w:val="24"/>
          <w:u w:val="single"/>
        </w:rPr>
        <w:t>Subsection 2.2(d)(i)</w:t>
      </w:r>
      <w:r>
        <w:rPr>
          <w:color w:val="000000"/>
        </w:rPr>
        <w:t xml:space="preserve"> </w:t>
      </w:r>
      <w:r>
        <w:rPr>
          <w:rFonts w:ascii="Times New Roman;sans-serif" w:hAnsi="Times New Roman;sans-serif"/>
          <w:b w:val="false"/>
          <w:color w:val="000000"/>
          <w:sz w:val="24"/>
        </w:rPr>
        <w:t>and the first sentence o</w:t>
      </w:r>
      <w:r>
        <w:rPr>
          <w:rFonts w:ascii="Times New Roman;sans-serif" w:hAnsi="Times New Roman;sans-serif"/>
          <w:b w:val="false"/>
          <w:color w:val="000000"/>
          <w:sz w:val="24"/>
          <w:u w:val="single"/>
        </w:rPr>
        <w:t>f Subsection 2.2(d)(ii)</w:t>
      </w:r>
      <w:r>
        <w:rPr>
          <w:rFonts w:ascii="Times New Roman;sans-serif" w:hAnsi="Times New Roman;sans-serif"/>
          <w:b w:val="false"/>
          <w:color w:val="000000"/>
          <w:sz w:val="24"/>
        </w:rPr>
        <w:t xml:space="preserve">, as applicable, and subject to the same conditions as would have applied had the Key Holder not made the Prohibited Transfer, except that the sale (including, without limitation, the delivery of the purchase price) must be made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Participating Investor learns of the Prohibited Transfer, as opposed to the timeframe proscribed in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Such Key Holder shall also reimburse each Participating Investor for any and all reasonable and documented out-of-pocket fees and expenses, including reasonable legal fees and expenses, incurred pursuant to the exercise or the attempted exercise of the Participating Investor’s rights under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Exempt Transfers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Exempted Transfers</w:t>
      </w:r>
      <w:r>
        <w:rPr>
          <w:rFonts w:ascii="Times New Roman;sans-serif" w:hAnsi="Times New Roman;sans-serif"/>
          <w:b w:val="false"/>
          <w:color w:val="000000"/>
          <w:sz w:val="24"/>
        </w:rPr>
        <w:t xml:space="preserve">. Notwithstanding the foregoing or anything to the contrary herein, the provisions of </w:t>
      </w:r>
      <w:r>
        <w:rPr>
          <w:rFonts w:ascii="Times New Roman;sans-serif" w:hAnsi="Times New Roman;sans-serif"/>
          <w:b w:val="false"/>
          <w:color w:val="000000"/>
          <w:sz w:val="24"/>
          <w:u w:val="single"/>
        </w:rPr>
        <w:t>Subsections 2.1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2.2</w:t>
      </w:r>
      <w:r>
        <w:rPr>
          <w:color w:val="000000"/>
        </w:rPr>
        <w:t xml:space="preserve"> </w:t>
      </w:r>
      <w:r>
        <w:rPr>
          <w:rFonts w:ascii="Times New Roman;sans-serif" w:hAnsi="Times New Roman;sans-serif"/>
          <w:b w:val="false"/>
          <w:color w:val="000000"/>
          <w:sz w:val="24"/>
        </w:rPr>
        <w:t xml:space="preserve">shall not apply (a) in the case of a Key Holder that is an entity, upon a transfer by such Key Holder to its stockholders, members, partners or other equity holders, (b) to a repurchase of Transfer Stock from a Key Holder by the Company at a price no greater than that originally paid by such Key Holder for such Transfer Stock and pursuant to an agreement containing vesting and/or repurchase provisions approved by </w:t>
      </w:r>
      <w:r>
        <w:br w:type="page"/>
      </w:r>
    </w:p>
    <w:p>
      <w:pPr>
        <w:pStyle w:val="TextBody"/>
        <w:spacing w:before="0" w:after="0"/>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350520"/>
                <wp:effectExtent l="0" t="0" r="0" b="0"/>
                <wp:wrapNone/>
                <wp:docPr id="235" name="Frame23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a majority of the Board of Directors, or (c) in the case of a Key Holder that is a natural person, upon a transfer of Transfer Stock by such Key Holder made for bona fide estate planning purposes, either during his or her lifetime or on death by will or intestacy to his or her spouse, including any life partner or similar statutorily-recognized domestic partner, child (natural or adopted), or any other direct lineal descendant of such Key Holder (or his or her spouse, including any life partner or similar statutorily-recognized domestic partner) (all of the foregoing collectively referred to as “family members”), or any other relative/person approved by the Board of Directors, or any custodian or trustee of any trust, partnership or limited liability company for the benefit of, or the ownership interests of which are owned wholly by such Key Holder or any such family members;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clause(s) (a), or (c), the Key Holder shall deliver prior written notice to the Investors of such pledge, gift or transfer and such shares of Transfer Stock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Key Holder (but only with respect to the securities so transferred to the transferee), including the obligations of a Key Holder with respect to Proposed Key Holder Transfers of such Transfer Stock 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Exempted Offerings</w:t>
      </w:r>
      <w:r>
        <w:rPr>
          <w:rFonts w:ascii="Times New Roman;sans-serif" w:hAnsi="Times New Roman;sans-serif"/>
          <w:b w:val="false"/>
          <w:color w:val="000000"/>
          <w:sz w:val="24"/>
        </w:rPr>
        <w:t xml:space="preserve">. Notwithstanding the foregoing or anything to the contrary herein, the provisions of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shall not apply to the sale of any Transfer Stock (a) to the public in an offering pursuant to an effective registration statement under the Securities Act of 1933, as amended; or (b) pursuant to a Deemed Liquidation Event.</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Prohibited Transferees</w:t>
      </w:r>
      <w:r>
        <w:rPr>
          <w:rFonts w:ascii="Times New Roman;sans-serif" w:hAnsi="Times New Roman;sans-serif"/>
          <w:b w:val="false"/>
          <w:color w:val="000000"/>
          <w:sz w:val="24"/>
        </w:rPr>
        <w:t>. Notwithstanding the foregoing, no Key Holder shall transfer any Transfer Stock to (a) any entity which, in the determination of the Board of Directors, directly or indirectly competes with the Company; or (b) any customer, distributor or supplier of the Company, if the Board of Directors should determine that such transfer would result in such customer, distributor or supplier receiving information that would place the Company at a competitive disadvantage with respect to such customer, distributor or supplier.</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Legend</w:t>
      </w:r>
      <w:r>
        <w:rPr>
          <w:rFonts w:ascii="Times New Roman;sans-serif" w:hAnsi="Times New Roman;sans-serif"/>
          <w:b w:val="false"/>
          <w:color w:val="000000"/>
          <w:sz w:val="24"/>
        </w:rPr>
        <w:t xml:space="preserve">. Each certificate, instrument, or book entry representing shares of Transfer Stock held by the Key Holders or issued to any permitted transferee in connection with a transfer permitted by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hereof shall be notated with the following legend:</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SALE, PLEDGE, HYPOTHECATION, OR TRANSFER OF THE SECURITIES REPRESENTED HEREBY IS SUBJECT TO, AND IN CERTAIN CASES PROHIBITED BY, THE TERMS AND CONDITIONS OF A CERTAIN RIGHT OF FIRST REFUSAL AND CO-SALE AGREEMENT BY AND AMONG THE STOCKHOLDER, THE CORPORATION AND CERTAIN OTHER HOLDERS OF STOCK OF THE CORPORATION. COPIES OF SUCH AGREEMENT MAY BE OBTAINED UPON WRITTEN REQUEST TO THE SECRETARY OF THE CORPORATION.</w:t>
      </w:r>
    </w:p>
    <w:p>
      <w:pPr>
        <w:pStyle w:val="TextBody"/>
        <w:spacing w:lineRule="auto" w:line="240" w:before="0" w:after="240"/>
        <w:jc w:val="both"/>
        <w:rPr/>
      </w:pPr>
      <w:r>
        <w:rPr>
          <w:rFonts w:ascii="Times New Roman;sans-serif" w:hAnsi="Times New Roman;sans-serif"/>
          <w:b w:val="false"/>
          <w:color w:val="000000"/>
          <w:sz w:val="24"/>
        </w:rPr>
        <w:t xml:space="preserve">Each Key Holder agrees that the Company may instruct its transfer agent to impose transfer restrictions on the shares notated with the legend referred to in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above to enforce the provisions of this Agreement, and the Company agrees to promptly do so. The legend shall be removed upon termination of this Agreement at the request of the holder.</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Lock-Up.</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Agreement to Lock-Up</w:t>
      </w:r>
      <w:r>
        <w:rPr>
          <w:rFonts w:ascii="Times New Roman;sans-serif" w:hAnsi="Times New Roman;sans-serif"/>
          <w:b w:val="false"/>
          <w:color w:val="000000"/>
          <w:sz w:val="24"/>
        </w:rPr>
        <w:t>. Each Key Holder hereby agrees that it will not, without the prior written consent of the managing underwriter, during the period commencing on the date of the final prospectus relating to the Company’s initial public offering (the “</w:t>
      </w:r>
      <w:r>
        <w:rPr>
          <w:rFonts w:ascii="Times New Roman;sans-serif" w:hAnsi="Times New Roman;sans-serif"/>
          <w:b/>
          <w:color w:val="000000"/>
          <w:sz w:val="24"/>
        </w:rPr>
        <w:t>IPO</w:t>
      </w:r>
      <w:r>
        <w:rPr>
          <w:color w:val="000000"/>
        </w:rPr>
        <w:t>”</w:t>
      </w:r>
      <w:r>
        <w:rPr>
          <w:rFonts w:ascii="Times New Roman;sans-serif" w:hAnsi="Times New Roman;sans-serif"/>
          <w:b w:val="false"/>
          <w:color w:val="000000"/>
          <w:sz w:val="24"/>
        </w:rPr>
        <w:t xml:space="preserve">) and ending on the date specified by the Company and the managing underwriter (such period not to </w:t>
      </w:r>
      <w:r>
        <w:br w:type="page"/>
      </w:r>
    </w:p>
    <w:p>
      <w:pPr>
        <w:pStyle w:val="TextBody"/>
        <w:spacing w:before="0" w:after="0"/>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350520"/>
                <wp:effectExtent l="0" t="0" r="0" b="0"/>
                <wp:wrapNone/>
                <wp:docPr id="236" name="Frame23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exceed </w:t>
      </w:r>
      <w:r>
        <w:rPr>
          <w:rFonts w:ascii="Times New Roman;sans-serif" w:hAnsi="Times New Roman;sans-serif"/>
          <w:b/>
          <w:color w:val="000000"/>
          <w:sz w:val="24"/>
        </w:rPr>
        <w:t>[***]</w:t>
      </w:r>
      <w:r>
        <w:rPr>
          <w:rFonts w:ascii="Times New Roman;sans-serif" w:hAnsi="Times New Roman;sans-serif"/>
          <w:b w:val="false"/>
          <w:color w:val="000000"/>
          <w:sz w:val="24"/>
        </w:rPr>
        <w:t xml:space="preserve">)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 underwriters in connection with the IPO are intended third-party beneficiaries of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and shall have the right, power and authority to enforce the provisions hereof as though they were a party hereto. Each Key Holder further agrees to execute such agreements as may be reasonably requested by the underwriters in the IPO that are consistent with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or that are necessary to give further effect thereto.</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Stop Transfer Instructions</w:t>
      </w:r>
      <w:r>
        <w:rPr>
          <w:rFonts w:ascii="Times New Roman;sans-serif" w:hAnsi="Times New Roman;sans-serif"/>
          <w:b w:val="false"/>
          <w:color w:val="000000"/>
          <w:sz w:val="24"/>
        </w:rPr>
        <w:t>. In order to enforce the foregoing covenant, the Company may impose stop-transfer instructions with respect to the shares of Capital Stock of each Key Holder (and transferees and assignees thereof) until the end of such restricted period.</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xml:space="preserve">. This Agreement shall automatically terminate upon the earlier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Stock Split</w:t>
      </w:r>
      <w:r>
        <w:rPr>
          <w:rFonts w:ascii="Times New Roman;sans-serif" w:hAnsi="Times New Roman;sans-serif"/>
          <w:b w:val="false"/>
          <w:color w:val="000000"/>
          <w:sz w:val="24"/>
        </w:rPr>
        <w:t>. All references to numbers of shares in this Agreement shall be appropriately adjusted to reflect any stock dividend, split, combination or other recapitalization affecting the Capital Stock occurring after the date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Ownership</w:t>
      </w:r>
      <w:r>
        <w:rPr>
          <w:rFonts w:ascii="Times New Roman;sans-serif" w:hAnsi="Times New Roman;sans-serif"/>
          <w:b w:val="false"/>
          <w:color w:val="000000"/>
          <w:sz w:val="24"/>
        </w:rPr>
        <w:t>. Each Key Holder represents and warrants that such Key Holder is the sole legal and beneficial owner of the shares of Transfer Stock subject to this Agreement and that no other person or entity has any interest in such shares (other than a community property interest as to which the holder thereof has acknowledged and agreed in writing to the restrictions and obligations 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The parties (a) hereby irrevocably and unconditionally submit to the jurisdiction of the state and federal courts located in Delaware for the purpose of any suit, action or other proceeding arising out of or based upon this Agreement, (b) agree not to commence any suit, action or other proceeding arising out of or based upon this Agreement except in the state and federal courts located in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w:t>
      </w:r>
      <w:r>
        <w:br w:type="page"/>
      </w:r>
    </w:p>
    <w:p>
      <w:pPr>
        <w:pStyle w:val="TextBody"/>
        <w:spacing w:before="0" w:after="0"/>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350520"/>
                <wp:effectExtent l="0" t="0" r="0" b="0"/>
                <wp:wrapNone/>
                <wp:docPr id="237" name="Frame23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hereof, as the case may be, or to such email address, facsimile number or address as subsequently modified by written notice given in accordance with this </w:t>
      </w:r>
      <w:r>
        <w:rPr>
          <w:rFonts w:ascii="Times New Roman;sans-serif" w:hAnsi="Times New Roman;sans-serif"/>
          <w:b w:val="false"/>
          <w:color w:val="000000"/>
          <w:sz w:val="24"/>
          <w:u w:val="single"/>
        </w:rPr>
        <w:t>Section 6.5</w:t>
      </w:r>
      <w:r>
        <w:rPr>
          <w:rFonts w:ascii="Times New Roman;sans-serif" w:hAnsi="Times New Roman;sans-serif"/>
          <w:b w:val="false"/>
          <w:color w:val="000000"/>
          <w:sz w:val="24"/>
        </w:rPr>
        <w:t xml:space="preserve">. If notice is given to the Company, it shall be sent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and Key Holder consents to the delivery of any stockholder notice pursuant to the Delaware General Corporation Law (the “</w:t>
      </w:r>
      <w:r>
        <w:rPr>
          <w:rFonts w:ascii="Times New Roman;sans-serif" w:hAnsi="Times New Roman;sans-serif"/>
          <w:b/>
          <w:color w:val="000000"/>
          <w:sz w:val="24"/>
        </w:rPr>
        <w:t>DGCL</w:t>
      </w:r>
      <w:r>
        <w:rPr>
          <w:color w:val="000000"/>
        </w:rPr>
        <w:t>”</w:t>
      </w:r>
      <w:r>
        <w:rPr>
          <w:rFonts w:ascii="Times New Roman;sans-serif" w:hAnsi="Times New Roman;sans-serif"/>
          <w:b w:val="false"/>
          <w:color w:val="000000"/>
          <w:sz w:val="24"/>
        </w:rPr>
        <w:t>),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its electronic mail address, and that failure to do so shall not affect the foregoing.</w:t>
      </w:r>
    </w:p>
    <w:p>
      <w:pPr>
        <w:pStyle w:val="TextBody"/>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(including, the Exhibits and Schedules hereto) constitutes the full and entire understanding and agreement between the parties with respect to the subject matter hereof, and any other written or oral agreement relating to the subject matter hereof existing between the parties are expressly canceled. Upon the effectiveness of this Agreement, the Prior Agreement shall be deemed amended and restated and superseded and replaced in its entirety by this Agreement, and shall be of no further force or effect.</w:t>
      </w:r>
    </w:p>
    <w:p>
      <w:pPr>
        <w:pStyle w:val="TextBody"/>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w:t>
      </w:r>
      <w:r>
        <w:br w:type="page"/>
      </w:r>
    </w:p>
    <w:p>
      <w:pPr>
        <w:pStyle w:val="TextBody"/>
        <w:spacing w:before="0" w:after="0"/>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350520"/>
                <wp:effectExtent l="0" t="0" r="0" b="0"/>
                <wp:wrapNone/>
                <wp:docPr id="238" name="Frame23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this Agreement or by law or otherwise afforded to any party, shall be cumulative and not alternative.</w:t>
      </w:r>
    </w:p>
    <w:p>
      <w:pPr>
        <w:pStyle w:val="TextBody"/>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Amendment; Waiver and Termination</w:t>
      </w:r>
      <w:r>
        <w:rPr>
          <w:rFonts w:ascii="Times New Roman;sans-serif" w:hAnsi="Times New Roman;sans-serif"/>
          <w:b w:val="false"/>
          <w:color w:val="000000"/>
          <w:sz w:val="24"/>
        </w:rPr>
        <w:t xml:space="preserve">. This Agreement may be amended, modified or terminated (other than pursuant to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above) and the observance of any term hereof may be waived (either generally or in a particular instance and either retroactively or prospectively) only by a written instrument executed by (a) the Company, (b) the Key Holders holding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and (c)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Any amendment, modification, termination or waiver so effected shall be binding upon the Company, the Investors, the Key Holders and all of their respective successors and permitted assigns whether or not such party, assignee or other shareholder entered into or approved such amendment, modification, termination or waiver. Notwithstanding the foregoing, (i) this Agreement may not be amended, modified or terminated and the observance of any term hereunder may not be waived with respect to any Investor or Key Holder without the written consent of such Investor or Key Holder unless such amendment, modification, termination or waiver applies to all Investors and Key Holders, respectively, in the same fashion, (ii) this Agreement may not be amended, modified or terminated and the observance of any term hereunder may not be waived with respect to any Investor without the written consent of such Investor, if such amendment, modification, termination or waiver would adversely affect the rights of such Investor in a manner disproportionate to any adverse effect such amendment, modification, termination or waiver would have on the rights of the other Investors under this Agreement, (iii) the consent of the Key Holders shall not be required for any amendment, modification, termination or waiver if such amendment, modification, termination or waiver does not apply to the Key Holders, and (iv) Schedule A hereto may be amended by the Company from time to time in accordance with the Purchase Agreement to add information regarding Additional Purchasers (as defined in the Purchase Agreement) without the consent of the other parties hereto. The Company shall give prompt written notice of any amendment, modification or termination hereof or waiver hereunder to any party hereto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w:t>
      </w:r>
    </w:p>
    <w:p>
      <w:pPr>
        <w:pStyle w:val="TextBody"/>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Assignment of Rights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Any successor or permitted assignee of any Key Holder, including any Prospective Transferee who purchases shares of Transfer Stock in accordance with the terms hereof, shall deliver to the Company and the Investors,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rights of the Investors hereunder are not assignable without the Company’s written consent (which shall not be unreasonably withheld, delayed or conditioned), except (i) by an Investor to any Affiliate, or (ii) to an assignee or transferee who acquires at least 1,000,000 shares of Capital Stock (as adjusted for any stock combination, stock split, stock dividend, recapitalization or other similar transaction), it being acknowledged and agreed that any such assignment, including an assignment contemplated by the preceding clauses (i) or (ii) </w:t>
      </w:r>
      <w:r>
        <w:br w:type="page"/>
      </w:r>
    </w:p>
    <w:p>
      <w:pPr>
        <w:pStyle w:val="TextBody"/>
        <w:spacing w:before="0" w:after="0"/>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350520"/>
                <wp:effectExtent l="0" t="0" r="0" b="0"/>
                <wp:wrapNone/>
                <wp:docPr id="239" name="Frame23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be subject to and conditioned upon any such assignee’s delivery to the Company and the other Investors of a counterpart signature page hereto pursuant to which such assignee shall confirm their agreement to be subject to and bound by all of the provisions set forth in this Agreement that were applicable to the assignor of such assignee.</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Except in connection with an assignment by the Company by operation of law to the acquirer of the Company, the rights and obligations of the Company hereunder may not be assigned under any circumstances.</w:t>
      </w:r>
    </w:p>
    <w:p>
      <w:pPr>
        <w:pStyle w:val="TextBody"/>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hereof shall in no way affect the validity or enforceability of any other provision.</w:t>
      </w:r>
    </w:p>
    <w:p>
      <w:pPr>
        <w:pStyle w:val="TextBody"/>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Notwithstanding anything to the contrary contained herein, if the Company issues additional shares of the Company’s Series B Preferred Stock after the date hereof, any purchaser of such shares of Series B Preferred Stock may become a party to this Agreement by executing and delivering an additional counterpart signature page to this Agreement and thereafter shall be deemed an “Investor” for all purposes hereunder.</w:t>
      </w:r>
    </w:p>
    <w:p>
      <w:pPr>
        <w:pStyle w:val="TextBody"/>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p>
    <w:p>
      <w:pPr>
        <w:pStyle w:val="TextBody"/>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of Capital Stock held or acquired by Affiliated entities or persons shall be aggregated together for the purpose of determining the availability of any rights under this Agreement and such Affiliated persons may apportion such rights as among themselves in any manner they deem appropriate.</w:t>
      </w:r>
    </w:p>
    <w:p>
      <w:pPr>
        <w:pStyle w:val="TextBody"/>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In addition to any and all other remedies that may be available at law in the event of any breach of this Agreement, each Investor shall be entitled to specific performance of the agreements and obligations of the Company and the Key Holders hereunder and to such other injunction or other equitable relief as may be granted by a court of competent jurisdiction.</w:t>
      </w:r>
    </w:p>
    <w:p>
      <w:pPr>
        <w:pStyle w:val="TextBody"/>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Additional Key Holders</w:t>
      </w:r>
      <w:r>
        <w:rPr>
          <w:rFonts w:ascii="Times New Roman;sans-serif" w:hAnsi="Times New Roman;sans-serif"/>
          <w:b w:val="false"/>
          <w:color w:val="000000"/>
          <w:sz w:val="24"/>
        </w:rPr>
        <w:t xml:space="preserve">. In the event that after the date of this Agreement, the Company issues shares of Common Stock, or options to purchase Common Stock, to any employee or consultant, which shares or options would collectively constitute with respect to such employee or consultant (taking into account all shares of Common Stock, options and other purchase rights held by such employee or consultant)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employee or consultant to execute a counterpart signature page hereto as a Key Holder, and such </w:t>
      </w:r>
      <w:r>
        <w:br w:type="page"/>
      </w:r>
    </w:p>
    <w:p>
      <w:pPr>
        <w:pStyle w:val="TextBody"/>
        <w:spacing w:before="0" w:after="0"/>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350520"/>
                <wp:effectExtent l="0" t="0" r="0" b="0"/>
                <wp:wrapNone/>
                <wp:docPr id="240" name="Frame23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shall thereby be bound by, and subject to, all the terms and provisions of this Agreement applicable to a Key Holder.</w:t>
      </w:r>
    </w:p>
    <w:p>
      <w:pPr>
        <w:pStyle w:val="TextBody"/>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Consent of Spouse</w:t>
      </w:r>
      <w:r>
        <w:rPr>
          <w:rFonts w:ascii="Times New Roman;sans-serif" w:hAnsi="Times New Roman;sans-serif"/>
          <w:b w:val="false"/>
          <w:color w:val="000000"/>
          <w:sz w:val="24"/>
        </w:rPr>
        <w:t xml:space="preserve">. If any Key Holder is a natural person married on the date of this Agreement, such Key Holder’s spouse shall execute and deliver to the Company a Consent of Spouse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w:t>
      </w:r>
      <w:r>
        <w:rPr>
          <w:rFonts w:ascii="Times New Roman;sans-serif" w:hAnsi="Times New Roman;sans-serif"/>
          <w:b/>
          <w:color w:val="000000"/>
          <w:sz w:val="24"/>
        </w:rPr>
        <w:t>Consent of Spouse</w:t>
      </w:r>
      <w:r>
        <w:rPr>
          <w:color w:val="000000"/>
        </w:rPr>
        <w:t>”</w:t>
      </w:r>
      <w:r>
        <w:rPr>
          <w:rFonts w:ascii="Times New Roman;sans-serif" w:hAnsi="Times New Roman;sans-serif"/>
          <w:b w:val="false"/>
          <w:color w:val="000000"/>
          <w:sz w:val="24"/>
        </w:rPr>
        <w:t>), effective on the date hereof. Notwithstanding the execution and delivery thereof, such consent shall not be deemed to confer or convey to the spouse any rights in such Key Holder’s shares of Transfer Stock that do not otherwise exist by operation of law or the agreement of the parties. If any Key Holder should marry or remarry subsequent to the date of this Agreement, such Key 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pStyle w:val="TextBody"/>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 Remainder of Page Intentionally Left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350520"/>
                <wp:effectExtent l="0" t="0" r="0" b="0"/>
                <wp:wrapNone/>
                <wp:docPr id="241" name="Frame24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SONDE HEALTH, INC.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David Liu</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KEY HOLDERS:</w:t>
      </w:r>
    </w:p>
    <w:p>
      <w:pPr>
        <w:pStyle w:val="TextBody"/>
        <w:spacing w:lineRule="auto" w:line="240" w:before="480" w:after="283"/>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480" w:after="283"/>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480" w:after="283"/>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pP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spacing w:lineRule="auto" w:line="240" w:before="48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By:    [***] </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color w:val="000000"/>
          <w:sz w:val="24"/>
        </w:rPr>
      </w:pPr>
      <w:r>
        <w:rPr>
          <w:rFonts w:ascii="Times New Roman;sans-serif" w:hAnsi="Times New Roman;sans-serif"/>
          <w:b/>
          <w:color w:val="000000"/>
          <w:sz w:val="24"/>
        </w:rPr>
        <w:t>[***]</w:t>
      </w:r>
    </w:p>
    <w:p>
      <w:pPr>
        <w:pStyle w:val="TextBody"/>
        <w:spacing w:lineRule="auto" w:line="240" w:before="480" w:after="283"/>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spacing w:before="0" w:after="240"/>
        <w:rPr/>
      </w:pPr>
      <w:r>
        <w:rPr/>
      </w:r>
    </w:p>
    <w:p>
      <w:pPr>
        <w:pStyle w:val="TextBody"/>
        <w:spacing w:before="0" w:after="240"/>
        <w:rPr/>
      </w:pPr>
      <w:r>
        <w:rPr/>
      </w:r>
    </w:p>
    <w:p>
      <w:pPr>
        <w:pStyle w:val="TextBody"/>
        <w:spacing w:before="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24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spacing w:lineRule="auto" w:line="240" w:before="480" w:after="283"/>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spacing w:lineRule="auto" w:line="240" w:before="480" w:after="283"/>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spacing w:lineRule="auto" w:line="240" w:before="0" w:after="0"/>
        <w:rPr/>
      </w:pP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br/>
        <w:t>INVESTORS</w:t>
      </w:r>
    </w:p>
    <w:tbl>
      <w:tblPr>
        <w:tblW w:w="675" w:type="dxa"/>
        <w:jc w:val="left"/>
        <w:tblInd w:w="0" w:type="dxa"/>
        <w:tblCellMar>
          <w:top w:w="28" w:type="dxa"/>
          <w:left w:w="28" w:type="dxa"/>
          <w:bottom w:w="28" w:type="dxa"/>
          <w:right w:w="28" w:type="dxa"/>
        </w:tblCellMar>
      </w:tblPr>
      <w:tblGrid>
        <w:gridCol w:w="216"/>
        <w:gridCol w:w="190"/>
        <w:gridCol w:w="269"/>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br/>
        <w:t>KEY HOLDERS</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pPr>
      <w:r>
        <w:rPr>
          <w:rFonts w:ascii="Times New Roman;sans-serif" w:hAnsi="Times New Roman;sans-serif"/>
          <w:b/>
          <w:color w:val="000000"/>
          <w:sz w:val="24"/>
          <w:u w:val="single"/>
        </w:rPr>
        <w:t>EXHIBIT A</w:t>
        <w:br/>
      </w:r>
      <w:r>
        <w:rPr>
          <w:rFonts w:ascii="Times New Roman;sans-serif" w:hAnsi="Times New Roman;sans-serif"/>
          <w:b/>
          <w:color w:val="000000"/>
          <w:sz w:val="24"/>
        </w:rPr>
        <w:t>CONSENT OF SPOUSE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I, [_______________________], spouse of [_____________], acknowledge that I have read the Amended and Restated Right of First Refusal and Co-Sale Agreement, dated as of May [●], 2022, to which this Consent is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that I know the contents of the Agreement. I am aware that the Agreement contains provisions regarding certain rights to certain other holders of Capital Stock of the Company upon a Proposed Key Holder Transfer of shares of Transfer Stock of the Company which my spouse may own including any interest I might have therein.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agree that my interest, if any, in any shares of Transfer Stock of the Company subject to the Agreement shall be irrevocably bound by the Agreement and further understand and agree that any community property interest I may have in such shares of Transfer Stock of the Company shall be similarly bound by the Agreement.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as of the [__] day of [____________, ______].</w:t>
      </w:r>
    </w:p>
    <w:p>
      <w:pPr>
        <w:pStyle w:val="TextBody"/>
        <w:spacing w:lineRule="auto" w:line="240" w:before="480" w:after="283"/>
        <w:rPr>
          <w:color w:val="000000"/>
          <w:u w:val="single"/>
        </w:rPr>
      </w:pPr>
      <w:r>
        <w:rPr>
          <w:color w:val="000000"/>
          <w:u w:val="single"/>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spacing w:lineRule="auto" w:line="240" w:before="480" w:after="283"/>
        <w:rPr>
          <w:color w:val="000000"/>
          <w:u w:val="single"/>
        </w:rPr>
      </w:pPr>
      <w:r>
        <w:rPr>
          <w:color w:val="000000"/>
          <w:u w:val="single"/>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pPr>
      <w:r>
        <w:rPr>
          <w:color w:val="000000"/>
          <w:highlight w:val="white"/>
        </w:rPr>
        <w:t>                                            </w:t>
      </w:r>
      <w:r>
        <w:rPr>
          <w:rFonts w:ascii="Times New Roman;sans-serif" w:hAnsi="Times New Roman;sans-serif"/>
          <w:b/>
          <w:color w:val="000000"/>
          <w:sz w:val="24"/>
          <w:highlight w:val="white"/>
        </w:rPr>
        <w:t>Exhibit 4.24</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CERTAIN IDENTIFIED INFORMATION HAS BEEN EXCLUDED (INDICATED BY: [***]) FROM THE EXHIBIT BECAUSE IT IS BOTH (I) NOT MATERIAL AND (II) THE TYPE OF INFORMATION THAT THE REGISTRANT CUSTOMARILY AND ACTUALLY TREATS AS PRIVATE OR CONFIDENTIAL.</w:t>
      </w:r>
    </w:p>
    <w:p>
      <w:pPr>
        <w:pStyle w:val="TextBody"/>
        <w:spacing w:lineRule="auto" w:line="240" w:before="0" w:after="0"/>
        <w:jc w:val="center"/>
        <w:rPr>
          <w:color w:val="000000"/>
        </w:rPr>
      </w:pPr>
      <w:r>
        <w:rPr>
          <w:color w:val="000000"/>
        </w:rPr>
        <w:t>                                </w:t>
      </w:r>
    </w:p>
    <w:p>
      <w:pPr>
        <w:pStyle w:val="TextBody"/>
        <w:spacing w:lineRule="auto" w:line="240" w:before="0" w:after="0"/>
        <w:jc w:val="center"/>
        <w:rPr/>
      </w:pPr>
      <w:r>
        <w:rPr>
          <w:color w:val="000000"/>
        </w:rPr>
        <w:t xml:space="preserve">                             </w:t>
      </w:r>
      <w:r>
        <w:rPr>
          <w:rFonts w:ascii="Times New Roman;sans-serif" w:hAnsi="Times New Roman;sans-serif"/>
          <w:b/>
          <w:color w:val="000000"/>
          <w:sz w:val="20"/>
        </w:rPr>
        <w:t>EXECUTION VERSION</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THIRD AMENDED AND RESTATED</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INVESTORS’ RIGHTS AGREEMENT</w:t>
      </w:r>
    </w:p>
    <w:p>
      <w:pPr>
        <w:pStyle w:val="TextBody"/>
        <w:spacing w:before="0" w:after="0"/>
        <w:jc w:val="center"/>
        <w:rPr/>
      </w:pPr>
      <w:r>
        <w:rPr/>
      </w:r>
    </w:p>
    <w:p>
      <w:pPr>
        <w:pStyle w:val="TextBody"/>
        <w:spacing w:lineRule="auto" w:line="240" w:before="0" w:after="0"/>
        <w:jc w:val="center"/>
        <w:rPr>
          <w:color w:val="000000"/>
        </w:rPr>
      </w:pPr>
      <w:r>
        <w:rPr>
          <w:color w:val="000000"/>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THIS THIRD AMENDED AND RESTATED INVESTORS’ RIGHTS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as of the 25th</w:t>
      </w:r>
      <w:r>
        <w:rPr>
          <w:color w:val="000000"/>
        </w:rPr>
        <w:t xml:space="preserve"> </w:t>
      </w:r>
      <w:r>
        <w:rPr>
          <w:rFonts w:ascii="Times New Roman;sans-serif" w:hAnsi="Times New Roman;sans-serif"/>
          <w:b w:val="false"/>
          <w:color w:val="000000"/>
          <w:sz w:val="24"/>
        </w:rPr>
        <w:t>day of May, 2021, by and among Akili Interactive Labs,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holders of the Company’s Series A-1 Preferred Stock, par value $0.0001 per share (the “</w:t>
      </w:r>
      <w:r>
        <w:rPr>
          <w:rFonts w:ascii="Times New Roman;sans-serif" w:hAnsi="Times New Roman;sans-serif"/>
          <w:b w:val="false"/>
          <w:color w:val="000000"/>
          <w:sz w:val="24"/>
          <w:u w:val="single"/>
        </w:rPr>
        <w:t>Series A-1 Preferred Stock</w:t>
      </w:r>
      <w:r>
        <w:rPr>
          <w:color w:val="000000"/>
        </w:rPr>
        <w:t>”</w:t>
      </w:r>
      <w:r>
        <w:rPr>
          <w:rFonts w:ascii="Times New Roman;sans-serif" w:hAnsi="Times New Roman;sans-serif"/>
          <w:b w:val="false"/>
          <w:color w:val="000000"/>
          <w:sz w:val="24"/>
        </w:rPr>
        <w:t>), the holders of the Company’s Series A-2 Preferred Stock, par value $0.0001 per share (the “</w:t>
      </w:r>
      <w:r>
        <w:rPr>
          <w:rFonts w:ascii="Times New Roman;sans-serif" w:hAnsi="Times New Roman;sans-serif"/>
          <w:b w:val="false"/>
          <w:color w:val="000000"/>
          <w:sz w:val="24"/>
          <w:u w:val="single"/>
        </w:rPr>
        <w:t>Series A-2 Preferred Stock</w:t>
      </w:r>
      <w:r>
        <w:rPr>
          <w:color w:val="000000"/>
        </w:rPr>
        <w:t>”</w:t>
      </w:r>
      <w:r>
        <w:rPr>
          <w:rFonts w:ascii="Times New Roman;sans-serif" w:hAnsi="Times New Roman;sans-serif"/>
          <w:b w:val="false"/>
          <w:color w:val="000000"/>
          <w:sz w:val="24"/>
        </w:rPr>
        <w:t>), the holders of the Company’s Series B Preferred Stock, par value $0.0001 per share (the “</w:t>
      </w:r>
      <w:r>
        <w:rPr>
          <w:rFonts w:ascii="Times New Roman;sans-serif" w:hAnsi="Times New Roman;sans-serif"/>
          <w:b w:val="false"/>
          <w:color w:val="000000"/>
          <w:sz w:val="24"/>
          <w:u w:val="single"/>
        </w:rPr>
        <w:t>Series B Preferred Stock</w:t>
      </w:r>
      <w:r>
        <w:rPr>
          <w:color w:val="000000"/>
        </w:rPr>
        <w:t>”</w:t>
      </w:r>
      <w:r>
        <w:rPr>
          <w:rFonts w:ascii="Times New Roman;sans-serif" w:hAnsi="Times New Roman;sans-serif"/>
          <w:b w:val="false"/>
          <w:color w:val="000000"/>
          <w:sz w:val="24"/>
        </w:rPr>
        <w:t>), the holders of the Company’s Series C Preferred Stock, par value $0.0001 per share (the “</w:t>
      </w:r>
      <w:r>
        <w:rPr>
          <w:rFonts w:ascii="Times New Roman;sans-serif" w:hAnsi="Times New Roman;sans-serif"/>
          <w:b w:val="false"/>
          <w:color w:val="000000"/>
          <w:sz w:val="24"/>
          <w:u w:val="single"/>
        </w:rPr>
        <w:t>Series C Preferred Stock</w:t>
      </w:r>
      <w:r>
        <w:rPr>
          <w:color w:val="000000"/>
        </w:rPr>
        <w:t>”</w:t>
      </w:r>
      <w:r>
        <w:rPr>
          <w:rFonts w:ascii="Times New Roman;sans-serif" w:hAnsi="Times New Roman;sans-serif"/>
          <w:b w:val="false"/>
          <w:color w:val="000000"/>
          <w:sz w:val="24"/>
        </w:rPr>
        <w:t>), the holders of the Company’s Series D Preferred Stock, par value $0.0001 per share (the “</w:t>
      </w:r>
      <w:r>
        <w:rPr>
          <w:rFonts w:ascii="Times New Roman;sans-serif" w:hAnsi="Times New Roman;sans-serif"/>
          <w:b w:val="false"/>
          <w:color w:val="000000"/>
          <w:sz w:val="24"/>
          <w:u w:val="single"/>
        </w:rPr>
        <w:t>Series D Preferred Stock</w:t>
      </w:r>
      <w:r>
        <w:rPr>
          <w:color w:val="000000"/>
        </w:rPr>
        <w:t>”</w:t>
      </w:r>
      <w:r>
        <w:rPr>
          <w:rFonts w:ascii="Times New Roman;sans-serif" w:hAnsi="Times New Roman;sans-serif"/>
          <w:b w:val="false"/>
          <w:color w:val="000000"/>
          <w:sz w:val="24"/>
        </w:rPr>
        <w:t>, and together with the Series A-1 Preferred Stock, Series A-2 Preferred Stock, Series B Preferred Stock and Series C Preferred Stock, the “</w:t>
      </w:r>
      <w:r>
        <w:rPr>
          <w:rFonts w:ascii="Times New Roman;sans-serif" w:hAnsi="Times New Roman;sans-serif"/>
          <w:b w:val="false"/>
          <w:color w:val="000000"/>
          <w:sz w:val="24"/>
          <w:u w:val="single"/>
        </w:rPr>
        <w:t>Preferred Stock</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Investors</w:t>
      </w:r>
      <w:r>
        <w:rPr>
          <w:color w:val="000000"/>
        </w:rPr>
        <w:t>”</w:t>
      </w:r>
      <w:r>
        <w:rPr>
          <w:rFonts w:ascii="Times New Roman;sans-serif" w:hAnsi="Times New Roman;sans-serif"/>
          <w:b w:val="false"/>
          <w:color w:val="000000"/>
          <w:sz w:val="24"/>
        </w:rPr>
        <w:t>) and the holders of the Company’s Common Stock, par value $0.0001 per share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xml:space="preserve">), or options to purchase Common Stock, listed on the Schedule of Key Holders attached as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Key Holders</w:t>
      </w:r>
      <w:r>
        <w:rPr>
          <w:color w:val="000000"/>
        </w:rPr>
        <w:t>”</w:t>
      </w:r>
      <w:r>
        <w:rPr>
          <w:rFonts w:ascii="Times New Roman;sans-serif" w:hAnsi="Times New Roman;sans-serif"/>
          <w:b w:val="false"/>
          <w:color w:val="000000"/>
          <w:sz w:val="24"/>
        </w:rPr>
        <w:t>). The Investors and the Key Holders are individually referred to herein as a “</w:t>
      </w:r>
      <w:r>
        <w:rPr>
          <w:rFonts w:ascii="Times New Roman;sans-serif" w:hAnsi="Times New Roman;sans-serif"/>
          <w:b w:val="false"/>
          <w:color w:val="000000"/>
          <w:sz w:val="24"/>
          <w:u w:val="single"/>
        </w:rPr>
        <w:t>Stockholder</w:t>
      </w:r>
      <w:r>
        <w:rPr>
          <w:color w:val="000000"/>
        </w:rPr>
        <w:t xml:space="preserve">” </w:t>
      </w:r>
      <w:r>
        <w:rPr>
          <w:rFonts w:ascii="Times New Roman;sans-serif" w:hAnsi="Times New Roman;sans-serif"/>
          <w:b w:val="false"/>
          <w:color w:val="000000"/>
          <w:sz w:val="24"/>
        </w:rPr>
        <w:t>and are collectively referred to herein as the “</w:t>
      </w:r>
      <w:r>
        <w:rPr>
          <w:rFonts w:ascii="Times New Roman;sans-serif" w:hAnsi="Times New Roman;sans-serif"/>
          <w:b w:val="false"/>
          <w:color w:val="000000"/>
          <w:sz w:val="24"/>
          <w:u w:val="single"/>
        </w:rPr>
        <w:t>Stockholders</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(the “</w:t>
      </w:r>
      <w:r>
        <w:rPr>
          <w:rFonts w:ascii="Times New Roman;sans-serif" w:hAnsi="Times New Roman;sans-serif"/>
          <w:b w:val="false"/>
          <w:color w:val="000000"/>
          <w:sz w:val="24"/>
          <w:u w:val="single"/>
        </w:rPr>
        <w:t>Existing Investors</w:t>
      </w:r>
      <w:r>
        <w:rPr>
          <w:color w:val="000000"/>
        </w:rPr>
        <w:t>”</w:t>
      </w:r>
      <w:r>
        <w:rPr>
          <w:rFonts w:ascii="Times New Roman;sans-serif" w:hAnsi="Times New Roman;sans-serif"/>
          <w:b w:val="false"/>
          <w:color w:val="000000"/>
          <w:sz w:val="24"/>
        </w:rPr>
        <w:t>) hold shares of the Company’s Series A-1 Preferred Stock, Series A-2 Preferred Stock, Series B Preferred Stock, Series C Preferred Stock and/or shares of Common Stock issued upon conversion thereof and possess registration rights, information rights, rights of first offer and other rights pursuant to that certain Amended and Restated Investors’ Rights Agreement dated [***] by and among the Company, certain holders of Common Stock and such Existing Investors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Prior Agreement may be amended, and any provision therein waived, with the consent of the Company and the holders of [***] of the outstanding Preferred Stock (as such term is defined in the Prior Agreement);</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Existing Investors as holders of [***] of the outstanding Preferred Stock (as such term is defined in the Prior Agreement) of the Company desire to terminate the Prior Agreement and to accept the rights created pursuant hereto in lieu of the rights granted to them under the Prior Agreement; and</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certain Investors are parties to that certain Series D Preferred Stock Purchase Agreement of even date herewith by and among the Company and certain of the </w:t>
      </w:r>
      <w:r>
        <w:br w:type="page"/>
      </w:r>
    </w:p>
    <w:p>
      <w:pPr>
        <w:pStyle w:val="TextBody"/>
        <w:spacing w:before="0" w:after="0"/>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Investors (the “</w:t>
      </w:r>
      <w:r>
        <w:rPr>
          <w:rFonts w:ascii="Times New Roman;sans-serif" w:hAnsi="Times New Roman;sans-serif"/>
          <w:b w:val="false"/>
          <w:color w:val="000000"/>
          <w:sz w:val="24"/>
          <w:u w:val="single"/>
        </w:rPr>
        <w:t>Series D Agreement</w:t>
      </w:r>
      <w:r>
        <w:rPr>
          <w:color w:val="000000"/>
        </w:rPr>
        <w:t>”</w:t>
      </w:r>
      <w:r>
        <w:rPr>
          <w:rFonts w:ascii="Times New Roman;sans-serif" w:hAnsi="Times New Roman;sans-serif"/>
          <w:b w:val="false"/>
          <w:color w:val="000000"/>
          <w:sz w:val="24"/>
        </w:rPr>
        <w:t>), which provides that as a condition to the closing of the sale of the Series D Preferred Stock, this Agreement must be executed and delivered by such Investors, Existing Investors holding [***] of the outstanding Preferred Stock (as such term is defined in the Prior Agreement) of the Company, and the Company.</w:t>
      </w:r>
    </w:p>
    <w:p>
      <w:pPr>
        <w:pStyle w:val="TextBody"/>
        <w:spacing w:lineRule="auto" w:line="240"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promises and covenants set forth herein, the Company and the Existing Investors hereby agree that the Prior Agreement shall be superseded and replaced in its entirety by this Agreement, and the parties hereto further agree as follows:</w:t>
      </w:r>
    </w:p>
    <w:p>
      <w:pPr>
        <w:pStyle w:val="TextBody"/>
        <w:spacing w:lineRule="auto" w:line="240" w:before="0" w:after="240"/>
        <w:ind w:left="0" w:right="0" w:firstLine="144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For purposes of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1934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spacing w:lineRule="auto" w:line="240"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means the Securities Act of 1933, as amended, and the rules and regulations promulgated thereunder.</w:t>
      </w:r>
    </w:p>
    <w:p>
      <w:pPr>
        <w:pStyle w:val="TextBody"/>
        <w:spacing w:lineRule="auto" w:line="240"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(i) with respect to any specified Person, any other Person who or which, directly or indirectly, controls, is controlled by, or is under common control with such specified Person, including, without limitation, any general partner, officer, director, member, manager or stockholder of such Person and any venture capital fund now or hereafter existing that is controlled by one or more general partners or managing members of, or is under common investment management with, such Person, in each case where the term “control” means ownership of at least 50% of the voting securities of an entity [***].</w:t>
      </w:r>
    </w:p>
    <w:p>
      <w:pPr>
        <w:pStyle w:val="TextBody"/>
        <w:spacing w:lineRule="auto" w:line="240" w:before="0" w:after="240"/>
        <w:ind w:left="0" w:right="0" w:firstLine="21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Company’s Board of Directors, as constituted from time to time.</w:t>
      </w:r>
    </w:p>
    <w:p>
      <w:pPr>
        <w:pStyle w:val="TextBody"/>
        <w:spacing w:lineRule="auto" w:line="240" w:before="0" w:after="240"/>
        <w:ind w:left="0" w:right="0" w:firstLine="21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Form S-3</w:t>
      </w:r>
      <w:r>
        <w:rPr>
          <w:color w:val="000000"/>
        </w:rPr>
        <w:t xml:space="preserve">” </w:t>
      </w:r>
      <w:r>
        <w:rPr>
          <w:rFonts w:ascii="Times New Roman;sans-serif" w:hAnsi="Times New Roman;sans-serif"/>
          <w:b w:val="false"/>
          <w:color w:val="000000"/>
          <w:sz w:val="24"/>
        </w:rPr>
        <w:t>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pStyle w:val="TextBody"/>
        <w:spacing w:lineRule="auto" w:line="240" w:before="0" w:after="240"/>
        <w:ind w:left="0" w:right="0" w:firstLine="21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Free Writing Prospectus</w:t>
      </w:r>
      <w:r>
        <w:rPr>
          <w:color w:val="000000"/>
        </w:rPr>
        <w:t xml:space="preserve">” </w:t>
      </w:r>
      <w:r>
        <w:rPr>
          <w:rFonts w:ascii="Times New Roman;sans-serif" w:hAnsi="Times New Roman;sans-serif"/>
          <w:b w:val="false"/>
          <w:color w:val="000000"/>
          <w:sz w:val="24"/>
        </w:rPr>
        <w:t>means a free-writing prospectus, as defined in Rule 405.</w:t>
      </w:r>
    </w:p>
    <w:p>
      <w:pPr>
        <w:pStyle w:val="TextBody"/>
        <w:spacing w:lineRule="auto" w:line="240" w:before="0" w:after="240"/>
        <w:ind w:left="0" w:right="0" w:firstLine="216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any Person owning Registrable Securities who is a party to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Initial Offering</w:t>
      </w:r>
      <w:r>
        <w:rPr>
          <w:color w:val="000000"/>
        </w:rPr>
        <w:t xml:space="preserve">” </w:t>
      </w:r>
      <w:r>
        <w:rPr>
          <w:rFonts w:ascii="Times New Roman;sans-serif" w:hAnsi="Times New Roman;sans-serif"/>
          <w:b w:val="false"/>
          <w:color w:val="000000"/>
          <w:sz w:val="24"/>
        </w:rPr>
        <w:t>means the Company’s first firm commitment underwritten public offering of its Common Stock under the Act.</w:t>
      </w:r>
    </w:p>
    <w:p>
      <w:pPr>
        <w:pStyle w:val="TextBody"/>
        <w:spacing w:lineRule="auto" w:line="240" w:before="0" w:after="240"/>
        <w:ind w:left="0" w:right="0" w:firstLine="216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corporation, partnership, trust, limited liability company, association or other entity.</w:t>
      </w:r>
    </w:p>
    <w:p>
      <w:pPr>
        <w:pStyle w:val="TextBody"/>
        <w:spacing w:lineRule="auto" w:line="240" w:before="0" w:after="240"/>
        <w:ind w:left="0" w:right="0" w:firstLine="216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rPr>
        <w:t>The terms “</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registered</w:t>
      </w:r>
      <w:r>
        <w:rPr>
          <w:rFonts w:ascii="Times New Roman;sans-serif" w:hAnsi="Times New Roman;sans-serif"/>
          <w:b w:val="false"/>
          <w:color w:val="000000"/>
          <w:sz w:val="24"/>
        </w:rPr>
        <w:t>,” and “</w:t>
      </w:r>
      <w:r>
        <w:rPr>
          <w:rFonts w:ascii="Times New Roman;sans-serif" w:hAnsi="Times New Roman;sans-serif"/>
          <w:b w:val="false"/>
          <w:color w:val="000000"/>
          <w:sz w:val="24"/>
          <w:u w:val="single"/>
        </w:rPr>
        <w:t>registration</w:t>
      </w:r>
      <w:r>
        <w:rPr>
          <w:color w:val="000000"/>
        </w:rPr>
        <w:t xml:space="preserve">” </w:t>
      </w:r>
      <w:r>
        <w:rPr>
          <w:rFonts w:ascii="Times New Roman;sans-serif" w:hAnsi="Times New Roman;sans-serif"/>
          <w:b w:val="false"/>
          <w:color w:val="000000"/>
          <w:sz w:val="24"/>
        </w:rPr>
        <w:t>refer to a registration effected by preparing and filing a registration statement or similar document in compliance with the Act, and the declaration or ordering of effectiveness of such registration statement or document.</w:t>
      </w:r>
    </w:p>
    <w:p>
      <w:pPr>
        <w:pStyle w:val="TextBody"/>
        <w:spacing w:lineRule="auto" w:line="240" w:before="0" w:after="240"/>
        <w:ind w:left="0" w:right="0" w:firstLine="216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Registrable Securities</w:t>
      </w:r>
      <w:r>
        <w:rPr>
          <w:color w:val="000000"/>
        </w:rPr>
        <w:t xml:space="preserve">” </w:t>
      </w:r>
      <w:r>
        <w:rPr>
          <w:rFonts w:ascii="Times New Roman;sans-serif" w:hAnsi="Times New Roman;sans-serif"/>
          <w:b w:val="false"/>
          <w:color w:val="000000"/>
          <w:sz w:val="24"/>
        </w:rPr>
        <w:t xml:space="preserve">means (i) the Common Stock issuable or issued upon conversion of the Preferred Stock and (ii) any Common Stock of the Company issued as (or issuable upon the conversion or exercise of any warrant, right or other </w:t>
      </w:r>
      <w:r>
        <w:br w:type="page"/>
      </w:r>
    </w:p>
    <w:p>
      <w:pPr>
        <w:pStyle w:val="TextBody"/>
        <w:spacing w:before="0" w:after="0"/>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350520"/>
                <wp:effectExtent l="0" t="0" r="0" b="0"/>
                <wp:wrapNone/>
                <wp:docPr id="256" name="Frame25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security that is issued as) a dividend or other distribution with respect to, or in exchange for, or in replacement of, the shares referenced in (i) above or any other Common Stock held by a holder of Preferred Stock, excluding in all cases, however, any Registrable Securities sold by a Person in a transaction in which such Person’s rights under Section 2 of this Agreement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Restated Certificate</w:t>
      </w:r>
      <w:r>
        <w:rPr>
          <w:color w:val="000000"/>
        </w:rPr>
        <w:t xml:space="preserve">” </w:t>
      </w:r>
      <w:r>
        <w:rPr>
          <w:rFonts w:ascii="Times New Roman;sans-serif" w:hAnsi="Times New Roman;sans-serif"/>
          <w:b w:val="false"/>
          <w:color w:val="000000"/>
          <w:sz w:val="24"/>
        </w:rPr>
        <w:t>means the Company’s Amended and Restated Certificate of Incorporation, as amended from time to time.</w:t>
      </w:r>
    </w:p>
    <w:p>
      <w:pPr>
        <w:pStyle w:val="TextBody"/>
        <w:spacing w:lineRule="auto" w:line="240" w:before="0" w:after="240"/>
        <w:ind w:left="0" w:right="0" w:firstLine="216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144</w:t>
      </w:r>
      <w:r>
        <w:rPr>
          <w:color w:val="000000"/>
        </w:rPr>
        <w:t xml:space="preserve">” </w:t>
      </w:r>
      <w:r>
        <w:rPr>
          <w:rFonts w:ascii="Times New Roman;sans-serif" w:hAnsi="Times New Roman;sans-serif"/>
          <w:b w:val="false"/>
          <w:color w:val="000000"/>
          <w:sz w:val="24"/>
        </w:rPr>
        <w:t>shall mean Rule 144 under the Act.</w:t>
      </w:r>
    </w:p>
    <w:p>
      <w:pPr>
        <w:pStyle w:val="TextBody"/>
        <w:spacing w:lineRule="auto" w:line="240" w:before="0" w:after="240"/>
        <w:ind w:left="0" w:right="0" w:firstLine="216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144(b)(1)(i)</w:t>
      </w:r>
      <w:r>
        <w:rPr>
          <w:color w:val="000000"/>
        </w:rPr>
        <w:t xml:space="preserve">” </w:t>
      </w:r>
      <w:r>
        <w:rPr>
          <w:rFonts w:ascii="Times New Roman;sans-serif" w:hAnsi="Times New Roman;sans-serif"/>
          <w:b w:val="false"/>
          <w:color w:val="000000"/>
          <w:sz w:val="24"/>
        </w:rPr>
        <w:t>shall mean subsection (b)(1)(i) of Rule 144 under the Act as it applies to Persons who have held shares for more than one (1) year.</w:t>
      </w:r>
    </w:p>
    <w:p>
      <w:pPr>
        <w:pStyle w:val="TextBody"/>
        <w:spacing w:lineRule="auto" w:line="240" w:before="0" w:after="240"/>
        <w:ind w:left="0" w:right="0" w:firstLine="216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405</w:t>
      </w:r>
      <w:r>
        <w:rPr>
          <w:color w:val="000000"/>
        </w:rPr>
        <w:t xml:space="preserve">” </w:t>
      </w:r>
      <w:r>
        <w:rPr>
          <w:rFonts w:ascii="Times New Roman;sans-serif" w:hAnsi="Times New Roman;sans-serif"/>
          <w:b w:val="false"/>
          <w:color w:val="000000"/>
          <w:sz w:val="24"/>
        </w:rPr>
        <w:t>shall mean Rule 405 under the Act.</w:t>
      </w:r>
    </w:p>
    <w:p>
      <w:pPr>
        <w:pStyle w:val="TextBody"/>
        <w:spacing w:lineRule="auto" w:line="240" w:before="0" w:after="240"/>
        <w:ind w:left="0" w:right="0" w:firstLine="216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shall mean the Securities and Exchange Commission.</w:t>
      </w:r>
    </w:p>
    <w:p>
      <w:pPr>
        <w:pStyle w:val="TextBody"/>
        <w:spacing w:lineRule="auto" w:line="240" w:before="0" w:after="240"/>
        <w:ind w:left="0" w:right="0" w:firstLine="216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shall mean any shares of, or securities convertible into or exchangeable or exercisable for any shares of, the Company’s capital stock.</w:t>
      </w:r>
    </w:p>
    <w:p>
      <w:pPr>
        <w:pStyle w:val="TextBody"/>
        <w:spacing w:lineRule="auto" w:line="240" w:before="0" w:after="240"/>
        <w:ind w:left="0" w:right="0" w:firstLine="144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Registration Rights.</w:t>
      </w:r>
    </w:p>
    <w:p>
      <w:pPr>
        <w:pStyle w:val="TextBody"/>
        <w:spacing w:lineRule="auto" w:line="240" w:before="0" w:after="240"/>
        <w:ind w:left="0" w:right="0" w:firstLine="216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Request for Registration</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conditions of this Section 2.1, if the Company shall receive at any time after the earlier of (i) [***] of the date of this Agreement; or (ii) [***] following the effective date of the Initial Offering, a written request from any Holders of the Registrable Securities (for purposes of this Section 2.1, the “</w:t>
      </w:r>
      <w:r>
        <w:rPr>
          <w:rFonts w:ascii="Times New Roman;sans-serif" w:hAnsi="Times New Roman;sans-serif"/>
          <w:b w:val="false"/>
          <w:color w:val="000000"/>
          <w:sz w:val="24"/>
          <w:u w:val="single"/>
        </w:rPr>
        <w:t>Initiating Holders</w:t>
      </w:r>
      <w:r>
        <w:rPr>
          <w:color w:val="000000"/>
        </w:rPr>
        <w:t>”</w:t>
      </w:r>
      <w:r>
        <w:rPr>
          <w:rFonts w:ascii="Times New Roman;sans-serif" w:hAnsi="Times New Roman;sans-serif"/>
          <w:b w:val="false"/>
          <w:color w:val="000000"/>
          <w:sz w:val="24"/>
        </w:rPr>
        <w:t xml:space="preserve">), including Neuberger or Temasek for clause (i), that the Company file two (2) registration statements under the Act covering the registration of Registrable Securities with an anticipated aggregate offering price of at least [***], then the Company shall, within [***] of the receipt thereof, give written notice of such request to all Holders, and subject to the limitations of this Section 2.1, use its commercially reasonable efforts to effect, as soon as practicable, the registration under the Act of all Registrable Securities that the Holders request to be registered in a written request received by the Company within [***] of the mailing of the Company’s notice pursuant to this Section 2.1(a). </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 of the Registrable Securities then held by all Initiating Holders). </w:t>
      </w:r>
      <w:r>
        <w:br w:type="page"/>
      </w:r>
    </w:p>
    <w:p>
      <w:pPr>
        <w:pStyle w:val="TextBody"/>
        <w:spacing w:before="0" w:after="0"/>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350520"/>
                <wp:effectExtent l="0" t="0" r="0" b="0"/>
                <wp:wrapNone/>
                <wp:docPr id="257" name="Frame25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the foregoing, the Company shall not be required to effect a registration pursuant to this Section 2.1:</w:t>
      </w:r>
    </w:p>
    <w:p>
      <w:pPr>
        <w:pStyle w:val="TextBody"/>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pStyle w:val="TextBody"/>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after the Company has effected [***] registrations pursuant to this Section 2.1, and such registrations have been declared or ordered effective; or</w:t>
      </w:r>
    </w:p>
    <w:p>
      <w:pPr>
        <w:pStyle w:val="TextBody"/>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during the period starting with the date [***] prior to the Company’s good faith estimate of the date of the filing of and ending on a date [***] following the effective date of a Company initiated registration subject to Section 2.2 below, provided that the Company is actively employing in good faith its commercially reasonable efforts to cause such registration statement to become effective; or</w:t>
      </w:r>
    </w:p>
    <w:p>
      <w:pPr>
        <w:pStyle w:val="TextBody"/>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if the Initiating Holders propose to dispose of Registrable Securities that may be registered on Form S-3 pursuant to Section 2.3 hereof; or </w:t>
      </w:r>
    </w:p>
    <w:p>
      <w:pPr>
        <w:pStyle w:val="TextBody"/>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Company shall furnish to Holders requesting a registration statement pursuant to this Section 2.1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 after receipt of the request of the Initiating Holders; provided that such right shall be exercised by the Company not more than [once] in any [***] period.</w:t>
      </w:r>
    </w:p>
    <w:p>
      <w:pPr>
        <w:pStyle w:val="TextBody"/>
        <w:spacing w:lineRule="auto" w:line="240" w:before="0" w:after="240"/>
        <w:ind w:left="0" w:right="0" w:firstLine="216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Company Registration</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2.1 of this Agreement, (ii) a registration relating solely to the sale of securities of participants in a Company stock plan, (iii) a registration relating to a corporate reorganization or transaction under Rule 145 of the Act, (iv) a registration on any form that does not include substantially the same information as would be required to be included in a registration statement covering the sale of the Registrable Securities, or (v)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 after mailing of such notice by the Company in accordance with Section 5.5 of this </w:t>
      </w:r>
      <w:r>
        <w:br w:type="page"/>
      </w:r>
    </w:p>
    <w:p>
      <w:pPr>
        <w:pStyle w:val="TextBody"/>
        <w:spacing w:before="0" w:after="0"/>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350520"/>
                <wp:effectExtent l="0" t="0" r="0" b="0"/>
                <wp:wrapNone/>
                <wp:docPr id="258" name="Frame25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the Company shall, subject to the provisions of Section 2.2(c) of this Agreement, use its commercially reasonable efforts to cause to be registered under the Act all of the Registrable Securities that each such Holder requests to be registered.</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Right to Terminate Registration</w:t>
      </w:r>
      <w:r>
        <w:rPr>
          <w:rFonts w:ascii="Times New Roman;sans-serif" w:hAnsi="Times New Roman;sans-serif"/>
          <w:b w:val="false"/>
          <w:color w:val="000000"/>
          <w:sz w:val="24"/>
        </w:rPr>
        <w:t>. The Company shall have the right to terminate or withdraw any registration initiated by it under this Section 2.2 prior to the effectiveness of such registration whether or not any Holder has elected to include securities in such registration. The expenses of such withdrawn registration shall be borne by the Company in accordance with Section 2.6 hereof.</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Underwriting Requirements</w:t>
      </w:r>
      <w:r>
        <w:rPr>
          <w:rFonts w:ascii="Times New Roman;sans-serif" w:hAnsi="Times New Roman;sans-serif"/>
          <w:b w:val="false"/>
          <w:color w:val="000000"/>
          <w:sz w:val="24"/>
        </w:rPr>
        <w:t>.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any Registrable Securities be excluded from such offering unless all other stockholders’ securities have been first excluded from the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or any Person who shares an investment advisor with the Holder, shall be deemed to be a single “selling Holder,” and any pro rata reduction with respect to such “selling Holder” shall be based upon the aggregate amount of Registrable Securities owned by all such related entities and individuals.</w:t>
      </w:r>
    </w:p>
    <w:p>
      <w:pPr>
        <w:pStyle w:val="TextBody"/>
        <w:spacing w:lineRule="auto" w:line="240" w:before="0" w:after="240"/>
        <w:ind w:left="0" w:right="0" w:firstLine="216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Form S-3 Registration</w:t>
      </w:r>
      <w:r>
        <w:rPr>
          <w:rFonts w:ascii="Times New Roman;sans-serif" w:hAnsi="Times New Roman;sans-serif"/>
          <w:b w:val="false"/>
          <w:color w:val="000000"/>
          <w:sz w:val="24"/>
        </w:rPr>
        <w:t>. In case the Company shall receive from any Holders of the Registrable Securities (for purposes of this Section 2.3, the “</w:t>
      </w:r>
      <w:r>
        <w:rPr>
          <w:rFonts w:ascii="Times New Roman;sans-serif" w:hAnsi="Times New Roman;sans-serif"/>
          <w:b w:val="false"/>
          <w:color w:val="000000"/>
          <w:sz w:val="24"/>
          <w:u w:val="single"/>
        </w:rPr>
        <w:t>S-3 Initiating Holders</w:t>
      </w:r>
      <w:r>
        <w:rPr>
          <w:color w:val="000000"/>
        </w:rPr>
        <w:t>”</w:t>
      </w:r>
      <w:r>
        <w:rPr>
          <w:rFonts w:ascii="Times New Roman;sans-serif" w:hAnsi="Times New Roman;sans-serif"/>
          <w:b w:val="false"/>
          <w:color w:val="000000"/>
          <w:sz w:val="24"/>
        </w:rPr>
        <w:t>) a written request or requests that the Company effect a registration on Form S-3 covering the registration of Registrable Securities with an anticipated aggregate offering price of at least [***] and any related qualification or compliance with respect to all or a part of the Registrable Securities owned by such Holder or Holders, the Company shall:</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promptly give written notice of the proposed registration, and any related qualification or compliance, to all other Holders; and</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w:t>
      </w:r>
      <w:r>
        <w:br w:type="page"/>
      </w:r>
    </w:p>
    <w:p>
      <w:pPr>
        <w:pStyle w:val="TextBody"/>
        <w:spacing w:before="0" w:after="0"/>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350520"/>
                <wp:effectExtent l="0" t="0" r="0" b="0"/>
                <wp:wrapNone/>
                <wp:docPr id="259" name="Frame25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request given within [***] after receipt of such written notice from the Company; provided, however, that the Company shall not be obligated to effect any such registration, qualification or compliance, pursuant to this Section 2.3:</w:t>
      </w:r>
    </w:p>
    <w:p>
      <w:pPr>
        <w:pStyle w:val="TextBody"/>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Form S-3 is not available for such offering by the Holders;</w:t>
      </w:r>
    </w:p>
    <w:p>
      <w:pPr>
        <w:pStyle w:val="TextBody"/>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w:t>
      </w:r>
    </w:p>
    <w:p>
      <w:pPr>
        <w:pStyle w:val="TextBody"/>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if the Company shall furnish to all Holders requesting a registration statement pursuant to this Section 2.3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 after receipt of the request of the S-3 Initiating Holders; provided that such right shall be exercised by the Company not more than [***] in any [***] period;</w:t>
      </w:r>
    </w:p>
    <w:p>
      <w:pPr>
        <w:pStyle w:val="TextBody"/>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in any particular jurisdiction in which the Company would be required to qualify to do business or to execute a general consent to service of process in effecting such registration, qualification or compliance; </w:t>
      </w:r>
    </w:p>
    <w:p>
      <w:pPr>
        <w:pStyle w:val="TextBody"/>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Company, within [***] of receipt of the request of such S-3 Initiating Holders, gives notice of its bona fide intention to effect the filing of a registration statement with the SEC within [***] of receipt of such request (other than a registration effected solely to qualify an employee benefit plan or to effect a business combination pursuant to Rule 145), provided that the Company is actively employing in good faith its commercially reasonable efforts to cause such registration statement to become effective; or</w:t>
      </w:r>
    </w:p>
    <w:p>
      <w:pPr>
        <w:pStyle w:val="TextBody"/>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during the period starting with the date [***] prior to the Company’s good faith estimate of the date of the filing of and ending on a date [***] following the effective date of a Company initiated registration subject to Section 2.2 of this Agreement, provided that the Company is actively employing in good faith its commercially reasonable efforts to cause such registration statement to become effective.</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 </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350520"/>
                <wp:effectExtent l="0" t="0" r="0" b="0"/>
                <wp:wrapNone/>
                <wp:docPr id="260" name="Frame25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Obligations of the Company</w:t>
      </w:r>
      <w:r>
        <w:rPr>
          <w:rFonts w:ascii="Times New Roman;sans-serif" w:hAnsi="Times New Roman;sans-serif"/>
          <w:b w:val="false"/>
          <w:color w:val="000000"/>
          <w:sz w:val="24"/>
        </w:rPr>
        <w:t xml:space="preserve">. Whenever required under this Section 2 to effect the registration of any Registrable Securities, the Company shall, as expeditiously as reasonably possible: </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prepare and file with the SEC a registration statement with respect to such Registrable Securities and use its commercially reasonable efforts to cause such registration statement to become effective, and, upon the request of the Holders of [***] of the Registrable Securities registered thereunder, keep such registration statement effective for a period of up to [***] or, if earlier, until the distribution contemplated in the Registration Statement has been completed;</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use its commercially reasonable efforts to register and qualify the securities covered by such registration statement under such other securities or Blue Sky laws of such jurisdictions as shall be reasonably requested by the Holders,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in connection therewith or as a condition thereto to qualify to do business or to file a general consent to service of process in any such states or jurisdictions;</w:t>
      </w:r>
    </w:p>
    <w:p>
      <w:pPr>
        <w:pStyle w:val="TextBody"/>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of any underwritten public offering, enter into and perform its obligations under an underwriting agreement, in usual and customary form, with the managing underwriter of such offering;</w:t>
      </w:r>
    </w:p>
    <w:p>
      <w:pPr>
        <w:pStyle w:val="TextBody"/>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pStyle w:val="TextBody"/>
        <w:spacing w:lineRule="auto" w:line="240" w:before="0" w:after="240"/>
        <w:ind w:left="0" w:right="0" w:firstLine="288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cause all such Registrable Securities registered pursuant to this Section 2 to be listed on a national exchange or trading system and on each securities exchange and trading system on which similar securities issued by the Company are then listed;</w:t>
      </w:r>
    </w:p>
    <w:p>
      <w:pPr>
        <w:pStyle w:val="TextBody"/>
        <w:spacing w:lineRule="auto" w:line="240" w:before="0" w:after="240"/>
        <w:ind w:left="0" w:right="0" w:firstLine="288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promptly make available for inspection by the selling Holders, any managing underwriter(s) participating in any disposition pursuant to such registration statement, and any attorney or accountant or other agent retained by any such </w:t>
      </w:r>
      <w:r>
        <w:br w:type="page"/>
      </w:r>
    </w:p>
    <w:p>
      <w:pPr>
        <w:pStyle w:val="TextBody"/>
        <w:spacing w:before="0" w:after="0"/>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350520"/>
                <wp:effectExtent l="0" t="0" r="0" b="0"/>
                <wp:wrapNone/>
                <wp:docPr id="261" name="Frame26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7</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and</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provide a transfer agent and registrar for all Registrable Securities registered pursuant to this Agreement and a CUSIP number for all such Registrable Securities, in each case not later than the effective date of such registration.</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4"/>
        </w:rPr>
        <w:t xml:space="preserve">Notwithstanding the provisions of this Section 2,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materially impede, delay or interfere with any material pending or proposed financing, acquisition, corporate reorganization or other similar transaction involving the Company for which the Board has authorized negotiations;</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materially and adversely impair the consummation of any pending or proposed material offering or sale of any class of securities by the Company; or</w:t>
      </w:r>
    </w:p>
    <w:p>
      <w:pPr>
        <w:pStyle w:val="TextBody"/>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require disclosure of material nonpublic information that, if disclosed at such time, would be materially harmful to the interests of the Company and its stockholders;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during any such period all executive officers and directors of the Company are also prohibited from selling securities of the Company (or any security of any of the Company’s subsidiaries or affiliates).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w:t>
      </w:r>
    </w:p>
    <w:p>
      <w:pPr>
        <w:pStyle w:val="TextBody"/>
        <w:spacing w:lineRule="auto" w:line="240" w:before="0" w:after="240"/>
        <w:ind w:left="0" w:right="0" w:firstLine="216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Information from Holder</w:t>
      </w:r>
      <w:r>
        <w:rPr>
          <w:rFonts w:ascii="Times New Roman;sans-serif" w:hAnsi="Times New Roman;sans-serif"/>
          <w:b w:val="false"/>
          <w:color w:val="000000"/>
          <w:sz w:val="24"/>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Expenses of Registration</w:t>
      </w:r>
      <w:r>
        <w:rPr>
          <w:rFonts w:ascii="Times New Roman;sans-serif" w:hAnsi="Times New Roman;sans-serif"/>
          <w:b w:val="false"/>
          <w:color w:val="000000"/>
          <w:sz w:val="24"/>
        </w:rPr>
        <w:t xml:space="preserve">. All expenses other than underwriting discounts, stock transfer taxes and commissions incurred in connection with registrations, filings or qualifications pursuant to Sections 2.1, 2.2 and 2.3 of this Agreement, including, without limitation, all registration, filing and qualification fees, printers’ and accounting fees, fees and disbursements of counsel for the Company and the reasonable fees and disbursements of one counsel for the selling Holders (not to exceed [***]) shall be borne by the Company. Notwithstanding the foregoing, the Company shall not be required to pay for any expenses of any registration proceeding begun pursuant to Section 2.1 of this Agreement if the registration request is subsequently withdrawn at the request of the Holders of [***] of the Registrable Securities to be registered (in which case all participating Holders shall bear such expenses pro rata based upon the number of Registrable Securities that were to be included in the withdrawn registration); provided, however, that if at the time of such withdrawal, the Holders have learned </w:t>
      </w:r>
      <w:r>
        <w:br w:type="page"/>
      </w:r>
    </w:p>
    <w:p>
      <w:pPr>
        <w:pStyle w:val="TextBody"/>
        <w:spacing w:before="0" w:after="0"/>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350520"/>
                <wp:effectExtent l="0" t="0" r="0" b="0"/>
                <wp:wrapNone/>
                <wp:docPr id="262" name="Frame26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2.1 of this Agreement. </w:t>
      </w:r>
    </w:p>
    <w:p>
      <w:pPr>
        <w:pStyle w:val="TextBody"/>
        <w:spacing w:lineRule="auto" w:line="240" w:before="0" w:after="240"/>
        <w:ind w:left="0" w:right="0" w:firstLine="216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Delay of Registration</w:t>
      </w:r>
      <w:r>
        <w:rPr>
          <w:rFonts w:ascii="Times New Roman;sans-serif" w:hAnsi="Times New Roman;sans-serif"/>
          <w:b w:val="false"/>
          <w:color w:val="000000"/>
          <w:sz w:val="24"/>
        </w:rPr>
        <w:t>. No Holder shall have any right to obtain or seek an injunction restraining or otherwise delaying any such registration as the result of any controversy that might arise with respect to the interpretation or implementation of this Section 2.</w:t>
      </w:r>
    </w:p>
    <w:p>
      <w:pPr>
        <w:pStyle w:val="TextBody"/>
        <w:spacing w:lineRule="auto" w:line="240" w:before="0" w:after="240"/>
        <w:ind w:left="0" w:right="0" w:firstLine="216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In the event any Registrable Securities are included in a registration statement under this Section 2:</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sans-serif" w:hAnsi="Times New Roman;sans-serif"/>
          <w:b w:val="false"/>
          <w:color w:val="000000"/>
          <w:sz w:val="24"/>
          <w:u w:val="single"/>
        </w:rPr>
        <w:t>Violation</w:t>
      </w:r>
      <w:r>
        <w:rPr>
          <w:color w:val="000000"/>
        </w:rPr>
        <w:t>”</w:t>
      </w:r>
      <w:r>
        <w:rPr>
          <w:rFonts w:ascii="Times New Roman;sans-serif" w:hAnsi="Times New Roman;sans-serif"/>
          <w:b w:val="false"/>
          <w:color w:val="000000"/>
          <w:sz w:val="24"/>
        </w:rPr>
        <w:t>): (i) 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provided, however,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such Holder, underwriter, controlling Person or other aforementioned Person.</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w:t>
      </w:r>
      <w:r>
        <w:br w:type="page"/>
      </w:r>
    </w:p>
    <w:p>
      <w:pPr>
        <w:pStyle w:val="TextBody"/>
        <w:spacing w:before="0" w:after="0"/>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350520"/>
                <wp:effectExtent l="0" t="0" r="0" b="0"/>
                <wp:wrapNone/>
                <wp:docPr id="263" name="Frame26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9</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provided, however,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provided that in no event shall any indemnity under this Section 2.8(b) exceed the gross proceeds from the offering received by such Holder.</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(1) separate counsel, with the fees and expenses to be paid by the indemnifying party, if (i) representation of such indemnified party by the counsel retained by the indemnifying party would be inappropriate due to actual or potential differing interests between such indemnified party and any other party represented by such counsel in such proceeding, (ii) the indemnifying party does not deliver to the indemnified party within sixty (60) days of receipt of notice of such action or proceeding an acknowledgement that, if the facts as alleged by the claimant in such action or proceeding are true, the indemnifying party would have an indemnity obligation for the expenses, losses, claims, damages and liabilities resulting from such action or proceeding as provided hereunder, (iii) the action or proceeding relates to or arises in connection with any criminal proceeding, action, indictment or allegation, (iv) the indemnified party reasonably believes an adverse determination with respect to the action or proceeding would be detrimental to the reputation or future business prospects of the indemnified party or any of its affiliates or (v) the action or proceeding seeks an injunction or equitable relief against the indemnified party or any of its affiliates. The failure to deliver written notice to the indemnifying party within a reasonable time of the commencement of any such action or proceeding, if prejudicial to its ability to defend such action or proceeding, shall relieve such indemnifying party of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(i) no contribution by any Holder, when combined with any amounts paid by such Holder pursuant to Section 2.8(b), shall exceed the </w:t>
      </w:r>
      <w:r>
        <w:br w:type="page"/>
      </w:r>
    </w:p>
    <w:p>
      <w:pPr>
        <w:pStyle w:val="TextBody"/>
        <w:spacing w:before="0" w:after="0"/>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350520"/>
                <wp:effectExtent l="0" t="0" r="0" b="0"/>
                <wp:wrapNone/>
                <wp:docPr id="264" name="Frame26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gross proceeds from the offering received by such Holder and (ii) no Person guilty of fraudulent misrepresentation (within the meaning of Section 11(f) of the Act) will be entitled to contribution from any Person who was not guilty of such fraudulent misrepresentation; and provided further that in no event shall a Holder’s liability pursuant to this Section 2.8(d), when combined with the amounts paid or payable by such Holder pursuant to Section 2.8(b),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pStyle w:val="TextBody"/>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obligations of the Company and Holders under this Section 2.8 shall survive the completion of any offering of Registrable Securities in a registration statement under this Section 2 and otherwise.</w:t>
      </w:r>
    </w:p>
    <w:p>
      <w:pPr>
        <w:pStyle w:val="TextBody"/>
        <w:spacing w:lineRule="auto" w:line="240" w:before="0" w:after="240"/>
        <w:ind w:left="0" w:right="0" w:firstLine="1440"/>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Reports Under the 1934 Act</w:t>
      </w:r>
      <w:r>
        <w:rPr>
          <w:rFonts w:ascii="Times New Roman;sans-serif" w:hAnsi="Times New Roman;sans-serif"/>
          <w:b w:val="false"/>
          <w:color w:val="000000"/>
          <w:sz w:val="24"/>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pStyle w:val="TextBody"/>
        <w:spacing w:lineRule="auto" w:line="240" w:before="0" w:after="24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make and keep public information available, as those terms are understood and defined in Rule 144, at all times after the effective date of the Initial Offering;</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file with the SEC in a timely manner all reports and other documents required of the Company under the Act and the 1934 Act; and</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pStyle w:val="TextBody"/>
        <w:spacing w:lineRule="auto" w:line="240" w:before="0" w:after="240"/>
        <w:ind w:left="0" w:right="0" w:firstLine="2160"/>
        <w:jc w:val="both"/>
        <w:rPr/>
      </w:pPr>
      <w:r>
        <w:rPr>
          <w:rFonts w:ascii="Times New Roman;sans-serif" w:hAnsi="Times New Roman;sans-serif"/>
          <w:b w:val="false"/>
          <w:color w:val="000000"/>
          <w:sz w:val="24"/>
        </w:rPr>
        <w:t>2.10</w:t>
      </w:r>
      <w:r>
        <w:rPr>
          <w:rFonts w:ascii="Times New Roman;sans-serif" w:hAnsi="Times New Roman;sans-serif"/>
          <w:b w:val="false"/>
          <w:color w:val="000000"/>
          <w:sz w:val="24"/>
          <w:u w:val="single"/>
        </w:rPr>
        <w:t>Assignment of Registration Rights</w:t>
      </w:r>
      <w:r>
        <w:rPr>
          <w:rFonts w:ascii="Times New Roman;sans-serif" w:hAnsi="Times New Roman;sans-serif"/>
          <w:b w:val="false"/>
          <w:color w:val="000000"/>
          <w:sz w:val="24"/>
        </w:rPr>
        <w:t xml:space="preserve">. The rights to cause the Company to register Registrable Securities pursuant to this Section 2 may be assigned (but only with all related obligations) by a Holder to a transferee or assignee of such securities that after such assignment or transfer, holds at least [***] of Registrable Securities (appropriately adjusted for any stock split, dividend, combination or other recapitalization),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w:t>
      </w:r>
      <w:r>
        <w:br w:type="page"/>
      </w:r>
    </w:p>
    <w:p>
      <w:pPr>
        <w:pStyle w:val="TextBody"/>
        <w:spacing w:before="0" w:after="0"/>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350520"/>
                <wp:effectExtent l="0" t="0" r="0" b="0"/>
                <wp:wrapNone/>
                <wp:docPr id="265" name="Frame26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11</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w:t>
      </w:r>
    </w:p>
    <w:p>
      <w:pPr>
        <w:pStyle w:val="TextBody"/>
        <w:spacing w:lineRule="auto" w:line="240" w:before="0" w:after="240"/>
        <w:ind w:left="0" w:right="0" w:firstLine="2160"/>
        <w:jc w:val="both"/>
        <w:rPr/>
      </w:pPr>
      <w:r>
        <w:rPr>
          <w:rFonts w:ascii="Times New Roman;sans-serif" w:hAnsi="Times New Roman;sans-serif"/>
          <w:b w:val="false"/>
          <w:color w:val="000000"/>
          <w:sz w:val="24"/>
        </w:rPr>
        <w:t>2.11</w:t>
      </w:r>
      <w:r>
        <w:rPr>
          <w:rFonts w:ascii="Times New Roman;sans-serif" w:hAnsi="Times New Roman;sans-serif"/>
          <w:b w:val="false"/>
          <w:color w:val="000000"/>
          <w:sz w:val="24"/>
          <w:u w:val="single"/>
        </w:rPr>
        <w:t>Limitations on Subsequent Registration Rights</w:t>
      </w:r>
      <w:r>
        <w:rPr>
          <w:rFonts w:ascii="Times New Roman;sans-serif" w:hAnsi="Times New Roman;sans-serif"/>
          <w:b w:val="false"/>
          <w:color w:val="000000"/>
          <w:sz w:val="24"/>
        </w:rPr>
        <w:t>. From and after the date of this Agreement, the Company shall not, without the prior written consent of the Holders holding [***]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pStyle w:val="TextBody"/>
        <w:spacing w:lineRule="auto" w:line="240" w:before="0" w:after="240"/>
        <w:ind w:left="0" w:right="0" w:firstLine="2160"/>
        <w:jc w:val="both"/>
        <w:rPr/>
      </w:pPr>
      <w:r>
        <w:rPr>
          <w:rFonts w:ascii="Times New Roman;sans-serif" w:hAnsi="Times New Roman;sans-serif"/>
          <w:b w:val="false"/>
          <w:color w:val="000000"/>
          <w:sz w:val="24"/>
        </w:rPr>
        <w:t>2.12</w:t>
      </w:r>
      <w:r>
        <w:rPr>
          <w:color w:val="000000"/>
          <w:u w:val="single"/>
        </w:rPr>
        <w:t>“</w:t>
      </w:r>
      <w:r>
        <w:rPr>
          <w:rFonts w:ascii="Times New Roman;sans-serif" w:hAnsi="Times New Roman;sans-serif"/>
          <w:b w:val="false"/>
          <w:color w:val="000000"/>
          <w:sz w:val="24"/>
          <w:u w:val="single"/>
        </w:rPr>
        <w:t>Market Stand-Off” Agreement</w:t>
      </w:r>
      <w:r>
        <w:rPr>
          <w:rFonts w:ascii="Times New Roman;sans-serif" w:hAnsi="Times New Roman;sans-serif"/>
          <w:b w:val="false"/>
          <w:color w:val="000000"/>
          <w:sz w:val="24"/>
        </w:rPr>
        <w:t>. Each Stockholder hereby agrees that he, she or it will not, without the prior written consent of the managing underwriter, during the period commencing on the date of the final prospectus relating to the Initial Offering and ending on the date specified by the Company and the managing underwriter (such period not to exceed [one hundred eighty (***])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2.12 shall apply only to the Initial Offering, shall not apply to the sale of any shares to an underwriter pursuant to an underwriting agreement, and shall only be applicable to the Holders if all officers, directors and greater than [***] stockholders of the Company enter into similar agreements. Provided that PureTech, as defined below, may dispose of shares of Common Stock during the applicable period only after consultation with its outside counsel and only as it deems necessary in its reasonable judgement to comply with the Investment Company Act of 1940 (the “1940 Act”) and provided further that PureTech shall (i) only dispose of so many shares of Common Stock as it deems reasonably necessary in its reasonable judgement to ensure it shall remain compliant with the 1940 Act and (ii) have provided to the lead underwriter in the Initial Offering notice of the intention to make a disposal as contemplated in this Section 2.12 at least two (2) business days prior to such disposal. The underwriters in connection with the Initial Offering are intended third-party beneficiaries of this Section 2.12 and shall have the right, power and authority to enforce the provisions hereof as though they were a party hereto. Each Stockholder further agrees to execute such agreements as may be reasonably requested by the underwriters in the Initial Offering that are consistent with this Section 2.12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In order to enforce the foregoing covenant, the Company may impose stop-transfer instructions with respect to the securities of each </w:t>
      </w:r>
      <w:r>
        <w:rPr>
          <w:rFonts w:ascii="Times New Roman;sans-serif" w:hAnsi="Times New Roman;sans-serif"/>
          <w:b w:val="false"/>
          <w:color w:val="000000"/>
          <w:sz w:val="24"/>
          <w:u w:val="single"/>
        </w:rPr>
        <w:t xml:space="preserve">Stockholder </w:t>
      </w:r>
      <w:r>
        <w:rPr>
          <w:rFonts w:ascii="Times New Roman;sans-serif" w:hAnsi="Times New Roman;sans-serif"/>
          <w:b w:val="false"/>
          <w:color w:val="000000"/>
          <w:sz w:val="24"/>
        </w:rPr>
        <w:t xml:space="preserve">(and the shares or securities of every other Person subject to the foregoing restriction) until the end of such period. Notwithstanding the foregoing, if (i) during the last [***] of the [***] restricted period, the Company issues an earnings release or material news or a material event relating to the Company occurs; or (ii) prior to the expiration of the [***] period, the Company announces that it will </w:t>
      </w:r>
      <w:r>
        <w:br w:type="page"/>
      </w:r>
    </w:p>
    <w:p>
      <w:pPr>
        <w:pStyle w:val="TextBody"/>
        <w:spacing w:before="0" w:after="0"/>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350520"/>
                <wp:effectExtent l="0" t="0" r="0" b="0"/>
                <wp:wrapNone/>
                <wp:docPr id="266" name="Frame2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release earnings results during the sixteen (16)-day period beginning on the last day of the one hundred eighty (180)-day period, the restrictions imposed by this Section 2.12 shall continue to apply until the expiration of the eighteen (18)-day period beginning on the issuance of the earnings release or the occurrence of the material news or material event).</w:t>
      </w:r>
    </w:p>
    <w:p>
      <w:pPr>
        <w:pStyle w:val="TextBody"/>
        <w:spacing w:lineRule="auto" w:line="240" w:before="0" w:after="240"/>
        <w:ind w:left="0" w:right="0" w:firstLine="2160"/>
        <w:jc w:val="both"/>
        <w:rPr/>
      </w:pPr>
      <w:r>
        <w:rPr>
          <w:rFonts w:ascii="Times New Roman;sans-serif" w:hAnsi="Times New Roman;sans-serif"/>
          <w:b w:val="false"/>
          <w:color w:val="000000"/>
          <w:sz w:val="24"/>
        </w:rPr>
        <w:t>2.13</w:t>
      </w:r>
      <w:r>
        <w:rPr>
          <w:rFonts w:ascii="Times New Roman;sans-serif" w:hAnsi="Times New Roman;sans-serif"/>
          <w:b w:val="false"/>
          <w:color w:val="000000"/>
          <w:sz w:val="24"/>
          <w:u w:val="single"/>
        </w:rPr>
        <w:t>Legends</w:t>
      </w:r>
      <w:r>
        <w:rPr>
          <w:rFonts w:ascii="Times New Roman;sans-serif" w:hAnsi="Times New Roman;sans-serif"/>
          <w:b w:val="false"/>
          <w:color w:val="000000"/>
          <w:sz w:val="24"/>
        </w:rPr>
        <w:t>. Each Stockholder agrees that a legend reading substantially as follows shall be placed on all certificates representing all securities of each Stockholder (and the shares or securities of every other Person subject to the restrictions contained in Section 2.12), as needed:</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SECURITIES REPRESENTED BY THIS CERTIFICATE ARE SUBJECT TO A LOCK-UP PERIOD AFTER THE EFFECTIVE DATE OF THE ISSUER’S REGISTRATION STATEMENT FILED UNDER THE SECURITIES ACT OF 1933, AS AMENDED, AS SET FORTH IN AN AGREEMENT BETWEEN THE COMPANY AND THE ORIGINAL HOLDER OF THESE SECURITIES, A COPY OF WHICH MAY BE OBTAINED AT THE ISSUER’S PRINCIPAL OFFICE. SUCH LOCK-UP PERIOD IS BINDING ON TRANSFEREES OF THESE SECURITIES. </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Any legend required by applicable state “blue sky” securities laws, rules and regulations.</w:t>
      </w:r>
    </w:p>
    <w:p>
      <w:pPr>
        <w:pStyle w:val="TextBody"/>
        <w:spacing w:lineRule="auto" w:line="240" w:before="0" w:after="240"/>
        <w:ind w:left="0" w:right="0" w:firstLine="2160"/>
        <w:jc w:val="both"/>
        <w:rPr/>
      </w:pPr>
      <w:r>
        <w:rPr>
          <w:rFonts w:ascii="Times New Roman;sans-serif" w:hAnsi="Times New Roman;sans-serif"/>
          <w:b w:val="false"/>
          <w:color w:val="000000"/>
          <w:sz w:val="24"/>
        </w:rPr>
        <w:t>2.14</w:t>
      </w:r>
      <w:r>
        <w:rPr>
          <w:rFonts w:ascii="Times New Roman;sans-serif" w:hAnsi="Times New Roman;sans-serif"/>
          <w:b w:val="false"/>
          <w:color w:val="000000"/>
          <w:sz w:val="24"/>
          <w:u w:val="single"/>
        </w:rPr>
        <w:t>Termination of Registration Rights</w:t>
      </w:r>
      <w:r>
        <w:rPr>
          <w:rFonts w:ascii="Times New Roman;sans-serif" w:hAnsi="Times New Roman;sans-serif"/>
          <w:b w:val="false"/>
          <w:color w:val="000000"/>
          <w:sz w:val="24"/>
        </w:rPr>
        <w:t>. No Holder shall be entitled to exercise any right provided for in this Section 2: [***]</w:t>
      </w:r>
    </w:p>
    <w:p>
      <w:pPr>
        <w:pStyle w:val="TextBody"/>
        <w:spacing w:lineRule="auto" w:line="240" w:before="0" w:after="240"/>
        <w:ind w:left="0" w:right="0" w:firstLine="144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Delivery of Financial Statements</w:t>
      </w:r>
      <w:r>
        <w:rPr>
          <w:rFonts w:ascii="Times New Roman;sans-serif" w:hAnsi="Times New Roman;sans-serif"/>
          <w:b w:val="false"/>
          <w:color w:val="000000"/>
          <w:sz w:val="24"/>
        </w:rPr>
        <w:t>. The Company shall, upon request, deliver to each Investor (or transferee of an Investor) that holds Preferred Stock:</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as soon as practicable, but in any event within [***]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sans-serif" w:hAnsi="Times New Roman;sans-serif"/>
          <w:b w:val="false"/>
          <w:color w:val="000000"/>
          <w:sz w:val="24"/>
          <w:u w:val="single"/>
        </w:rPr>
        <w:t>GAAP</w:t>
      </w:r>
      <w:r>
        <w:rPr>
          <w:color w:val="000000"/>
        </w:rPr>
        <w:t>”</w:t>
      </w:r>
      <w:r>
        <w:rPr>
          <w:rFonts w:ascii="Times New Roman;sans-serif" w:hAnsi="Times New Roman;sans-serif"/>
          <w:b w:val="false"/>
          <w:color w:val="000000"/>
          <w:sz w:val="24"/>
        </w:rPr>
        <w:t>) and audited and certified by independent public accountants of nationally recognized standing selected by the Company;</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as soon as practicable, but in any event within [***]after the end of each of the first three quarters of each fiscal year of the Company, an income statement and a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as soon as practicable, but in any event at least [***] prior to the end of each fiscal year, a budget and business plan for the next fiscal year, prepared on a monthly basis, including balance sheets, income statements and statements of cash flows for such </w:t>
      </w:r>
      <w:r>
        <w:br w:type="page"/>
      </w:r>
    </w:p>
    <w:p>
      <w:pPr>
        <w:pStyle w:val="TextBody"/>
        <w:spacing w:before="0" w:after="0"/>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350520"/>
                <wp:effectExtent l="0" t="0" r="0" b="0"/>
                <wp:wrapNone/>
                <wp:docPr id="267" name="Frame26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13</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months and, as soon as prepared, any other budgets or revised budgets prepared by the Company; and</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such other information relating to the financial condition, business or corporate affairs of the Company as such Investor may from time to time reasonably request,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obligated under this subsection (d) or any other subsection of Section 3.1 to provide information (i) that it deems in good faith to be a trade secret or similar confidential information or (ii) the disclosure of which would adversely affect the attorney-client privilege between the Company and its counsel.</w:t>
      </w:r>
    </w:p>
    <w:p>
      <w:pPr>
        <w:pStyle w:val="TextBody"/>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anything else in this Section 3.1 to the contrary, the Company may cease providing the information set forth in this Section 3.1 during the period starting with the date [***] 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Company’s covenants under this Section 3.1 shall be reinstated at such time as the Company is no longer actively employing its commercially reasonable efforts to cause such registration statement to become effective.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spacing w:lineRule="auto" w:line="240" w:before="0" w:after="240"/>
        <w:ind w:left="0" w:right="0" w:firstLine="216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 xml:space="preserve">. The Company shall permit each Investor that holds Preferred Stock, at such Investor’s expense, to visit and inspect the Company’s properties, to examine its books of account and records and to discuss the Company’s affairs, finances and accounts with its officers, all at such reasonable times as may be requested by the Investor;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obligated pursuant to this Section 3.2 to provide access to any information that (i) it reasonably considers to be a trade secret or similar confidential information or (ii) the disclosure of which would adversely affect the attorney-client privilege between the Company and its counsel.</w:t>
      </w:r>
    </w:p>
    <w:p>
      <w:pPr>
        <w:pStyle w:val="TextBody"/>
        <w:spacing w:lineRule="auto" w:line="240" w:before="0" w:after="240"/>
        <w:ind w:left="0" w:right="0" w:firstLine="216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Board Observer</w:t>
      </w:r>
      <w:r>
        <w:rPr>
          <w:rFonts w:ascii="Times New Roman;sans-serif" w:hAnsi="Times New Roman;sans-serif"/>
          <w:b w:val="false"/>
          <w:color w:val="000000"/>
          <w:sz w:val="24"/>
        </w:rPr>
        <w:t>. [***]; provided, however, that such representative shall agree to hold in confidence and trust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highly confidential proprietary information or a conflict of interest.</w:t>
      </w:r>
    </w:p>
    <w:p>
      <w:pPr>
        <w:pStyle w:val="TextBody"/>
        <w:spacing w:lineRule="auto" w:line="240" w:before="0" w:after="240"/>
        <w:ind w:left="0" w:right="0" w:firstLine="2160"/>
        <w:jc w:val="both"/>
        <w:rPr/>
      </w:pPr>
      <w:r>
        <w:rPr>
          <w:rFonts w:ascii="Times New Roman;sans-serif" w:hAnsi="Times New Roman;sans-serif"/>
          <w:b w:val="false"/>
          <w:color w:val="000000"/>
          <w:sz w:val="24"/>
        </w:rPr>
        <w:t>3.4</w:t>
      </w:r>
      <w:r>
        <w:rPr>
          <w:rFonts w:ascii="Times New Roman;sans-serif" w:hAnsi="Times New Roman;sans-serif"/>
          <w:b w:val="false"/>
          <w:color w:val="000000"/>
          <w:sz w:val="24"/>
          <w:u w:val="single"/>
        </w:rPr>
        <w:t>Termination of Information, Inspection and Board Observer Rights</w:t>
      </w:r>
      <w:r>
        <w:rPr>
          <w:rFonts w:ascii="Times New Roman;sans-serif" w:hAnsi="Times New Roman;sans-serif"/>
          <w:b w:val="false"/>
          <w:color w:val="000000"/>
          <w:sz w:val="24"/>
        </w:rPr>
        <w:t>. The covenants set forth in Sections 3.1, 3.2 and 3.3 shall terminate and be of no further force or effect upon the earlier to occur of (a) immediately before the consummation of the Initial Offering or a SPAC merger, (b) when the Company first becomes subject to the periodic reporting requirements of Sections 12(g) or 15(d) of the 1934 Act, or (c) the consummation of a Deemed Liquidation Event, as that term is defined in the Restated Certificate.</w:t>
      </w:r>
    </w:p>
    <w:p>
      <w:pPr>
        <w:pStyle w:val="TextBody"/>
        <w:spacing w:lineRule="auto" w:line="240" w:before="0" w:after="240"/>
        <w:ind w:left="0" w:right="0" w:firstLine="2160"/>
        <w:jc w:val="both"/>
        <w:rPr/>
      </w:pPr>
      <w:r>
        <w:rPr>
          <w:rFonts w:ascii="Times New Roman;sans-serif" w:hAnsi="Times New Roman;sans-serif"/>
          <w:b w:val="false"/>
          <w:color w:val="000000"/>
          <w:sz w:val="24"/>
        </w:rPr>
        <w:t>3.5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Section 3.5 by such Investor), (b) is or has been independently developed or conceived by such Investor without use of, or reference to, the Company’s confidential information, or (c) is or has been made known or disclosed to such </w:t>
      </w:r>
      <w:r>
        <w:br w:type="page"/>
      </w:r>
    </w:p>
    <w:p>
      <w:pPr>
        <w:pStyle w:val="TextBody"/>
        <w:spacing w:before="0" w:after="0"/>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350520"/>
                <wp:effectExtent l="0" t="0" r="0" b="0"/>
                <wp:wrapNone/>
                <wp:docPr id="268" name="Frame2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Investor by a third party without a breach of any obligation of confidentiality such third party may have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3.5; (iii) to any existing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such person is bound by agreement to maintain such confidentiality; or (iv) as may otherwise be required by law, regulation, rule, court order or subpoena, provided that such Investor promptly notifies the Company of such disclosure and takes reasonable steps to minimize the extent of any such required disclosure;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however, that that each Investor shall be responsible to Company for the failure of any person or entity described in clause (i), (ii), or (iii) above to comply with the provisions of this Section 3.5.</w:t>
      </w:r>
    </w:p>
    <w:p>
      <w:pPr>
        <w:pStyle w:val="TextBody"/>
        <w:spacing w:lineRule="auto" w:line="240" w:before="0" w:after="240"/>
        <w:ind w:left="0" w:right="0" w:firstLine="2160"/>
        <w:jc w:val="both"/>
        <w:rPr/>
      </w:pPr>
      <w:r>
        <w:rPr>
          <w:rFonts w:ascii="Times New Roman;sans-serif" w:hAnsi="Times New Roman;sans-serif"/>
          <w:b w:val="false"/>
          <w:color w:val="000000"/>
          <w:sz w:val="24"/>
        </w:rPr>
        <w:t>3.6</w:t>
      </w:r>
      <w:r>
        <w:rPr>
          <w:rFonts w:ascii="Times New Roman;sans-serif" w:hAnsi="Times New Roman;sans-serif"/>
          <w:b w:val="false"/>
          <w:color w:val="000000"/>
          <w:sz w:val="24"/>
          <w:u w:val="single"/>
        </w:rPr>
        <w:t>Right of First Offer</w:t>
      </w:r>
      <w:r>
        <w:rPr>
          <w:rFonts w:ascii="Times New Roman;sans-serif" w:hAnsi="Times New Roman;sans-serif"/>
          <w:b w:val="false"/>
          <w:color w:val="000000"/>
          <w:sz w:val="24"/>
        </w:rPr>
        <w:t>. Subject to the terms and conditions specified in this Section 3.6, the Company hereby grants to each Investor a right of first offer with respect to future issuances by the Company of its Shares (as hereinafter defined). For purposes of this Section 3.6, the term “Investor” includes any Affiliates of an Investor. An Investor shall be entitled to apportion the right of first offer hereby granted it among itself and its Affiliates in such proportions as it deems appropriate.</w:t>
      </w:r>
    </w:p>
    <w:p>
      <w:pPr>
        <w:pStyle w:val="TextBody"/>
        <w:spacing w:lineRule="auto" w:line="240" w:before="0" w:after="240"/>
        <w:ind w:left="0" w:right="0" w:firstLine="1440"/>
        <w:jc w:val="both"/>
        <w:rPr/>
      </w:pPr>
      <w:r>
        <w:rPr>
          <w:rFonts w:ascii="Times New Roman;sans-serif" w:hAnsi="Times New Roman;sans-serif"/>
          <w:b w:val="false"/>
          <w:color w:val="000000"/>
          <w:sz w:val="24"/>
        </w:rPr>
        <w:t>Each time the Company proposes to issue any additional Shares (“</w:t>
      </w:r>
      <w:r>
        <w:rPr>
          <w:rFonts w:ascii="Times New Roman;sans-serif" w:hAnsi="Times New Roman;sans-serif"/>
          <w:b w:val="false"/>
          <w:color w:val="000000"/>
          <w:sz w:val="24"/>
          <w:u w:val="single"/>
        </w:rPr>
        <w:t>New Shares</w:t>
      </w:r>
      <w:r>
        <w:rPr>
          <w:color w:val="000000"/>
        </w:rPr>
        <w:t>”</w:t>
      </w:r>
      <w:r>
        <w:rPr>
          <w:rFonts w:ascii="Times New Roman;sans-serif" w:hAnsi="Times New Roman;sans-serif"/>
          <w:b w:val="false"/>
          <w:color w:val="000000"/>
          <w:sz w:val="24"/>
        </w:rPr>
        <w:t>), the Company shall first make an offering of such New Shares to each Investor in accordance with the following provisions:</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deliver a notice in accordance with Section 5.5 (“</w:t>
      </w: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to each Investor stating (i) its bona fide intention to issue such New Shares, (ii) the number of such New Shares to be issued and (iii) the price and terms upon which it proposes to issue such New Shares. If the consideration to be paid by others for the New Shares is not cash, the fair market value of the consideration shall be determined in good faith by the Board and a reasonably detailed explanation of the Board’s determination of such value shall be included in the Notice. All Investors electing to participate in the issuance of the New Shares shall pay the cash equivalent thereof as so determined.</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By written notification received by the Company within [***] after the giving of Notice, each Investor may elect to purchase, at the price and on the terms specified in the Notice, up to that portion of such New Shares that equals the proportion that the number of shares of Common Stock that are Registrable Securities issued and held by such Investor (assuming full conversion and exercise of all convertible and exercisable securities then held by such Investor) bears to the total number of shares of Common Stock of the Company then outstanding (assuming full conversion and exercise of all convertible and exercisable securities then outstanding). The Company shall promptly, in writing, inform each Investor that elects to purchase all the New Shares available to it (a “</w:t>
      </w:r>
      <w:r>
        <w:rPr>
          <w:rFonts w:ascii="Times New Roman;sans-serif" w:hAnsi="Times New Roman;sans-serif"/>
          <w:b w:val="false"/>
          <w:color w:val="000000"/>
          <w:sz w:val="24"/>
          <w:u w:val="single"/>
        </w:rPr>
        <w:t>Fully-Exercising Investor</w:t>
      </w:r>
      <w:r>
        <w:rPr>
          <w:color w:val="000000"/>
        </w:rPr>
        <w:t>”</w:t>
      </w:r>
      <w:r>
        <w:rPr>
          <w:rFonts w:ascii="Times New Roman;sans-serif" w:hAnsi="Times New Roman;sans-serif"/>
          <w:b w:val="false"/>
          <w:color w:val="000000"/>
          <w:sz w:val="24"/>
        </w:rPr>
        <w:t>) of any other Investor’s failure to do likewise. During the [***] period commencing after such information is given, each Fully-Exercising Investor may elect to purchase that portion of the New Shares for which Investors were entitled to subscribe, but which were not subscribed for by the Investors, that is equal to the proportion that the number of Registrable Securities issued and held by such Fully-Exercising Investor bears to the total number of Registrable Securities held by all Fully-Exercising Investors desiring to purchase such unsubscribed New Shares.</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all New Shares that Investors are entitled to obtain pursuant to Section 3.6(b) are not elected to be obtained as provided in Section 3.6(b) hereof, the </w:t>
      </w:r>
      <w:r>
        <w:br w:type="page"/>
      </w:r>
    </w:p>
    <w:p>
      <w:pPr>
        <w:pStyle w:val="TextBody"/>
        <w:spacing w:before="0" w:after="0"/>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350520"/>
                <wp:effectExtent l="0" t="0" r="0" b="0"/>
                <wp:wrapNone/>
                <wp:docPr id="269" name="Frame26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15</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may, during the [***] period following the expiration of the period provided in Section 3.6(b) hereof, offer the remaining unsubscribed portion of such New Shares to any Person or Persons at a price not less than that, and upon terms no more favorable to the offeree than those, specified in the Notice. If the Company does not enter into an agreement for the sale of the New Shares within such period, or if such agreement is not consummated within [***] of the execution thereof, the right provided hereunder shall be deemed to be revived and such New Shares shall not be offered unless first reoffered to the Investors in accordance with this Section 3.6.</w:t>
      </w:r>
    </w:p>
    <w:p>
      <w:pPr>
        <w:pStyle w:val="TextBody"/>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right of first offer in this Section 3.6 shall not be applicable to (i) the issuance of Series D Preferred Stock pursuant to the Series D Agreement, (ii) Exempted Securities (as such term is defined in the Restated Certificate), and (iii) shares of capital stock issued by the Company in connection with the Initial Offering. In addition to the foregoing, the right of first offer in this Section 3.5 shall not be applicable with respect to any Investor in any subsequent offering of New Shares if (i) at the time of such offering, the Investor is not an “accredited investor,” as that term is then defined in Rule 501(a) of the Act and (ii) such offering of New Shares is otherwise being offered only to accredited investors.</w:t>
      </w:r>
    </w:p>
    <w:p>
      <w:pPr>
        <w:pStyle w:val="TextBody"/>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rights provided in this Section 3.6 may not be assigned or transferred by any Investor, except as provided in the first paragraph of this Section 3.6; provided, however, that (i) an Investor that is an investment fund may assign or transfer such rights to an affiliated investment fund, [***]</w:t>
      </w:r>
    </w:p>
    <w:p>
      <w:pPr>
        <w:pStyle w:val="TextBody"/>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rights set provided in this Section 3.6 shall terminate and be of no further force or effect (i) immediately before the consummation of the Initial Offering or (ii) upon the consummation of a Deemed Liquidation Event (as such term is defined in the Restated Certificate) or a SPAC merger.</w:t>
      </w:r>
    </w:p>
    <w:p>
      <w:pPr>
        <w:pStyle w:val="TextBody"/>
        <w:spacing w:lineRule="auto" w:line="240" w:before="0" w:after="240"/>
        <w:ind w:left="0" w:right="0" w:firstLine="144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Voting Provisions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Agreement to Vote</w:t>
      </w:r>
      <w:r>
        <w:rPr>
          <w:rFonts w:ascii="Times New Roman;sans-serif" w:hAnsi="Times New Roman;sans-serif"/>
          <w:b w:val="false"/>
          <w:color w:val="000000"/>
          <w:sz w:val="24"/>
        </w:rPr>
        <w:t>. Each Investor, as a holder of Preferred Stock, hereby agrees on behalf of itself and any transferee or assignee of any such shares of Preferred Stock, to hold all of the shares of Preferred Stock registered in its name and any other securities of the Company now held or subsequently acquired by such Investor in the future (and any securities of the Company issued with respect to, upon conversion of, or in exchange or substitution for such shares or other securities) (hereinafter collectively referred to as the “</w:t>
      </w:r>
      <w:r>
        <w:rPr>
          <w:rFonts w:ascii="Times New Roman;sans-serif" w:hAnsi="Times New Roman;sans-serif"/>
          <w:b w:val="false"/>
          <w:color w:val="000000"/>
          <w:sz w:val="24"/>
          <w:u w:val="single"/>
        </w:rPr>
        <w:t>Investor Shares</w:t>
      </w:r>
      <w:r>
        <w:rPr>
          <w:color w:val="000000"/>
        </w:rPr>
        <w:t>”</w:t>
      </w:r>
      <w:r>
        <w:rPr>
          <w:rFonts w:ascii="Times New Roman;sans-serif" w:hAnsi="Times New Roman;sans-serif"/>
          <w:b w:val="false"/>
          <w:color w:val="000000"/>
          <w:sz w:val="24"/>
        </w:rPr>
        <w:t>) subject to, and to vote the Investor Shares at a regular or special meeting of stockholders (or by written consent) in accordance with, the provisions of this Agreement. Each Key Holder, as a holder of Common Stock, hereby agrees on behalf of itself and any transferee or assignee of any such shares of Common Stock, to hold all of such shares registered in its name and any other securities of the Company now held or subsequently acquired by such Key Holder in the future (and any securities of the Company issued with respect to, upon conversion of, or in exchange or substitution for such shares or other securities) (hereinafter collectively referred to as the “</w:t>
      </w:r>
      <w:r>
        <w:rPr>
          <w:rFonts w:ascii="Times New Roman;sans-serif" w:hAnsi="Times New Roman;sans-serif"/>
          <w:b w:val="false"/>
          <w:color w:val="000000"/>
          <w:sz w:val="24"/>
          <w:u w:val="single"/>
        </w:rPr>
        <w:t>Key Holder Shares</w:t>
      </w:r>
      <w:r>
        <w:rPr>
          <w:color w:val="000000"/>
        </w:rPr>
        <w:t>”</w:t>
      </w:r>
      <w:r>
        <w:rPr>
          <w:rFonts w:ascii="Times New Roman;sans-serif" w:hAnsi="Times New Roman;sans-serif"/>
          <w:b w:val="false"/>
          <w:color w:val="000000"/>
          <w:sz w:val="24"/>
        </w:rPr>
        <w:t>) subject to, and to vote the Key Holder Shares at a regular or special meeting of stockholders (or by written consent) in accordance with, the provisions of this Agreement. The Investor Shares and the Key Holder Shares are hereinafter collectively referred to as the “</w:t>
      </w:r>
      <w:r>
        <w:rPr>
          <w:rFonts w:ascii="Times New Roman;sans-serif" w:hAnsi="Times New Roman;sans-serif"/>
          <w:b w:val="false"/>
          <w:color w:val="000000"/>
          <w:sz w:val="24"/>
          <w:u w:val="single"/>
        </w:rPr>
        <w:t>Voting Shares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Board Size</w:t>
      </w:r>
      <w:r>
        <w:rPr>
          <w:rFonts w:ascii="Times New Roman;sans-serif" w:hAnsi="Times New Roman;sans-serif"/>
          <w:b w:val="false"/>
          <w:color w:val="000000"/>
          <w:sz w:val="24"/>
        </w:rPr>
        <w:t>. Each Stockholder shall vote, or cause to be voted, at a regular or special meeting of stockholders (or by written consent) all Voting Shares owned by such Stockholder (or as to which such Stockholder has voting power) to ensure that the size of the Board shall be set and remain at nine (9)</w:t>
      </w:r>
      <w:r>
        <w:rPr>
          <w:color w:val="000000"/>
        </w:rPr>
        <w:t xml:space="preserve"> </w:t>
      </w:r>
      <w:r>
        <w:rPr>
          <w:rFonts w:ascii="Times New Roman;sans-serif" w:hAnsi="Times New Roman;sans-serif"/>
          <w:b w:val="false"/>
          <w:color w:val="000000"/>
          <w:sz w:val="24"/>
        </w:rPr>
        <w:t xml:space="preserve">directors;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Board size may be subsequently increased or decreased pursuant to an amendment of this Agreement in accordance with Section 5.7 hereof.</w:t>
      </w:r>
      <w:r>
        <w:br w:type="page"/>
      </w:r>
    </w:p>
    <w:p>
      <w:pPr>
        <w:pStyle w:val="TextBody"/>
        <w:spacing w:before="0" w:after="0"/>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350520"/>
                <wp:effectExtent l="0" t="0" r="0" b="0"/>
                <wp:wrapNone/>
                <wp:docPr id="270" name="Frame26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Election of Directors</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any election of directors of the Company, Stockholders holding Voting Shares shall each vote at any regular or special meeting of stockholders (or by written consent) all Voting Shares then owned by them (or as to which they then have voting power) to elect: </w:t>
      </w:r>
    </w:p>
    <w:p>
      <w:pPr>
        <w:pStyle w:val="TextBody"/>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one (a) director nominated by PureTech Health LLC (“</w:t>
      </w:r>
      <w:r>
        <w:rPr>
          <w:rFonts w:ascii="Times New Roman;sans-serif" w:hAnsi="Times New Roman;sans-serif"/>
          <w:b w:val="false"/>
          <w:color w:val="000000"/>
          <w:sz w:val="24"/>
          <w:u w:val="single"/>
        </w:rPr>
        <w:t>PureTech</w:t>
      </w:r>
      <w:r>
        <w:rPr>
          <w:color w:val="000000"/>
        </w:rPr>
        <w:t xml:space="preserve">” </w:t>
      </w:r>
      <w:r>
        <w:rPr>
          <w:rFonts w:ascii="Times New Roman;sans-serif" w:hAnsi="Times New Roman;sans-serif"/>
          <w:b w:val="false"/>
          <w:color w:val="000000"/>
          <w:sz w:val="24"/>
        </w:rPr>
        <w:t>and a “</w:t>
      </w:r>
      <w:r>
        <w:rPr>
          <w:rFonts w:ascii="Times New Roman;sans-serif" w:hAnsi="Times New Roman;sans-serif"/>
          <w:b w:val="false"/>
          <w:color w:val="000000"/>
          <w:sz w:val="24"/>
          <w:u w:val="single"/>
        </w:rPr>
        <w:t>PureTech Director</w:t>
      </w:r>
      <w:r>
        <w:rPr>
          <w:color w:val="000000"/>
        </w:rPr>
        <w:t>”</w:t>
      </w:r>
      <w:r>
        <w:rPr>
          <w:rFonts w:ascii="Times New Roman;sans-serif" w:hAnsi="Times New Roman;sans-serif"/>
          <w:b w:val="false"/>
          <w:color w:val="000000"/>
          <w:sz w:val="24"/>
        </w:rPr>
        <w:t>), so long as PureTech continues to hold not less than 1,129,098 shares of Series A-1 Preferred Stock and Series A-2 Preferred Stock (appropriately adjusted for any stock split, dividend, combination or recapitalization) who shall initially be Bharatt Chowrira;</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absence of any nomination from the Persons with the right to nominate a director as specified above, the director or directors previously nominated by such Persons and then serving shall be reelected if still eligible to serve as provided herein.</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the application of Section 4.3(a) above shall result in the designation of less than all of the authorized directors, then any remaining directors shall be nominated and elected by the stockholders of the Company entitled to vote thereon in accordance with, and pursuant to, the Restated Certificate.</w:t>
      </w:r>
    </w:p>
    <w:p>
      <w:pPr>
        <w:pStyle w:val="TextBody"/>
        <w:spacing w:lineRule="auto" w:line="240" w:before="0" w:after="240"/>
        <w:ind w:left="0" w:right="0" w:firstLine="216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Removal; Vacancies</w:t>
      </w:r>
      <w:r>
        <w:rPr>
          <w:rFonts w:ascii="Times New Roman;sans-serif" w:hAnsi="Times New Roman;sans-serif"/>
          <w:b w:val="false"/>
          <w:color w:val="000000"/>
          <w:sz w:val="24"/>
        </w:rPr>
        <w:t>. Any director of the Company may be removed from the Board in the manner allowed by law and the Restated Certificate and Bylaws, but with respect to any director nominated pursuant to Section 4.3(a) above, only upon the vote or written consent of the Stockholders (or other Persons) entitled to nominate such director. Any vacancy created by the resignation, removal or death of a director elected pursuant to Section 4.3 above shall be filled pursuant to the provisions of Section 4.3.</w:t>
      </w:r>
    </w:p>
    <w:p>
      <w:pPr>
        <w:pStyle w:val="TextBody"/>
        <w:spacing w:lineRule="auto" w:line="240" w:before="0" w:after="240"/>
        <w:ind w:left="0" w:right="0" w:firstLine="216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 xml:space="preserve">Failure to Designate a Board Member. </w:t>
      </w:r>
      <w:r>
        <w:rPr>
          <w:rFonts w:ascii="Times New Roman;sans-serif" w:hAnsi="Times New Roman;sans-serif"/>
          <w:b w:val="false"/>
          <w:color w:val="000000"/>
          <w:sz w:val="24"/>
        </w:rPr>
        <w:t>In the absence of any designation from the Persons or groups with the right to designate a director as specified above, the director previously designated by them and then serving shall be reelected if willing to serve unless such individual has been removed as provided herein, and otherwise such Board seat shall remain vacant until otherwise filled as provided above.</w:t>
      </w:r>
    </w:p>
    <w:p>
      <w:pPr>
        <w:pStyle w:val="TextBody"/>
        <w:spacing w:lineRule="auto" w:line="240" w:before="0" w:after="240"/>
        <w:ind w:left="0" w:right="0" w:firstLine="216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Vote to Increase Authorized Stock</w:t>
      </w:r>
      <w:r>
        <w:rPr>
          <w:rFonts w:ascii="Times New Roman;sans-serif" w:hAnsi="Times New Roman;sans-serif"/>
          <w:b w:val="false"/>
          <w:color w:val="000000"/>
          <w:sz w:val="24"/>
        </w:rPr>
        <w:t xml:space="preserve">. Each Stockholder agrees to vote or cause to be voted all Voting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 Without derogating from the foregoing, and in addition thereto, each Stockholder further agrees to vote or cause to be voted all Voting Shares owned by such Stockholder, or over which such Stockholder has voting control, from time to time, upon the reasonable request of the Board, in whatever manner as shall be necessary to increase the number of authorized shares of Series D Preferred Stock to ensure that there will be sufficient shares of Series D Preferred Stock available for the Company to declare and pay the Series D Accruing Dividends (as such term is defined in the Restated Certificate). </w:t>
      </w:r>
    </w:p>
    <w:p>
      <w:pPr>
        <w:pStyle w:val="TextBody"/>
        <w:spacing w:lineRule="auto" w:line="240" w:before="0" w:after="240"/>
        <w:ind w:left="0" w:right="0" w:firstLine="2160"/>
        <w:jc w:val="both"/>
        <w:rPr/>
      </w:pPr>
      <w:r>
        <w:rPr>
          <w:rFonts w:ascii="Times New Roman;sans-serif" w:hAnsi="Times New Roman;sans-serif"/>
          <w:b w:val="false"/>
          <w:color w:val="000000"/>
          <w:sz w:val="24"/>
        </w:rPr>
        <w:t>4.7</w:t>
      </w:r>
      <w:r>
        <w:rPr>
          <w:rFonts w:ascii="Times New Roman;sans-serif" w:hAnsi="Times New Roman;sans-serif"/>
          <w:b w:val="false"/>
          <w:color w:val="000000"/>
          <w:sz w:val="24"/>
          <w:u w:val="single"/>
        </w:rPr>
        <w:t>Drag Along Right.</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350520"/>
                <wp:effectExtent l="0" t="0" r="0" b="0"/>
                <wp:wrapNone/>
                <wp:docPr id="271" name="Frame27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17</w:t>
                      </w:r>
                    </w:p>
                    <w:p>
                      <w:pPr>
                        <w:pStyle w:val="TextBody"/>
                        <w:spacing w:before="0" w:after="0"/>
                        <w:rPr/>
                      </w:pPr>
                      <w:r>
                        <w:rPr/>
                      </w:r>
                    </w:p>
                  </w:txbxContent>
                </v:textbox>
              </v:rect>
            </w:pict>
          </mc:Fallback>
        </mc:AlternateConten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Sale of the Company</w:t>
      </w:r>
      <w:r>
        <w:rPr>
          <w:color w:val="000000"/>
        </w:rPr>
        <w:t xml:space="preserve">” </w:t>
      </w:r>
      <w:r>
        <w:rPr>
          <w:rFonts w:ascii="Times New Roman;sans-serif" w:hAnsi="Times New Roman;sans-serif"/>
          <w:b w:val="false"/>
          <w:color w:val="000000"/>
          <w:sz w:val="24"/>
        </w:rPr>
        <w:t>shall mean either: (a) a transaction or series of related transactions in which a Person, or a group of related Persons, acquires from stockholders of the Company shares representing more than [***] of the outstanding voting power of the Company (a “</w:t>
      </w:r>
      <w:r>
        <w:rPr>
          <w:rFonts w:ascii="Times New Roman;sans-serif" w:hAnsi="Times New Roman;sans-serif"/>
          <w:b w:val="false"/>
          <w:color w:val="000000"/>
          <w:sz w:val="24"/>
          <w:u w:val="single"/>
        </w:rPr>
        <w:t>Stock Sale</w:t>
      </w:r>
      <w:r>
        <w:rPr>
          <w:color w:val="000000"/>
        </w:rPr>
        <w:t>”</w:t>
      </w:r>
      <w:r>
        <w:rPr>
          <w:rFonts w:ascii="Times New Roman;sans-serif" w:hAnsi="Times New Roman;sans-serif"/>
          <w:b w:val="false"/>
          <w:color w:val="000000"/>
          <w:sz w:val="24"/>
        </w:rPr>
        <w:t>) or (b) a transaction that qualifies as a “</w:t>
      </w:r>
      <w:r>
        <w:rPr>
          <w:rFonts w:ascii="Times New Roman;sans-serif" w:hAnsi="Times New Roman;sans-serif"/>
          <w:b w:val="false"/>
          <w:color w:val="000000"/>
          <w:sz w:val="24"/>
          <w:u w:val="single"/>
        </w:rPr>
        <w:t>Deemed Liquidation Event</w:t>
      </w:r>
      <w:r>
        <w:rPr>
          <w:color w:val="000000"/>
        </w:rPr>
        <w:t xml:space="preserve">” </w:t>
      </w:r>
      <w:r>
        <w:rPr>
          <w:rFonts w:ascii="Times New Roman;sans-serif" w:hAnsi="Times New Roman;sans-serif"/>
          <w:b w:val="false"/>
          <w:color w:val="000000"/>
          <w:sz w:val="24"/>
        </w:rPr>
        <w:t>as defined in the Restated Certificate.</w:t>
      </w:r>
    </w:p>
    <w:p>
      <w:pPr>
        <w:pStyle w:val="TextBody"/>
        <w:spacing w:before="0" w:after="240"/>
        <w:jc w:val="both"/>
        <w:rPr/>
      </w:pPr>
      <w:r>
        <w:rPr/>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Actions to be Taken</w:t>
      </w:r>
      <w:r>
        <w:rPr>
          <w:rFonts w:ascii="Times New Roman;sans-serif" w:hAnsi="Times New Roman;sans-serif"/>
          <w:b w:val="false"/>
          <w:color w:val="000000"/>
          <w:sz w:val="24"/>
        </w:rPr>
        <w:t xml:space="preserv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 approve a Sale of the Company, then each Stockholder hereby agrees with respect to all Shares which it own(s) or over which it otherwise exercises voting or dispositive authority:</w:t>
      </w:r>
    </w:p>
    <w:p>
      <w:pPr>
        <w:pStyle w:val="TextBody"/>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in the event such transaction is to be brought to a vote at a stockholder meeting, after receiving proper notice of any meeting of stockholders of the Company, to vote on the approval of a Sale of the Company, to be present, in person or by proxy, as a holder of shares of voting securities, at all such meetings and to be counted for the purposes of determining the presence of a quorum at such meetings;</w:t>
      </w:r>
    </w:p>
    <w:p>
      <w:pPr>
        <w:pStyle w:val="TextBody"/>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vote (in person, by proxy or by action by written consent, as applicable) all Shares in favor of such Sale of the Company and in opposition to any and all other proposals that could reasonably be expected to delay or impair the ability of the Company to consummate such Sale of the Company;</w:t>
      </w:r>
    </w:p>
    <w:p>
      <w:pPr>
        <w:pStyle w:val="TextBody"/>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waive all dissenters’ rights and rights of appraisal under applicable law at any time with respect to such Sale of the Company (in each such case, whether before or after the consummation of the Sale of the Company) and refrain from asserting any claim or commencing any suit (x) challenging the Sale of the Company or this Agreement, or (y) alleging a breach of any fiduciary duty of the Selling Investors or any affiliate or associate thereof (including, without limitation, aiding and abetting breach of fiduciary duty) in connection with the evaluation, negotiation or entry into the Sale of the Company or the consummation of the transactions contemplated thereby;</w:t>
      </w:r>
    </w:p>
    <w:p>
      <w:pPr>
        <w:pStyle w:val="TextBody"/>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to execute and deliver all related documentation and take such other action in support of the Sale of the Company as shall reasonably be requested by the Company or the Requisite Parties (in each such case, whether before or after the consummation of the Sale of the Company);</w:t>
      </w:r>
    </w:p>
    <w:p>
      <w:pPr>
        <w:pStyle w:val="TextBody"/>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Sale of the Company is structured as a Stock Sale, to sell the same proportion of his, her or its Shares as is being sold by the Requisite Parties;</w:t>
      </w:r>
    </w:p>
    <w:p>
      <w:pPr>
        <w:pStyle w:val="TextBody"/>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 xml:space="preserve">not to deposit, and to cause their Affiliates not to deposit, except as provided in this Agreement, any Shares owned by such Stockholder or Affiliate in a voting trust or subject any such Shares to any arrangement or agreement with respect to the voting of such Shares, unless specifically requested to do so by the acquirer in connection with the Sale of the Company; </w:t>
      </w:r>
    </w:p>
    <w:p>
      <w:pPr>
        <w:pStyle w:val="TextBody"/>
        <w:spacing w:lineRule="auto" w:line="240" w:before="0" w:after="240"/>
        <w:ind w:left="0" w:right="0" w:firstLine="360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 xml:space="preserve">if the consideration to be paid in exchange for the Shares pursuant to this Section 4 includes any securities and due receipt thereof by any Stockholder would require under applicable law (i) the registration or qualification of such securities or of any Person as a broker or dealer or agent with respect to such securities or (ii) the provision to any Stockholder of any information other than such information as a prudent issuer would generally furnish in an offering made solely to “accredited investors” as defined in </w:t>
      </w:r>
      <w:r>
        <w:br w:type="page"/>
      </w:r>
    </w:p>
    <w:p>
      <w:pPr>
        <w:pStyle w:val="TextBody"/>
        <w:spacing w:before="0" w:after="0"/>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350520"/>
                <wp:effectExtent l="0" t="0" r="0" b="0"/>
                <wp:wrapNone/>
                <wp:docPr id="272" name="Frame27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Regulation D promulgated under the Act,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 and </w:t>
      </w:r>
    </w:p>
    <w:p>
      <w:pPr>
        <w:pStyle w:val="TextBody"/>
        <w:spacing w:lineRule="auto" w:line="240" w:before="0" w:after="240"/>
        <w:ind w:left="0" w:right="0" w:firstLine="360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rPr>
        <w:t>unless, if any portion of the consideration payable to the stockholders of the Company in connection with such transaction consists of securities unlisted on a public stock exchange, then upon receipt from a Stockholder, of written notice that, based on the advice of legal counsel, the payment or distribution of such securities to the Stockholder, would cause the Stockholder to be in violation of any law, regulation, material contractual obligation or written policy of the Stockholder, the Company shall cause the purchase agreement, merger agreement or related transaction documents to provide the Stockholder with certain stockholder rights to the extent necessary to enable the Stockholder to hold such securities without violating such contract or policy, and if the Company is unable to satisfy such requirements, then the Company shall cause to be paid to the Stockholder, in lieu thereof, against surrender of the Company’s shares which would have otherwise been sold by the Stockholder an amount in cash equal to the fair value (as determined in good faith by the Company) of the securities which the Stockholder would otherwise receive as of the date of the issuance of such securities in exchange for the capital stock.</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Exceptions</w:t>
      </w:r>
      <w:r>
        <w:rPr>
          <w:rFonts w:ascii="Times New Roman;sans-serif" w:hAnsi="Times New Roman;sans-serif"/>
          <w:b w:val="false"/>
          <w:color w:val="000000"/>
          <w:sz w:val="24"/>
        </w:rPr>
        <w:t>. Notwithstanding the foregoing, a Stockholder will not be required to comply with Section 4.7(b) above in connection with any proposed Sale of the Company (the “</w:t>
      </w:r>
      <w:r>
        <w:rPr>
          <w:rFonts w:ascii="Times New Roman;sans-serif" w:hAnsi="Times New Roman;sans-serif"/>
          <w:b w:val="false"/>
          <w:color w:val="000000"/>
          <w:sz w:val="24"/>
          <w:u w:val="single"/>
        </w:rPr>
        <w:t>Proposed Sale</w:t>
      </w:r>
      <w:r>
        <w:rPr>
          <w:color w:val="000000"/>
        </w:rPr>
        <w:t>”</w:t>
      </w:r>
      <w:r>
        <w:rPr>
          <w:rFonts w:ascii="Times New Roman;sans-serif" w:hAnsi="Times New Roman;sans-serif"/>
          <w:b w:val="false"/>
          <w:color w:val="000000"/>
          <w:sz w:val="24"/>
        </w:rPr>
        <w:t>) unless 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pStyle w:val="TextBody"/>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liability for indemnification, if any, of such Stockholder in the Proposed Sale and for the inaccuracy of any representations and warranties made by the Company or its stockholders in connection with such Proposed Sale, is several and not joint with any other Person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pStyle w:val="TextBody"/>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liability of such Stockholder shall be limited to the amount of consideration otherwise payable to such Stockholder in connection with such Proposed Sale in accordance with the provisions of the Restated Certificate, except with respect to claims related to fraud by such Stockholder, the liability for which need not be limited as to such Stockholder;</w:t>
      </w:r>
    </w:p>
    <w:p>
      <w:pPr>
        <w:pStyle w:val="TextBody"/>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upon the consummation of the Proposed Sale, (i) each holder of each series of the Company’s stock will receive the same form of consideration for their shares of such series as is received by other holders in respect of their shares of such same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the net consideration (i.e. the aggregate consideration less all reductions for purchase price adjustments, indemnification claims and other adjustments) receivable by all holders of the Preferred Stock and Common Stock shall be </w:t>
      </w:r>
      <w:r>
        <w:br w:type="page"/>
      </w:r>
    </w:p>
    <w:p>
      <w:pPr>
        <w:pStyle w:val="TextBody"/>
        <w:spacing w:before="0" w:after="0"/>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350520"/>
                <wp:effectExtent l="0" t="0" r="0" b="0"/>
                <wp:wrapNone/>
                <wp:docPr id="273" name="Frame27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19</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Restated Certificate in effect immediately prior to the Proposed Sale; </w:t>
      </w:r>
    </w:p>
    <w:p>
      <w:pPr>
        <w:pStyle w:val="TextBody"/>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subject to Section 4.7(c)(iv) above, requiring the same form of consideration to be available to the holders of any single class or series of capital stock, if any holders of a series of Preferred Stock or the holders of Common Stock are given an option as to the form and amount of consideration to be received as a result of the Proposed Sale, all holders of such series of Preferred Stock or the holders of Common Stock will be given the same option;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in this Section 4.7(c)(v) shall entitle any holder to receive any form of consideration that such holder would be ineligible to receive as a result of such holder’s failure to satisfy any condition, requirement or limitation that is generally applicable to the Company’s stockholders; </w:t>
      </w:r>
    </w:p>
    <w:p>
      <w:pPr>
        <w:pStyle w:val="TextBody"/>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no Stockholder will be required to agree (unless such Stockholder is an officer or employee of the Company) to any non-competition or non-solicitation agreement; and </w:t>
      </w:r>
    </w:p>
    <w:p>
      <w:pPr>
        <w:pStyle w:val="TextBody"/>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 xml:space="preserve">no Stockholder or its Affiliates will be required to amend, extend or terminate any contractual or other relationship with the Company, the acquirer or their respective Affiliates. </w:t>
      </w:r>
    </w:p>
    <w:p>
      <w:pPr>
        <w:pStyle w:val="TextBody"/>
        <w:spacing w:lineRule="auto" w:line="240" w:before="0" w:after="240"/>
        <w:ind w:left="0" w:right="0" w:firstLine="2160"/>
        <w:jc w:val="both"/>
        <w:rPr/>
      </w:pPr>
      <w:r>
        <w:rPr>
          <w:rFonts w:ascii="Times New Roman;sans-serif" w:hAnsi="Times New Roman;sans-serif"/>
          <w:b w:val="false"/>
          <w:color w:val="000000"/>
          <w:sz w:val="24"/>
        </w:rPr>
        <w:t>4.8</w:t>
      </w:r>
      <w:r>
        <w:rPr>
          <w:rFonts w:ascii="Times New Roman;sans-serif" w:hAnsi="Times New Roman;sans-serif"/>
          <w:b w:val="false"/>
          <w:color w:val="000000"/>
          <w:sz w:val="24"/>
          <w:u w:val="single"/>
        </w:rPr>
        <w:t>Bad Actor Representations and Covenants</w:t>
      </w:r>
      <w:r>
        <w:rPr>
          <w:rFonts w:ascii="Times New Roman;sans-serif" w:hAnsi="Times New Roman;sans-serif"/>
          <w:b w:val="false"/>
          <w:color w:val="000000"/>
          <w:sz w:val="24"/>
        </w:rPr>
        <w:t>. Each Stockholder hereby represents and warrants to the Company that such Stockholder has not been convicted of any of the felonies or misdemeanors or has been subject to any of the orders, judgments, decrees or other conditions set forth in Rule 506(d) of Regulation D promulgated by the SEC. Each Stockholder covenants to provide immediate written notice to the Company in the event such Stockholder is convicted of any felony or misdemeanor or becomes subject to any order, judgment, decree or other condition set forth in Rule 506(d) of Regulation D promulgated by the SEC, as may be amended from time to time. Each Stockholder covenants to provide such information to the Company as the Company may reasonably request in order to comply with the disclosure obligations set forth in Rule 506(e) of Regulation D promulgated by the SEC, as may be amended from time to time.</w:t>
      </w:r>
    </w:p>
    <w:p>
      <w:pPr>
        <w:pStyle w:val="TextBody"/>
        <w:spacing w:lineRule="auto" w:line="240" w:before="0" w:after="240"/>
        <w:ind w:left="0" w:right="0" w:firstLine="2160"/>
        <w:jc w:val="both"/>
        <w:rPr/>
      </w:pPr>
      <w:r>
        <w:rPr>
          <w:rFonts w:ascii="Times New Roman;sans-serif" w:hAnsi="Times New Roman;sans-serif"/>
          <w:b w:val="false"/>
          <w:color w:val="000000"/>
          <w:sz w:val="24"/>
        </w:rPr>
        <w:t>4.9</w:t>
      </w:r>
      <w:r>
        <w:rPr>
          <w:rFonts w:ascii="Times New Roman;sans-serif" w:hAnsi="Times New Roman;sans-serif"/>
          <w:b w:val="false"/>
          <w:color w:val="000000"/>
          <w:sz w:val="24"/>
          <w:u w:val="single"/>
        </w:rPr>
        <w:t>Legend on Share Certificates</w:t>
      </w:r>
      <w:r>
        <w:rPr>
          <w:rFonts w:ascii="Times New Roman;sans-serif" w:hAnsi="Times New Roman;sans-serif"/>
          <w:b w:val="false"/>
          <w:color w:val="000000"/>
          <w:sz w:val="24"/>
        </w:rPr>
        <w:t>. Each certificate representing any Voting Shares shall be endorsed by the Company with a legend reading substantially as follows:</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4"/>
        </w:rPr>
        <w:t>THE SHARES EVIDENCED HEREBY ARE SUBJECT TO AN AGREEMENT (A COPY OF WHICH MAY BE OBTAINED UPON WRITTEN REQUEST FROM THE ISSUER) CONTAINING PROVISIONS REGARDING VOTING RIGHTS AND OBLIGATIONS, AND BY ACCEPTING ANY INTEREST IN SUCH SHARES THE PERSON ACCEPTING SUCH INTEREST SHALL BE DEEMED TO AGREE TO AND SHALL BECOME BOUND BY ALL SUCH VOTING PROVISIONS OF SAID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4.10</w:t>
      </w:r>
      <w:r>
        <w:rPr>
          <w:rFonts w:ascii="Times New Roman;sans-serif" w:hAnsi="Times New Roman;sans-serif"/>
          <w:b w:val="false"/>
          <w:color w:val="000000"/>
          <w:sz w:val="24"/>
          <w:u w:val="single"/>
        </w:rPr>
        <w:t>Covenant of the Company</w:t>
      </w:r>
      <w:r>
        <w:rPr>
          <w:rFonts w:ascii="Times New Roman;sans-serif" w:hAnsi="Times New Roman;sans-serif"/>
          <w:b w:val="false"/>
          <w:color w:val="000000"/>
          <w:sz w:val="24"/>
        </w:rPr>
        <w:t>. The Company will not, by any voluntary action, avoid or seek to avoid the observance or performance of any of the terms to be performed by the Company under this Section 4.</w:t>
      </w:r>
    </w:p>
    <w:p>
      <w:pPr>
        <w:pStyle w:val="TextBody"/>
        <w:spacing w:lineRule="auto" w:line="240" w:before="0" w:after="240"/>
        <w:ind w:left="0" w:right="0" w:firstLine="2160"/>
        <w:jc w:val="both"/>
        <w:rPr/>
      </w:pPr>
      <w:r>
        <w:rPr>
          <w:rFonts w:ascii="Times New Roman;sans-serif" w:hAnsi="Times New Roman;sans-serif"/>
          <w:b w:val="false"/>
          <w:color w:val="000000"/>
          <w:sz w:val="24"/>
        </w:rPr>
        <w:t>4.11</w:t>
      </w:r>
      <w:r>
        <w:rPr>
          <w:rFonts w:ascii="Times New Roman;sans-serif" w:hAnsi="Times New Roman;sans-serif"/>
          <w:b w:val="false"/>
          <w:color w:val="000000"/>
          <w:sz w:val="24"/>
          <w:u w:val="single"/>
        </w:rPr>
        <w:t>No Liability for Election of Recommended Directors</w:t>
      </w:r>
      <w:r>
        <w:rPr>
          <w:rFonts w:ascii="Times New Roman;sans-serif" w:hAnsi="Times New Roman;sans-serif"/>
          <w:b w:val="false"/>
          <w:color w:val="000000"/>
          <w:sz w:val="24"/>
        </w:rPr>
        <w:t xml:space="preserve">. Neither any Party to this Agreement, nor any officer, director, stockholder, partner, employee or agent of any such Party, makes any representation or warranty as to the fitness or competence of the nominee </w:t>
      </w:r>
      <w:r>
        <w:br w:type="page"/>
      </w:r>
    </w:p>
    <w:p>
      <w:pPr>
        <w:pStyle w:val="TextBody"/>
        <w:spacing w:before="0" w:after="0"/>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350520"/>
                <wp:effectExtent l="0" t="0" r="0" b="0"/>
                <wp:wrapNone/>
                <wp:docPr id="274" name="Frame27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any Party hereunder to serve on the Board by virtue of such Party’s execution of this Agreement or by the act of such Party in voting for such nominee pursuant to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4.12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 of Proxy and Power of Attorney; No Conflicting Agreements</w:t>
      </w:r>
      <w:r>
        <w:rPr>
          <w:rFonts w:ascii="Times New Roman;sans-serif" w:hAnsi="Times New Roman;sans-serif"/>
          <w:b w:val="false"/>
          <w:color w:val="000000"/>
          <w:sz w:val="24"/>
        </w:rPr>
        <w:t>. Each Stockholder hereby constitutes and appoints as the proxies of such Stockholder, and hereby grants a power of attorney, to (a) the President of the Company and (b) a stockholder or other Person designated by the Board, and each of them, with full power and substitution, with respect to the matters set forth herein, and hereby authorizes each of them to represent and to vote, if and only if such Stockholder (i) fails to vote or (ii) attempts to vote (whether by proxy, in person or by written consent) in a manner which is inconsistent with the terms of this Agreement, all of such Stockholder’s Voting Shares in the manner provided in Section 4 hereof, and hereby authorizes each of them to take any action necessary to give effect to the provisions contained in Section 4 hereof. Each of the proxy and power of attorney granted in this Section 4.12 is given in consideration of the agreements and covenants of the Parties in connection with the transactions contemplated by this Agreement and, as such, each is coupled with an interest and shall be irrevocable until this Agreement terminates pursuant to its terms or this Section 4.12 is amended to remove such grant of proxy and power of attorney in accordance with Section 5.7 hereof. Each Stockholder hereby revokes any and all previous proxies or powers of attorney with respect to such Stockholder’s Voting Shares and shall not hereafter, until this Agreement terminates pursuant to its terms or this Section 4.12 is amended to remove this provision in accordance with Section 5.7 hereof, grant, or purport to grant, any other proxy or power of attorney with respect to such Voting Shares, deposit any of such Voting Shares into a voting trust or enter into any agreement (other than this Agreement), arrangement or understanding with any Person, directly or indirectly, to vote, grant any proxy or power of attorney or give instructions with respect to the voting of any of such Voting Shares, in each case, with respect to any of the matters set forth in this Agreement. [***]</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Specific Enforcement</w:t>
      </w:r>
      <w:r>
        <w:rPr>
          <w:rFonts w:ascii="Times New Roman;sans-serif" w:hAnsi="Times New Roman;sans-serif"/>
          <w:b w:val="false"/>
          <w:color w:val="000000"/>
          <w:sz w:val="24"/>
        </w:rPr>
        <w:t>. It is agreed and understood that monetary damages would not adequately compensate an injured Party for the breach of this Agreement by any other Party, that this Agreement shall be specifically enforceable, and that any breach or threatened breach of this Agreement shall be the proper subject of a temporary or permanent injunction or restraining order. Further, each Party hereto waives any claim or defense that there is an adequate remedy at law for such breach or threatened breach.</w:t>
      </w:r>
    </w:p>
    <w:p>
      <w:pPr>
        <w:pStyle w:val="TextBody"/>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Remedies Cumulative</w:t>
      </w:r>
      <w:r>
        <w:rPr>
          <w:rFonts w:ascii="Times New Roman;sans-serif" w:hAnsi="Times New Roman;sans-serif"/>
          <w:b w:val="false"/>
          <w:color w:val="000000"/>
          <w:sz w:val="24"/>
        </w:rPr>
        <w:t>. All remedies, either under this Section 3 or by law or otherwise afforded to any Party, shall be cumulative and not alternative.</w:t>
      </w:r>
    </w:p>
    <w:p>
      <w:pPr>
        <w:pStyle w:val="TextBody"/>
        <w:spacing w:lineRule="auto" w:line="240" w:before="0" w:after="240"/>
        <w:ind w:left="0" w:right="0" w:firstLine="2160"/>
        <w:jc w:val="both"/>
        <w:rPr/>
      </w:pPr>
      <w:r>
        <w:rPr>
          <w:rFonts w:ascii="Times New Roman;sans-serif" w:hAnsi="Times New Roman;sans-serif"/>
          <w:b w:val="false"/>
          <w:color w:val="000000"/>
          <w:sz w:val="24"/>
        </w:rPr>
        <w:t>4.13</w:t>
      </w:r>
      <w:r>
        <w:rPr>
          <w:rFonts w:ascii="Times New Roman;sans-serif" w:hAnsi="Times New Roman;sans-serif"/>
          <w:b w:val="false"/>
          <w:color w:val="000000"/>
          <w:sz w:val="24"/>
          <w:u w:val="single"/>
        </w:rPr>
        <w:t>Directors’ Expenses</w:t>
      </w:r>
      <w:r>
        <w:rPr>
          <w:rFonts w:ascii="Times New Roman;sans-serif" w:hAnsi="Times New Roman;sans-serif"/>
          <w:b w:val="false"/>
          <w:color w:val="000000"/>
          <w:sz w:val="24"/>
        </w:rPr>
        <w:t>. The Company shall reimburse the directors on the Board for all reasonable and documented out-of-pocket expenses incurred by them in connection with attendance at all meetings of the Board (including any meetings of committees of the Board) and the board of directors of each of the Company’s subsidiaries (including any meetings of committees thereof) or attending to other matters requested by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4.14</w:t>
      </w:r>
      <w:r>
        <w:rPr>
          <w:rFonts w:ascii="Times New Roman;sans-serif" w:hAnsi="Times New Roman;sans-serif"/>
          <w:b w:val="false"/>
          <w:color w:val="000000"/>
          <w:sz w:val="24"/>
          <w:u w:val="single"/>
        </w:rPr>
        <w:t>Subsidiary Boards</w:t>
      </w:r>
      <w:r>
        <w:rPr>
          <w:rFonts w:ascii="Times New Roman;sans-serif" w:hAnsi="Times New Roman;sans-serif"/>
          <w:b w:val="false"/>
          <w:color w:val="000000"/>
          <w:sz w:val="24"/>
        </w:rPr>
        <w:t>. The Company shall cause the composition of the board of directors of each subsidiary of the Company and of each committee thereof to, where the appropriate individuals are willing to serve, be consistent with the composition of the Board and each corresponding committee thereof.</w:t>
      </w:r>
    </w:p>
    <w:p>
      <w:pPr>
        <w:pStyle w:val="TextBody"/>
        <w:spacing w:lineRule="auto" w:line="240" w:before="0" w:after="240"/>
        <w:ind w:left="0" w:right="0" w:firstLine="2160"/>
        <w:jc w:val="both"/>
        <w:rPr/>
      </w:pPr>
      <w:r>
        <w:rPr>
          <w:rFonts w:ascii="Times New Roman;sans-serif" w:hAnsi="Times New Roman;sans-serif"/>
          <w:b w:val="false"/>
          <w:color w:val="000000"/>
          <w:sz w:val="24"/>
        </w:rPr>
        <w:t>4.15</w:t>
      </w:r>
      <w:r>
        <w:rPr>
          <w:rFonts w:ascii="Times New Roman;sans-serif" w:hAnsi="Times New Roman;sans-serif"/>
          <w:b w:val="false"/>
          <w:color w:val="000000"/>
          <w:sz w:val="24"/>
          <w:u w:val="single"/>
        </w:rPr>
        <w:t>Committees</w:t>
      </w:r>
      <w:r>
        <w:rPr>
          <w:rFonts w:ascii="Times New Roman;sans-serif" w:hAnsi="Times New Roman;sans-serif"/>
          <w:b w:val="false"/>
          <w:color w:val="000000"/>
          <w:sz w:val="24"/>
        </w:rPr>
        <w:t>. [***]</w:t>
      </w:r>
    </w:p>
    <w:p>
      <w:pPr>
        <w:pStyle w:val="TextBody"/>
        <w:spacing w:lineRule="auto" w:line="240" w:before="0" w:after="240"/>
        <w:ind w:left="0" w:right="0" w:firstLine="2160"/>
        <w:jc w:val="both"/>
        <w:rPr/>
      </w:pPr>
      <w:r>
        <w:rPr>
          <w:rFonts w:ascii="Times New Roman;sans-serif" w:hAnsi="Times New Roman;sans-serif"/>
          <w:b w:val="false"/>
          <w:color w:val="000000"/>
          <w:sz w:val="24"/>
        </w:rPr>
        <w:t>4.16</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To the extent not already obtained, the Company and, to the extent applicable, its subsidiaries shall obtain, within [ninety (90) days] of the date hereof, </w:t>
      </w:r>
      <w:r>
        <w:br w:type="page"/>
      </w:r>
    </w:p>
    <w:p>
      <w:pPr>
        <w:pStyle w:val="TextBody"/>
        <w:spacing w:before="0" w:after="0"/>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350520"/>
                <wp:effectExtent l="0" t="0" r="0" b="0"/>
                <wp:wrapNone/>
                <wp:docPr id="275" name="Frame27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21</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general liability and directors’ and officers’ liability insurance policies, in each case on terms and conditions that are acceptable to the Board. The Company (and its subsidiaries, to the extent that such subsidiaries obtain such policies) shall maintain such policies in full force and effect at all times.</w:t>
      </w:r>
    </w:p>
    <w:p>
      <w:pPr>
        <w:pStyle w:val="TextBody"/>
        <w:spacing w:lineRule="auto" w:line="240" w:before="0" w:after="240"/>
        <w:ind w:left="0" w:right="0" w:firstLine="2160"/>
        <w:jc w:val="both"/>
        <w:rPr/>
      </w:pPr>
      <w:r>
        <w:rPr>
          <w:rFonts w:ascii="Times New Roman;sans-serif" w:hAnsi="Times New Roman;sans-serif"/>
          <w:b w:val="false"/>
          <w:color w:val="000000"/>
          <w:sz w:val="24"/>
        </w:rPr>
        <w:t>4.17</w:t>
      </w:r>
      <w:r>
        <w:rPr>
          <w:rFonts w:ascii="Times New Roman;sans-serif" w:hAnsi="Times New Roman;sans-serif"/>
          <w:b w:val="false"/>
          <w:color w:val="000000"/>
          <w:sz w:val="24"/>
          <w:u w:val="single"/>
        </w:rPr>
        <w:t>Stock Sale</w:t>
      </w:r>
      <w:r>
        <w:rPr>
          <w:rFonts w:ascii="Times New Roman;sans-serif" w:hAnsi="Times New Roman;sans-serif"/>
          <w:b w:val="false"/>
          <w:color w:val="000000"/>
          <w:sz w:val="24"/>
        </w:rPr>
        <w:t>. No Stockholder shall enter into any transaction or series of related transactions resulting in a Deemed Liquidation Event (as such term is defined in the Restated Certificate) unless the terms of such transaction or transactions provide that the consideration to be paid to the stockholders of the Company is to be allocated in accordance with the preferences and priorities set forth in the Restated Certificate.</w:t>
      </w:r>
    </w:p>
    <w:p>
      <w:pPr>
        <w:pStyle w:val="TextBody"/>
        <w:spacing w:lineRule="auto" w:line="240" w:before="0" w:after="240"/>
        <w:ind w:left="0" w:right="0" w:firstLine="2160"/>
        <w:jc w:val="both"/>
        <w:rPr/>
      </w:pPr>
      <w:r>
        <w:rPr>
          <w:rFonts w:ascii="Times New Roman;sans-serif" w:hAnsi="Times New Roman;sans-serif"/>
          <w:b w:val="false"/>
          <w:color w:val="000000"/>
          <w:sz w:val="24"/>
        </w:rPr>
        <w:t>4.18</w:t>
      </w:r>
      <w:r>
        <w:rPr>
          <w:rFonts w:ascii="Times New Roman;sans-serif" w:hAnsi="Times New Roman;sans-serif"/>
          <w:b w:val="false"/>
          <w:color w:val="000000"/>
          <w:sz w:val="24"/>
          <w:u w:val="single"/>
        </w:rPr>
        <w:t>[***]h</w:t>
      </w:r>
    </w:p>
    <w:p>
      <w:pPr>
        <w:pStyle w:val="TextBody"/>
        <w:spacing w:lineRule="auto" w:line="240" w:before="0" w:after="240"/>
        <w:ind w:left="0" w:right="0" w:firstLine="2160"/>
        <w:jc w:val="both"/>
        <w:rPr/>
      </w:pPr>
      <w:r>
        <w:rPr>
          <w:rFonts w:ascii="Times New Roman;sans-serif" w:hAnsi="Times New Roman;sans-serif"/>
          <w:b w:val="false"/>
          <w:color w:val="000000"/>
          <w:sz w:val="24"/>
        </w:rPr>
        <w:t>4.19</w:t>
      </w:r>
      <w:r>
        <w:rPr>
          <w:rFonts w:ascii="Times New Roman;sans-serif" w:hAnsi="Times New Roman;sans-serif"/>
          <w:b w:val="false"/>
          <w:color w:val="000000"/>
          <w:sz w:val="24"/>
          <w:u w:val="single"/>
        </w:rPr>
        <w:t>Matters Requiring Investor Director Approval</w:t>
      </w:r>
      <w:r>
        <w:rPr>
          <w:rFonts w:ascii="Times New Roman;sans-serif" w:hAnsi="Times New Roman;sans-serif"/>
          <w:b w:val="false"/>
          <w:color w:val="000000"/>
          <w:sz w:val="24"/>
        </w:rPr>
        <w:t>. The Company hereby covenants and agrees with each of the Stockholders that it shall not, without approval of the Board, [***]</w:t>
      </w:r>
    </w:p>
    <w:p>
      <w:pPr>
        <w:pStyle w:val="TextBody"/>
        <w:spacing w:lineRule="auto" w:line="240" w:before="0" w:after="240"/>
        <w:ind w:left="0" w:right="0" w:firstLine="2160"/>
        <w:jc w:val="both"/>
        <w:rPr/>
      </w:pPr>
      <w:r>
        <w:rPr>
          <w:rFonts w:ascii="Times New Roman;sans-serif" w:hAnsi="Times New Roman;sans-serif"/>
          <w:b w:val="false"/>
          <w:color w:val="000000"/>
          <w:sz w:val="24"/>
        </w:rPr>
        <w:t>4.20</w:t>
      </w:r>
      <w:r>
        <w:rPr>
          <w:rFonts w:ascii="Times New Roman;sans-serif" w:hAnsi="Times New Roman;sans-serif"/>
          <w:b w:val="false"/>
          <w:color w:val="000000"/>
          <w:sz w:val="24"/>
          <w:u w:val="single"/>
        </w:rPr>
        <w:t>Notice of Board Meetings</w:t>
      </w:r>
      <w:r>
        <w:rPr>
          <w:rFonts w:ascii="Times New Roman;sans-serif" w:hAnsi="Times New Roman;sans-serif"/>
          <w:b w:val="false"/>
          <w:color w:val="000000"/>
          <w:sz w:val="24"/>
        </w:rPr>
        <w:t>. [***]</w:t>
      </w:r>
    </w:p>
    <w:p>
      <w:pPr>
        <w:pStyle w:val="TextBody"/>
        <w:spacing w:lineRule="auto" w:line="240" w:before="0" w:after="240"/>
        <w:ind w:left="0" w:right="0" w:firstLine="2160"/>
        <w:jc w:val="both"/>
        <w:rPr/>
      </w:pPr>
      <w:r>
        <w:rPr>
          <w:rFonts w:ascii="Times New Roman;sans-serif" w:hAnsi="Times New Roman;sans-serif"/>
          <w:b w:val="false"/>
          <w:color w:val="000000"/>
          <w:sz w:val="24"/>
        </w:rPr>
        <w:t>4.21</w:t>
      </w:r>
      <w:r>
        <w:rPr>
          <w:rFonts w:ascii="Times New Roman;sans-serif" w:hAnsi="Times New Roman;sans-serif"/>
          <w:b w:val="false"/>
          <w:color w:val="000000"/>
          <w:sz w:val="24"/>
          <w:u w:val="single"/>
        </w:rPr>
        <w:t>Termination of Covenants</w:t>
      </w:r>
      <w:r>
        <w:rPr>
          <w:rFonts w:ascii="Times New Roman;sans-serif" w:hAnsi="Times New Roman;sans-serif"/>
          <w:b w:val="false"/>
          <w:color w:val="000000"/>
          <w:sz w:val="24"/>
        </w:rPr>
        <w:t xml:space="preserve">. The covenants set forth in this Section 4 (other than those set forth in Section 4.8 and Section 4.11) shall terminate upon the earliest to occur of: (i) immediately before the consummation of the Initial Offering, (ii) a Sale of the Company or a SPAC merger,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provisions of Section 4.7 and Section 4.12 shall continue after the closing of any Sale of the Company to the extent necessary to enforce the provisions of Section 4.7 with respect to such Sale of the Company, and (iii) termination of this Agreement in accordance with Section 5.7. </w:t>
      </w:r>
    </w:p>
    <w:p>
      <w:pPr>
        <w:pStyle w:val="TextBody"/>
        <w:spacing w:lineRule="auto" w:line="240" w:before="0" w:after="240"/>
        <w:ind w:left="0" w:right="0" w:firstLine="144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Except as otherwise provided herein, the terms and conditions of this Agreement shall inure to the benefit of and be binding upon the respective successors and assigns of the parties (including transferees of any shares of Registrable Securities)</w:t>
      </w:r>
      <w:r>
        <w:rPr>
          <w:color w:val="000000"/>
          <w:u w:val="single"/>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spacing w:before="0" w:after="240"/>
        <w:ind w:left="0" w:right="0" w:firstLine="1440"/>
        <w:jc w:val="both"/>
        <w:rPr/>
      </w:pPr>
      <w:r>
        <w:rPr/>
      </w:r>
    </w:p>
    <w:p>
      <w:pPr>
        <w:pStyle w:val="TextBody"/>
        <w:spacing w:lineRule="auto" w:line="240" w:before="0" w:after="240"/>
        <w:ind w:left="0" w:right="0" w:firstLine="2160"/>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under the laws of the State of Delaware as applied to agreements among Delaware residents entered into and to be performed entirely within Delaware, without regard to its principles of conflicts of laws.</w:t>
      </w:r>
    </w:p>
    <w:p>
      <w:pPr>
        <w:pStyle w:val="TextBody"/>
        <w:spacing w:lineRule="auto" w:line="240" w:before="0" w:after="240"/>
        <w:ind w:left="0" w:right="0" w:firstLine="2160"/>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and delivered by facsimile or electronic signature and in two or more counterparts, each of which shall be deemed an original, but all of which together shall constitute one and the same instrument.</w:t>
      </w:r>
      <w:r>
        <w:br w:type="page"/>
      </w:r>
    </w:p>
    <w:p>
      <w:pPr>
        <w:pStyle w:val="TextBody"/>
        <w:spacing w:before="0" w:after="0"/>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350520"/>
                <wp:effectExtent l="0" t="0" r="0" b="0"/>
                <wp:wrapNone/>
                <wp:docPr id="276" name="Frame27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given or made pursuant hereto shall be in writing and shall be deemed effectively given: (i) 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 5.5). If notice is sent to the Company, a copy (which shall not constitute notice) shall also be sent to [***].</w:t>
      </w:r>
    </w:p>
    <w:p>
      <w:pPr>
        <w:pStyle w:val="TextBody"/>
        <w:spacing w:lineRule="auto" w:line="240" w:before="0" w:after="240"/>
        <w:ind w:left="0" w:right="0" w:firstLine="2160"/>
        <w:jc w:val="both"/>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pStyle w:val="TextBody"/>
        <w:spacing w:lineRule="auto" w:line="240" w:before="0" w:after="240"/>
        <w:ind w:left="0" w:right="0" w:firstLine="2160"/>
        <w:jc w:val="both"/>
        <w:rPr/>
      </w:pPr>
      <w:r>
        <w:rPr>
          <w:rFonts w:ascii="Times New Roman;sans-serif" w:hAnsi="Times New Roman;sans-serif"/>
          <w:b w:val="false"/>
          <w:color w:val="000000"/>
          <w:sz w:val="24"/>
        </w:rPr>
        <w:t>5.7</w:t>
      </w:r>
      <w:r>
        <w:rPr>
          <w:rFonts w:ascii="Times New Roman;sans-serif" w:hAnsi="Times New Roman;sans-serif"/>
          <w:b w:val="false"/>
          <w:color w:val="000000"/>
          <w:sz w:val="24"/>
          <w:u w:val="single"/>
        </w:rPr>
        <w:t>Entire Agreement; Amendments and Waivers</w:t>
      </w:r>
      <w:r>
        <w:rPr>
          <w:rFonts w:ascii="Times New Roman;sans-serif" w:hAnsi="Times New Roman;sans-serif"/>
          <w:b w:val="false"/>
          <w:color w:val="000000"/>
          <w:sz w:val="24"/>
        </w:rPr>
        <w:t xml:space="preserve">. This Agreement (including the Exhibits hereto, if any) constitutes the full and entire understanding and agreement among the parties with regard to the subjects hereof and thereof and supersedes all other agreements of the parties hereto relating to the subject matter hereof and thereof (including, without limitation, the Prior Agreement).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outstanding Series D Preferred Stock which majority must include [***]. Notwithstanding the foregoing, [***]. Any amendment, modification, termination or waiver so effected shall be binding upon all the Parties hereto and all Parties’ respective successors and permitted assigns, whether or not any such Party, successor or assign entered into or approved such amendment, modification, termination or waiver. Notwithstanding the foregoing, any provision hereof may be waived by the waiving Party on such Party’s behalf, without the written consent of any other Party. Notwithstanding the foregoing, (i) this Agreement may not be amended, modified or terminated and the observance of any term hereof may not be waived with respect to any Investor without the written consent of such Investor, unless such amendment, termination, or waiver applies to all Investors in the same fashion, (ii) no amendment or modification to, or waiver or termination of, this Agreement, (by merger, consolidation or otherwise) shall be effective as to any Investor without that Investor’s written consent if such amendment, modification, waiver or termination would impose or would reasonably be expected to impose, any non-competition or non-solicitation covenant on such Investor or would otherwise restrict, or would reasonably be expected to otherwise restrict, such Investor from conducting any business or commercial activity [***]. </w:t>
      </w:r>
    </w:p>
    <w:p>
      <w:pPr>
        <w:pStyle w:val="TextBody"/>
        <w:spacing w:lineRule="auto" w:line="240" w:before="0" w:after="240"/>
        <w:ind w:left="0" w:right="0" w:firstLine="2160"/>
        <w:jc w:val="both"/>
        <w:rPr/>
      </w:pPr>
      <w:r>
        <w:rPr>
          <w:rFonts w:ascii="Times New Roman;sans-serif" w:hAnsi="Times New Roman;sans-serif"/>
          <w:b w:val="false"/>
          <w:color w:val="000000"/>
          <w:sz w:val="24"/>
        </w:rPr>
        <w:t>5.8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350520"/>
                <wp:effectExtent l="0" t="0" r="0" b="0"/>
                <wp:wrapNone/>
                <wp:docPr id="277" name="Frame27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pPr>
                            <w:r>
                              <w:rPr>
                                <w:color w:val="000000"/>
                              </w:rPr>
                              <w:t>    </w:t>
                            </w:r>
                            <w:r>
                              <w:rPr>
                                <w:rFonts w:ascii="Times New Roman;sans-serif" w:hAnsi="Times New Roman;sans-serif"/>
                                <w:b w:val="false"/>
                                <w:color w:val="000000"/>
                                <w:sz w:val="24"/>
                              </w:rPr>
                              <w:t>23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color w:val="000000"/>
                        </w:rPr>
                        <w:t>    </w:t>
                      </w:r>
                      <w:r>
                        <w:rPr>
                          <w:rFonts w:ascii="Times New Roman;sans-serif" w:hAnsi="Times New Roman;sans-serif"/>
                          <w:b w:val="false"/>
                          <w:color w:val="000000"/>
                          <w:sz w:val="24"/>
                        </w:rPr>
                        <w:t>23</w:t>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5.9</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Registrable Securities held or acquired by Affiliates (including affiliated venture capital funds) or persons shall be aggregated together for the purpose of determining the availability of any rights under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5.10</w:t>
      </w:r>
      <w:r>
        <w:rPr>
          <w:rFonts w:ascii="Times New Roman;sans-serif" w:hAnsi="Times New Roman;sans-serif"/>
          <w:b w:val="false"/>
          <w:color w:val="000000"/>
          <w:sz w:val="24"/>
          <w:u w:val="single"/>
        </w:rPr>
        <w:t>Additional Parties</w:t>
      </w:r>
      <w:r>
        <w:rPr>
          <w:rFonts w:ascii="Times New Roman;sans-serif" w:hAnsi="Times New Roman;sans-serif"/>
          <w:b w:val="false"/>
          <w:color w:val="000000"/>
          <w:sz w:val="24"/>
        </w:rPr>
        <w:t xml:space="preserve">. </w:t>
      </w:r>
    </w:p>
    <w:p>
      <w:pPr>
        <w:pStyle w:val="TextBody"/>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Section 5.7 no consent shall be necessary to add additional Investors as signatories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Investors have purchased Series D Preferred Stock pursuant to the Series D Agreement, as may be amended from time to time, and have signed a counterpart signature page hereto.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to this Agreement shall be updated without any action of the Investors to reflect such additional Investors.</w:t>
      </w:r>
    </w:p>
    <w:p>
      <w:pPr>
        <w:pStyle w:val="TextBody"/>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after the date of this Agreement, the Company enters into an agreement with any Person to issue shares of capital stock to such Person (other than to a purchaser of Series D Preferred described in Section 5.10(a) above), following which such Person would hold Shares representing [***] or more of the Company’s then outstanding capital stock (treating for this purpose all shares of Common Stock issuable upon exercise or conversion of all then outstanding options, warrants or convertible securities (whether or not then exercisable or convertible) as outstanding), then (i) the Company shall cause such Person, as a condition precedent to the issuance of such capital stock, to become a party to this Agreement by executing an adoption agreement agreeing to be bound by and subject to the terms of this Agreement as a Key Holder and Stockholder hereunder and thereafter such Person shall be deemed a Key Holder and Stockholder for all purposes under this Agreement and (ii) notwithstanding Section 5.7, no consent shall be necessary to add such Person as a signatory to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5.11</w:t>
      </w:r>
      <w:r>
        <w:rPr>
          <w:rFonts w:ascii="Times New Roman;sans-serif" w:hAnsi="Times New Roman;sans-serif"/>
          <w:b w:val="false"/>
          <w:color w:val="000000"/>
          <w:sz w:val="24"/>
          <w:u w:val="single"/>
        </w:rPr>
        <w:t>Effect on Prior Agreement</w:t>
      </w:r>
      <w:r>
        <w:rPr>
          <w:rFonts w:ascii="Times New Roman;sans-serif" w:hAnsi="Times New Roman;sans-serif"/>
          <w:b w:val="false"/>
          <w:color w:val="000000"/>
          <w:sz w:val="24"/>
        </w:rPr>
        <w:t>. Upon the effectiveness of this Agreement, the Prior Agreement automatically shall terminate and be of no further force and effect and shall be amended and restated in its entirety as set forth in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5.12</w:t>
      </w:r>
      <w:r>
        <w:rPr>
          <w:rFonts w:ascii="Times New Roman;sans-serif" w:hAnsi="Times New Roman;sans-serif"/>
          <w:b w:val="false"/>
          <w:color w:val="000000"/>
          <w:sz w:val="24"/>
          <w:u w:val="single"/>
        </w:rPr>
        <w:t>FIRPTA</w:t>
      </w:r>
      <w:r>
        <w:rPr>
          <w:rFonts w:ascii="Times New Roman;sans-serif" w:hAnsi="Times New Roman;sans-serif"/>
          <w:b w:val="false"/>
          <w:color w:val="000000"/>
          <w:sz w:val="24"/>
        </w:rPr>
        <w:t>. Upon request of Investor, the Company shall provide (i) a statement (in such form as may be reasonably requested by Investor) conforming to the requirements of Section 1.897-2(h)(1)(i) and 1.1445-2(c)(3)(i) of the Treasury Regulations certifying that interests in the Company do not constitute “United States real property interests” under Section 897(c) of the Internal Revenue Code of 1986, as amended, and (ii) evidence in form and substance satisfactory to Investor that the Company has delivered to the Internal Revenue Service the notification required under Section 1.897-2(h)(2) of the Treasury Regulations.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350520"/>
                <wp:effectExtent l="0" t="0" r="0" b="0"/>
                <wp:wrapNone/>
                <wp:docPr id="278" name="Frame27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Third Amended and Restated Investors’ Rights Agreement as of the date first above written.</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W. Edward Martucci, Ph.D.</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W. Edward Martucci, Ph.D.    </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Title:    </w:t>
      </w:r>
      <w:r>
        <w:rPr>
          <w:color w:val="000000"/>
          <w:u w:val="single"/>
        </w:rPr>
        <w:t xml:space="preserve"> </w:t>
      </w:r>
      <w:r>
        <w:rPr>
          <w:rFonts w:ascii="Times New Roman;sans-serif" w:hAnsi="Times New Roman;sans-serif"/>
          <w:b w:val="false"/>
          <w:color w:val="000000"/>
          <w:sz w:val="24"/>
          <w:u w:val="single"/>
        </w:rPr>
        <w:t>Chief Executive Officer    </w:t>
      </w:r>
    </w:p>
    <w:p>
      <w:pPr>
        <w:pStyle w:val="TextBody"/>
        <w:spacing w:lineRule="auto" w:line="240" w:before="0" w:after="0"/>
        <w:rPr/>
      </w:pPr>
      <w:r>
        <w:rPr>
          <w:rFonts w:ascii="Times New Roman;sans-serif" w:hAnsi="Times New Roman;sans-serif"/>
          <w:b w:val="false"/>
          <w:color w:val="000000"/>
          <w:sz w:val="24"/>
        </w:rPr>
        <w:br/>
        <w:t>Address:    </w:t>
      </w:r>
      <w:r>
        <w:rPr>
          <w:rFonts w:ascii="Times New Roman;sans-serif" w:hAnsi="Times New Roman;sans-serif"/>
          <w:b w:val="false"/>
          <w:color w:val="000000"/>
          <w:sz w:val="24"/>
          <w:u w:val="single"/>
        </w:rPr>
        <w:t>125 Broad Street, 5</w:t>
      </w:r>
      <w:r>
        <w:rPr>
          <w:rFonts w:ascii="Times New Roman;sans-serif" w:hAnsi="Times New Roman;sans-serif"/>
          <w:b w:val="false"/>
          <w:color w:val="000000"/>
          <w:sz w:val="16"/>
          <w:u w:val="single"/>
        </w:rPr>
        <w:t>th</w:t>
      </w:r>
      <w:r>
        <w:rPr>
          <w:color w:val="000000"/>
          <w:u w:val="single"/>
        </w:rPr>
        <w:t xml:space="preserve"> </w:t>
      </w:r>
      <w:r>
        <w:rPr>
          <w:rFonts w:ascii="Times New Roman;sans-serif" w:hAnsi="Times New Roman;sans-serif"/>
          <w:b w:val="false"/>
          <w:color w:val="000000"/>
          <w:sz w:val="24"/>
          <w:u w:val="single"/>
        </w:rPr>
        <w:t>Floor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Boston, MA 02110        </w:t>
      </w:r>
    </w:p>
    <w:p>
      <w:pPr>
        <w:pStyle w:val="TextBody"/>
        <w:spacing w:before="0" w:after="0"/>
        <w:rPr/>
      </w:pPr>
      <w:r>
        <w:rPr/>
      </w:r>
    </w:p>
    <w:p>
      <w:pPr>
        <w:pStyle w:val="TextBody"/>
        <w:spacing w:before="0" w:after="0"/>
        <w:rPr/>
      </w:pPr>
      <w:r>
        <w:rPr/>
      </w:r>
    </w:p>
    <w:p>
      <w:pPr>
        <w:pStyle w:val="TextBody"/>
        <w:spacing w:lineRule="auto" w:line="240" w:before="0" w:after="480"/>
        <w:rPr>
          <w:color w:val="000000"/>
        </w:rPr>
      </w:pPr>
      <w:r>
        <w:rPr>
          <w:color w:val="000000"/>
        </w:rPr>
        <w:t>    </w:t>
      </w:r>
    </w:p>
    <w:p>
      <w:pPr>
        <w:pStyle w:val="TextBody"/>
        <w:spacing w:before="0" w:after="240"/>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321310"/>
                <wp:effectExtent l="0" t="0" r="0" b="0"/>
                <wp:wrapNone/>
                <wp:docPr id="279" name="Frame27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lineRule="auto" w:line="300" w:before="0" w:after="0"/>
                              <w:jc w:val="center"/>
                              <w:rPr>
                                <w:rFonts w:ascii="Times New Roman;sans-serif" w:hAnsi="Times New Roman;sans-serif"/>
                                <w:b/>
                                <w:color w:val="000000"/>
                                <w:sz w:val="16"/>
                              </w:rPr>
                            </w:pPr>
                            <w:r>
                              <w:rPr>
                                <w:rFonts w:ascii="Times New Roman;sans-serif" w:hAnsi="Times New Roman;sans-serif"/>
                                <w:b/>
                                <w:color w:val="000000"/>
                                <w:sz w:val="16"/>
                              </w:rPr>
                              <w:t>SIGNATURE PAGE TO THIRD AMENDED AND RESTATED INVESTORS’ RIGHTS AGREEMENT FOR AKILI INTERACTIVE LABS, INC.</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0"/>
                        <w:jc w:val="center"/>
                        <w:rPr>
                          <w:rFonts w:ascii="Times New Roman;sans-serif" w:hAnsi="Times New Roman;sans-serif"/>
                          <w:b/>
                          <w:color w:val="000000"/>
                          <w:sz w:val="16"/>
                        </w:rPr>
                      </w:pPr>
                      <w:r>
                        <w:rPr>
                          <w:rFonts w:ascii="Times New Roman;sans-serif" w:hAnsi="Times New Roman;sans-serif"/>
                          <w:b/>
                          <w:color w:val="000000"/>
                          <w:sz w:val="16"/>
                        </w:rPr>
                        <w:t>SIGNATURE PAGE TO THIRD AMENDED AND RESTATED INVESTORS’ RIGHTS AGREEMENT FOR AKILI INTERACTIVE LABS, INC.</w:t>
                      </w:r>
                    </w:p>
                    <w:p>
                      <w:pPr>
                        <w:pStyle w:val="TextBody"/>
                        <w:spacing w:before="0" w:after="0"/>
                        <w:jc w:val="center"/>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Third Amended and Restated Investors’ Rights Agreement as of the date first above written.</w:t>
      </w:r>
    </w:p>
    <w:p>
      <w:pPr>
        <w:pStyle w:val="TextBody"/>
        <w:spacing w:before="0" w:after="240"/>
        <w:ind w:left="0" w:right="0" w:firstLine="1440"/>
        <w:jc w:val="both"/>
        <w:rPr/>
      </w:pPr>
      <w:r>
        <w:rPr/>
      </w:r>
    </w:p>
    <w:p>
      <w:pPr>
        <w:pStyle w:val="TextBody"/>
        <w:spacing w:lineRule="auto" w:line="240" w:before="0" w:after="240"/>
        <w:ind w:left="0" w:right="0" w:firstLine="1440"/>
        <w:jc w:val="both"/>
        <w:rPr/>
      </w:pPr>
      <w:r>
        <w:rPr>
          <w:color w:val="000000"/>
        </w:rPr>
        <w:t>            </w:t>
      </w:r>
      <w:r>
        <w:rPr>
          <w:rFonts w:ascii="Times New Roman;sans-serif" w:hAnsi="Times New Roman;sans-serif"/>
          <w:b/>
          <w:color w:val="000000"/>
          <w:sz w:val="24"/>
        </w:rPr>
        <w:t>INVESTORS:</w:t>
      </w:r>
    </w:p>
    <w:p>
      <w:pPr>
        <w:pStyle w:val="TextBody"/>
        <w:spacing w:lineRule="auto" w:line="240" w:before="0" w:after="240"/>
        <w:ind w:left="0" w:right="0" w:firstLine="1440"/>
        <w:jc w:val="both"/>
        <w:rPr>
          <w:color w:val="000000"/>
        </w:rPr>
      </w:pPr>
      <w:r>
        <w:rPr>
          <w:color w:val="000000"/>
        </w:rPr>
        <w:t>        </w:t>
      </w:r>
      <w:r>
        <w:rPr>
          <w:rFonts w:ascii="Times New Roman;sans-serif" w:hAnsi="Times New Roman;sans-serif"/>
          <w:b/>
          <w:color w:val="000000"/>
          <w:sz w:val="24"/>
        </w:rPr>
        <w:t>[***]</w:t>
      </w:r>
    </w:p>
    <w:p>
      <w:pPr>
        <w:pStyle w:val="TextBody"/>
        <w:spacing w:before="0" w:after="0"/>
        <w:rPr/>
      </w:pPr>
      <w:r>
        <w:rPr/>
      </w:r>
    </w:p>
    <w:p>
      <w:pPr>
        <w:pStyle w:val="TextBody"/>
        <w:spacing w:before="0" w:after="240"/>
        <w:ind w:left="0" w:right="0" w:firstLine="1440"/>
        <w:jc w:val="both"/>
        <w:rPr/>
      </w:pPr>
      <w:r>
        <w:rPr/>
      </w:r>
    </w:p>
    <w:p>
      <w:pPr>
        <w:pStyle w:val="TextBody"/>
        <w:spacing w:before="0" w:after="480"/>
        <w:rPr/>
      </w:pPr>
      <w:r>
        <w:rPr/>
      </w:r>
    </w:p>
    <w:p>
      <w:pPr>
        <w:pStyle w:val="TextBody"/>
        <w:spacing w:lineRule="auto" w:line="240" w:before="0" w:after="0"/>
        <w:rPr>
          <w:color w:val="000000"/>
        </w:rPr>
      </w:pPr>
      <w:r>
        <w:rPr>
          <w:color w:val="000000"/>
        </w:rPr>
        <w:t>    </w:t>
      </w:r>
    </w:p>
    <w:p>
      <w:pPr>
        <w:pStyle w:val="TextBody"/>
        <w:spacing w:before="0" w:after="0"/>
        <w:ind w:left="0" w:right="0" w:firstLine="4320"/>
        <w:rPr/>
      </w:pPr>
      <w:r>
        <w:rPr/>
      </w:r>
    </w:p>
    <w:p>
      <w:pPr>
        <w:pStyle w:val="TextBody"/>
        <w:spacing w:before="0" w:after="4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594995"/>
                <wp:effectExtent l="0" t="0" r="0" b="0"/>
                <wp:wrapNone/>
                <wp:docPr id="281" name="Frame280"/>
                <a:graphic xmlns:a="http://schemas.openxmlformats.org/drawingml/2006/main">
                  <a:graphicData uri="http://schemas.microsoft.com/office/word/2010/wordprocessingShape">
                    <wps:wsp>
                      <wps:cNvSpPr txBox="1"/>
                      <wps:spPr>
                        <a:xfrm>
                          <a:off x="0" y="0"/>
                          <a:ext cx="6480175" cy="59499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0"/>
        <w:jc w:val="right"/>
        <w:rPr/>
      </w:pPr>
      <w:r>
        <w:rPr>
          <w:color w:val="000000"/>
          <w:highlight w:val="white"/>
        </w:rPr>
        <w:t>                                            </w:t>
      </w:r>
      <w:r>
        <w:rPr>
          <w:rFonts w:ascii="Times New Roman;sans-serif" w:hAnsi="Times New Roman;sans-serif"/>
          <w:b/>
          <w:color w:val="000000"/>
          <w:sz w:val="24"/>
          <w:highlight w:val="white"/>
        </w:rPr>
        <w:t>Exhibit 4.25</w:t>
      </w:r>
    </w:p>
    <w:p>
      <w:pPr>
        <w:pStyle w:val="TextBody"/>
        <w:spacing w:before="0" w:after="0"/>
        <w:rPr/>
      </w:pPr>
      <w:r>
        <w:rPr/>
      </w:r>
    </w:p>
    <w:p>
      <w:pPr>
        <w:pStyle w:val="TextBody"/>
        <w:spacing w:lineRule="auto" w:line="26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CERTAIN IDENTIFIED INFORMATION HAS BEEN EXCLUDED (INDICATED BY: [***] FROM THE EXHIBIT BECAUSE IT IS BOTH (I) NOT MATERIAL AND (II) THE TYPE OF INFORMATION THAT THE REGISTRANT CUSTOMARILY AND ACTUALLY TREATS AS PRIVATE OR CONFIDENTIAL.</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Execution Version</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FIRST REFUSAL AND CO-SALE AGREEMENT</w:t>
      </w:r>
    </w:p>
    <w:p>
      <w:pPr>
        <w:pStyle w:val="TextBody"/>
        <w:spacing w:before="0" w:after="0"/>
        <w:jc w:val="center"/>
        <w:rPr/>
      </w:pPr>
      <w:r>
        <w:rPr/>
      </w:r>
    </w:p>
    <w:p>
      <w:pPr>
        <w:pStyle w:val="TextBody"/>
        <w:spacing w:lineRule="auto" w:line="240" w:before="0" w:after="240"/>
        <w:ind w:left="0" w:right="0" w:firstLine="1440"/>
        <w:jc w:val="both"/>
        <w:rPr/>
      </w:pPr>
      <w:r>
        <w:rPr>
          <w:rFonts w:ascii="Times New Roman;sans-serif" w:hAnsi="Times New Roman;sans-serif"/>
          <w:b w:val="false"/>
          <w:color w:val="000000"/>
          <w:sz w:val="24"/>
        </w:rPr>
        <w:t>This</w:t>
      </w:r>
      <w:r>
        <w:rPr>
          <w:color w:val="000000"/>
        </w:rPr>
        <w:t xml:space="preserve"> </w:t>
      </w:r>
      <w:r>
        <w:rPr>
          <w:rFonts w:ascii="Times New Roman;sans-serif" w:hAnsi="Times New Roman;sans-serif"/>
          <w:b/>
          <w:color w:val="000000"/>
          <w:sz w:val="24"/>
        </w:rPr>
        <w:t>AMENDED AND RESTATED FIRST REFUSAL AND CO-SALE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the 25th day of May, 2021 by and among</w:t>
      </w:r>
      <w:r>
        <w:rPr>
          <w:color w:val="000000"/>
        </w:rPr>
        <w:t xml:space="preserve"> </w:t>
      </w:r>
      <w:r>
        <w:rPr>
          <w:rFonts w:ascii="Times New Roman;sans-serif" w:hAnsi="Times New Roman;sans-serif"/>
          <w:b/>
          <w:color w:val="000000"/>
          <w:sz w:val="24"/>
        </w:rPr>
        <w:t>AKILI INTERACTIVE LABS, INC.</w:t>
      </w:r>
      <w:r>
        <w:rPr>
          <w:rFonts w:ascii="Times New Roman;sans-serif" w:hAnsi="Times New Roman;sans-serif"/>
          <w:b w:val="false"/>
          <w:color w:val="000000"/>
          <w:sz w:val="24"/>
        </w:rPr>
        <w:t>,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holders of Common Stock of the Company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xml:space="preserve">), or of options to purchase Common Stock,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(each a “</w:t>
      </w:r>
      <w:r>
        <w:rPr>
          <w:rFonts w:ascii="Times New Roman;sans-serif" w:hAnsi="Times New Roman;sans-serif"/>
          <w:b w:val="false"/>
          <w:color w:val="000000"/>
          <w:sz w:val="24"/>
          <w:u w:val="single"/>
        </w:rPr>
        <w:t>Common Holder</w:t>
      </w:r>
      <w:r>
        <w:rPr>
          <w:color w:val="000000"/>
        </w:rPr>
        <w:t xml:space="preserve">” </w:t>
      </w:r>
      <w:r>
        <w:rPr>
          <w:rFonts w:ascii="Times New Roman;sans-serif" w:hAnsi="Times New Roman;sans-serif"/>
          <w:b w:val="false"/>
          <w:color w:val="000000"/>
          <w:sz w:val="24"/>
        </w:rPr>
        <w:t>and, together, the “</w:t>
      </w:r>
      <w:r>
        <w:rPr>
          <w:rFonts w:ascii="Times New Roman;sans-serif" w:hAnsi="Times New Roman;sans-serif"/>
          <w:b w:val="false"/>
          <w:color w:val="000000"/>
          <w:sz w:val="24"/>
          <w:u w:val="single"/>
        </w:rPr>
        <w:t>Common Holders</w:t>
      </w:r>
      <w:r>
        <w:rPr>
          <w:color w:val="000000"/>
        </w:rPr>
        <w:t>”</w:t>
      </w:r>
      <w:r>
        <w:rPr>
          <w:rFonts w:ascii="Times New Roman;sans-serif" w:hAnsi="Times New Roman;sans-serif"/>
          <w:b w:val="false"/>
          <w:color w:val="000000"/>
          <w:sz w:val="24"/>
        </w:rPr>
        <w:t>) and the holders of Preferred Stock of the Company (the “</w:t>
      </w:r>
      <w:r>
        <w:rPr>
          <w:rFonts w:ascii="Times New Roman;sans-serif" w:hAnsi="Times New Roman;sans-serif"/>
          <w:b w:val="false"/>
          <w:color w:val="000000"/>
          <w:sz w:val="24"/>
          <w:u w:val="single"/>
        </w:rPr>
        <w:t>Preferred Shares</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(each an “</w:t>
      </w:r>
      <w:r>
        <w:rPr>
          <w:rFonts w:ascii="Times New Roman;sans-serif" w:hAnsi="Times New Roman;sans-serif"/>
          <w:b w:val="false"/>
          <w:color w:val="000000"/>
          <w:sz w:val="24"/>
          <w:u w:val="single"/>
        </w:rPr>
        <w:t>Investor</w:t>
      </w:r>
      <w:r>
        <w:rPr>
          <w:color w:val="000000"/>
        </w:rPr>
        <w:t xml:space="preserve">” </w:t>
      </w:r>
      <w:r>
        <w:rPr>
          <w:rFonts w:ascii="Times New Roman;sans-serif" w:hAnsi="Times New Roman;sans-serif"/>
          <w:b w:val="false"/>
          <w:color w:val="000000"/>
          <w:sz w:val="24"/>
        </w:rPr>
        <w:t>and together, the “</w:t>
      </w:r>
      <w:r>
        <w:rPr>
          <w:rFonts w:ascii="Times New Roman;sans-serif" w:hAnsi="Times New Roman;sans-serif"/>
          <w:b w:val="false"/>
          <w:color w:val="000000"/>
          <w:sz w:val="24"/>
          <w:u w:val="single"/>
        </w:rPr>
        <w:t>Investors</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and certain of the Investors are parties to that certain Series D Preferred Stock Purchase Agreement of even date herewith (the “</w:t>
      </w:r>
      <w:r>
        <w:rPr>
          <w:rFonts w:ascii="Times New Roman;sans-serif" w:hAnsi="Times New Roman;sans-serif"/>
          <w:b w:val="false"/>
          <w:color w:val="000000"/>
          <w:sz w:val="24"/>
          <w:u w:val="single"/>
        </w:rPr>
        <w:t>Series D Agreement</w:t>
      </w:r>
      <w:r>
        <w:rPr>
          <w:color w:val="000000"/>
        </w:rPr>
        <w:t>”</w:t>
      </w:r>
      <w:r>
        <w:rPr>
          <w:rFonts w:ascii="Times New Roman;sans-serif" w:hAnsi="Times New Roman;sans-serif"/>
          <w:b w:val="false"/>
          <w:color w:val="000000"/>
          <w:sz w:val="24"/>
        </w:rPr>
        <w:t>), pursuant to which certain of the Investors are purchasing shares of the Company’s Series D Preferred Stock;</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each Common Holder is the beneficial owner of the number of shares of Common Stock or options to purchase Common Stock set forth opposite his/her name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hereto; </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certain of the Common Holders and certain of the Investors previously entered into a First Refusal and Co-Sale Agreement, dated January 20, 2016 and an Amended and Restated First Refusal and Co-Sale Agreement, dated [***]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to the Prior Agreement desire to amend and restate the Prior Agreement in its entirety and accept the rights and obligations created pursuant to this Agreement in lieu of their rights and obligations under the Prior Agreement;</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stockholders of the Company signatory hereto hold the requisite shares of capital stock in order to amend and restate the Prior Agreement in accordance with the terms thereof (subject to the execution of this Agreement by the Company); and</w:t>
      </w:r>
    </w:p>
    <w:p>
      <w:pPr>
        <w:pStyle w:val="TextBody"/>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each Common Holder wishes to provide further inducement to the Investors to purchase the Preferred Shares.</w:t>
      </w:r>
    </w:p>
    <w:p>
      <w:pPr>
        <w:pStyle w:val="TextBody"/>
        <w:spacing w:lineRule="auto" w:line="240"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premises and certain other good and valuable consideration, the receipt and sufficiency of which are hereby acknowledged, the parties agree that the Prior Agreement shall be amended and restated in the entirety by this Agreement and further agree as follows:</w:t>
      </w:r>
      <w:r>
        <w:br w:type="page"/>
      </w:r>
    </w:p>
    <w:p>
      <w:pPr>
        <w:pStyle w:val="TextBody"/>
        <w:spacing w:before="0" w:after="0"/>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770255"/>
                <wp:effectExtent l="0" t="0" r="0" b="0"/>
                <wp:wrapNone/>
                <wp:docPr id="282" name="Frame281"/>
                <a:graphic xmlns:a="http://schemas.openxmlformats.org/drawingml/2006/main">
                  <a:graphicData uri="http://schemas.microsoft.com/office/word/2010/wordprocessingShape">
                    <wps:wsp>
                      <wps:cNvSpPr txBox="1"/>
                      <wps:spPr>
                        <a:xfrm>
                          <a:off x="0" y="0"/>
                          <a:ext cx="6480175" cy="77025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Affiliate</w:t>
      </w:r>
      <w:r>
        <w:rPr>
          <w:rFonts w:ascii="Times New Roman;sans-serif" w:hAnsi="Times New Roman;sans-serif"/>
          <w:b w:val="false"/>
          <w:color w:val="000000"/>
          <w:sz w:val="24"/>
        </w:rPr>
        <w:t>. For purposes of this Agreement, the term “Affiliate” shall mean, (i) with respect to any Person, any other Person who or which, directly or indirectly, controls, is controlled by, or is under common control with such specified Person, including, without limitation, any general partner, officer, director or manager of such Person and any venture capital fund now or hereafter existing that is controlled by one or more general partners or managing members of, or is under common investment management with, such Person, (ii) with respect of TLS Beta Pte. Ltd. (“</w:t>
      </w:r>
      <w:r>
        <w:rPr>
          <w:rFonts w:ascii="Times New Roman;sans-serif" w:hAnsi="Times New Roman;sans-serif"/>
          <w:b w:val="false"/>
          <w:color w:val="000000"/>
          <w:sz w:val="24"/>
          <w:u w:val="single"/>
        </w:rPr>
        <w:t>Temasek</w:t>
      </w:r>
      <w:r>
        <w:rPr>
          <w:color w:val="000000"/>
        </w:rPr>
        <w:t>”</w:t>
      </w:r>
      <w:r>
        <w:rPr>
          <w:rFonts w:ascii="Times New Roman;sans-serif" w:hAnsi="Times New Roman;sans-serif"/>
          <w:b w:val="false"/>
          <w:color w:val="000000"/>
          <w:sz w:val="24"/>
        </w:rPr>
        <w:t>), Temasek’s ultimate holding company, Temasek Holdings (Private) Limited (“</w:t>
      </w:r>
      <w:r>
        <w:rPr>
          <w:rFonts w:ascii="Times New Roman;sans-serif" w:hAnsi="Times New Roman;sans-serif"/>
          <w:b w:val="false"/>
          <w:color w:val="000000"/>
          <w:sz w:val="24"/>
          <w:u w:val="single"/>
        </w:rPr>
        <w:t>Temasek Holdings</w:t>
      </w:r>
      <w:r>
        <w:rPr>
          <w:color w:val="000000"/>
        </w:rPr>
        <w:t>”</w:t>
      </w:r>
      <w:r>
        <w:rPr>
          <w:rFonts w:ascii="Times New Roman;sans-serif" w:hAnsi="Times New Roman;sans-serif"/>
          <w:b w:val="false"/>
          <w:color w:val="000000"/>
          <w:sz w:val="24"/>
        </w:rPr>
        <w:t>), and Temasek Holdings’ direct and indirect wholly owned companies whose boards of directors or equivalent governing bodies comprise solely of nominees or employees of (a) Temasek Holdings; (b) Temasek Pte. Ltd; and/or (c) wholly owned direct or indirect subsidiaries of Temasek Pte. Ltd.; (iii) with respect to Edinburgh Worldwide Investment Trust plc, any person that receives, directly or indirectly, investment management or management advisory services from Baillie Gifford &amp; Co. or Baillie Gifford Overseas Limited or any of their affiliates and (iv) with respect to Neuberger Berman Principal Strategies PRIMA Fund LP (“</w:t>
      </w:r>
      <w:r>
        <w:rPr>
          <w:rFonts w:ascii="Times New Roman;sans-serif" w:hAnsi="Times New Roman;sans-serif"/>
          <w:b w:val="false"/>
          <w:color w:val="000000"/>
          <w:sz w:val="24"/>
          <w:u w:val="single"/>
        </w:rPr>
        <w:t>Neuberger</w:t>
      </w:r>
      <w:r>
        <w:rPr>
          <w:color w:val="000000"/>
        </w:rPr>
        <w:t>”</w:t>
      </w:r>
      <w:r>
        <w:rPr>
          <w:rFonts w:ascii="Times New Roman;sans-serif" w:hAnsi="Times New Roman;sans-serif"/>
          <w:b w:val="false"/>
          <w:color w:val="000000"/>
          <w:sz w:val="24"/>
        </w:rPr>
        <w:t>), any person that receives, directly or indirectly, investment management or management advisory services from Neuberger Berman Investment Advisers LLC and/or NB Alternatives Advisers LLC or any successor or affiliated registered investment advisor of such firms.</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Delivery</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shall have the meaning set forth in Section 6 below.</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Equity Securities</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Equity Securities</w:t>
      </w:r>
      <w:r>
        <w:rPr>
          <w:color w:val="000000"/>
        </w:rPr>
        <w:t xml:space="preserve">” </w:t>
      </w:r>
      <w:r>
        <w:rPr>
          <w:rFonts w:ascii="Times New Roman;sans-serif" w:hAnsi="Times New Roman;sans-serif"/>
          <w:b w:val="false"/>
          <w:color w:val="000000"/>
          <w:sz w:val="24"/>
        </w:rPr>
        <w:t>shall mean any securities now or hereafter owned or held by a Common Holder (or a transferee who receives such securities subject to the rights of the Company and the Holders under Section 2.1 and Section 2.2) having voting rights in the election of the Board of Directors of the Company, or any securities evidencing an ownership interest in the Company, or any securities convertible into, exchangeable for or exercisable for any shares of the foregoing.</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Holders</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Holders</w:t>
      </w:r>
      <w:r>
        <w:rPr>
          <w:color w:val="000000"/>
        </w:rPr>
        <w:t xml:space="preserve">” </w:t>
      </w:r>
      <w:r>
        <w:rPr>
          <w:rFonts w:ascii="Times New Roman;sans-serif" w:hAnsi="Times New Roman;sans-serif"/>
          <w:b w:val="false"/>
          <w:color w:val="000000"/>
          <w:sz w:val="24"/>
        </w:rPr>
        <w:t>shall mean the Investors or persons who have acquired shares from any of such persons or their transferees or assignees in accordance with the provisions of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Person</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corporation, partnership, trust, limited liability company, association or other entity.</w:t>
      </w:r>
    </w:p>
    <w:p>
      <w:pPr>
        <w:pStyle w:val="TextBody"/>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Transfer</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Transfer</w:t>
      </w:r>
      <w:r>
        <w:rPr>
          <w:color w:val="000000"/>
        </w:rPr>
        <w:t xml:space="preserve">” </w:t>
      </w:r>
      <w:r>
        <w:rPr>
          <w:rFonts w:ascii="Times New Roman;sans-serif" w:hAnsi="Times New Roman;sans-serif"/>
          <w:b w:val="false"/>
          <w:color w:val="000000"/>
          <w:sz w:val="24"/>
        </w:rPr>
        <w:t>shall include any sale, assignment, encumbrance, hypothecation, pledge, conveyance in trust, gift, transfer by bequest, devise or descent, or other transfer or disposition of any kind, including, without limitation, transfers pursuant to divorce or legal separation, transfers to receivers, levying creditors, trustees or receivers in bankruptcy proceedings or general assignees for the benefit of creditors, whether voluntary, involuntarily or by operation of law, directly or indirectly, of any of the Equity Securities.</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Agreements Among the Company, the Holders and the Common Holders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Rights of Refusal</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 Notice</w:t>
      </w:r>
      <w:r>
        <w:rPr>
          <w:rFonts w:ascii="Times New Roman;sans-serif" w:hAnsi="Times New Roman;sans-serif"/>
          <w:b w:val="false"/>
          <w:color w:val="000000"/>
          <w:sz w:val="24"/>
        </w:rPr>
        <w:t>. If at any time a Common Holder proposes to Transfer Equity Securities (a “</w:t>
      </w:r>
      <w:r>
        <w:rPr>
          <w:rFonts w:ascii="Times New Roman;sans-serif" w:hAnsi="Times New Roman;sans-serif"/>
          <w:b w:val="false"/>
          <w:color w:val="000000"/>
          <w:sz w:val="24"/>
          <w:u w:val="single"/>
        </w:rPr>
        <w:t>Selling Common Holder</w:t>
      </w:r>
      <w:r>
        <w:rPr>
          <w:color w:val="000000"/>
        </w:rPr>
        <w:t>”</w:t>
      </w:r>
      <w:r>
        <w:rPr>
          <w:rFonts w:ascii="Times New Roman;sans-serif" w:hAnsi="Times New Roman;sans-serif"/>
          <w:b w:val="false"/>
          <w:color w:val="000000"/>
          <w:sz w:val="24"/>
        </w:rPr>
        <w:t xml:space="preserve">), then the Selling Common Holder shall promptly give the Company and each Holder written notice of the Selling Common Holder’s </w:t>
      </w:r>
      <w:r>
        <w:br w:type="page"/>
      </w:r>
    </w:p>
    <w:p>
      <w:pPr>
        <w:pStyle w:val="TextBody"/>
        <w:spacing w:before="0" w:after="0"/>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945515"/>
                <wp:effectExtent l="0" t="0" r="0" b="0"/>
                <wp:wrapNone/>
                <wp:docPr id="283" name="Frame282"/>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intention to make the Transfer (the “</w:t>
      </w:r>
      <w:r>
        <w:rPr>
          <w:rFonts w:ascii="Times New Roman;sans-serif" w:hAnsi="Times New Roman;sans-serif"/>
          <w:b w:val="false"/>
          <w:color w:val="000000"/>
          <w:sz w:val="24"/>
          <w:u w:val="single"/>
        </w:rPr>
        <w:t>Transfer Notice</w:t>
      </w:r>
      <w:r>
        <w:rPr>
          <w:color w:val="000000"/>
        </w:rPr>
        <w:t>”</w:t>
      </w:r>
      <w:r>
        <w:rPr>
          <w:rFonts w:ascii="Times New Roman;sans-serif" w:hAnsi="Times New Roman;sans-serif"/>
          <w:b w:val="false"/>
          <w:color w:val="000000"/>
          <w:sz w:val="24"/>
        </w:rPr>
        <w:t>). The Transfer Notice shall include (i) a description of the Equity Securities to be Transferred (the “</w:t>
      </w:r>
      <w:r>
        <w:rPr>
          <w:rFonts w:ascii="Times New Roman;sans-serif" w:hAnsi="Times New Roman;sans-serif"/>
          <w:b w:val="false"/>
          <w:color w:val="000000"/>
          <w:sz w:val="24"/>
          <w:u w:val="single"/>
        </w:rPr>
        <w:t>Offered Shares</w:t>
      </w:r>
      <w:r>
        <w:rPr>
          <w:color w:val="000000"/>
        </w:rPr>
        <w:t>”</w:t>
      </w:r>
      <w:r>
        <w:rPr>
          <w:rFonts w:ascii="Times New Roman;sans-serif" w:hAnsi="Times New Roman;sans-serif"/>
          <w:b w:val="false"/>
          <w:color w:val="000000"/>
          <w:sz w:val="24"/>
        </w:rPr>
        <w:t>), (ii) the name(s) and address(es) of the prospective transferee(s), (iii) the purchase price and form of consideration proposed to be paid for the Offered Shares and (iv) the other material terms and conditions upon which the proposed Transfer is to be made. The Transfer Notice shall certify that the Selling Common Holder has received a firm offer from the prospective transferee(s) and in good faith believes a binding agreement for the Transfer is obtainable on the terms set forth in the Transfer Notice. The Transfer Notice shall also include a copy of any written proposal, term sheet or letter of intent or other agreement relating to the proposed Transfer. In the event that the transfer is being made pursuant to the provisions of Section 2.4, the Transfer Notice shall state under which specific clause of Section 2.4 the Transfer is being made.</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Company’s Right of First Refusal</w:t>
      </w:r>
      <w:r>
        <w:rPr>
          <w:rFonts w:ascii="Times New Roman;sans-serif" w:hAnsi="Times New Roman;sans-serif"/>
          <w:b w:val="false"/>
          <w:color w:val="000000"/>
          <w:sz w:val="24"/>
        </w:rPr>
        <w:t>. The Company shall have an option for a period of [***] from Delivery of the Transfer Notice to elect to purchase the Offered Shares at the same price and subject to the same material terms and conditions as described in the Transfer Notice. The Company may exercise such purchase option and purchase all or any portion of the Offered Shares by notifying the Selling Common Holder in writing before expiration of such [ten (10) day] period as to the number of such shares that it wishes to purchase. If the Company gives the Selling Common Holder notice that it desires to purchase such shares, then payment for the Offered Shares shall be made by check or wire transfer against delivery of the Offered Shares to be purchased at a time and place agreed upon between the parties, which time shall be no later than [***] after Delivery to the Company of the Transfer Notice, unless the Transfer Notice contemplated a later closing with the prospective third-party transferee(s) or unless the value of the consideration to be paid for the Offered Shares has not yet been established pursuant to Section 2.1(e)(ii). If the Company fails to purchase any or all of the Offered Shares by exercising the option granted in this Section 2.1(b) within the period provided, the remaining Offered Shares shall be subject to the options granted to the Holders pursuant to Section 2.1(c)-(d).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Transfer Notice</w:t>
      </w:r>
      <w:r>
        <w:rPr>
          <w:rFonts w:ascii="Times New Roman;sans-serif" w:hAnsi="Times New Roman;sans-serif"/>
          <w:b w:val="false"/>
          <w:color w:val="000000"/>
          <w:sz w:val="24"/>
        </w:rPr>
        <w:t>. Subject to the Company’s option set forth in Section 2.1(b), if at any time the Selling Common Holder proposes a Transfer, then, within [***] after the Company has declined to purchase all, or a portion, of the Offered Shares or the Company’s option to so purchase the Offered Shares has expired, the Selling Common Holder shall give each Holder an “</w:t>
      </w:r>
      <w:r>
        <w:rPr>
          <w:rFonts w:ascii="Times New Roman;sans-serif" w:hAnsi="Times New Roman;sans-serif"/>
          <w:b w:val="false"/>
          <w:color w:val="000000"/>
          <w:sz w:val="24"/>
          <w:u w:val="single"/>
        </w:rPr>
        <w:t>Additional Transfer Notice</w:t>
      </w:r>
      <w:r>
        <w:rPr>
          <w:color w:val="000000"/>
        </w:rPr>
        <w:t xml:space="preserve">” </w:t>
      </w:r>
      <w:r>
        <w:rPr>
          <w:rFonts w:ascii="Times New Roman;sans-serif" w:hAnsi="Times New Roman;sans-serif"/>
          <w:b w:val="false"/>
          <w:color w:val="000000"/>
          <w:sz w:val="24"/>
        </w:rPr>
        <w:t>that shall include all of the information and certifications required in a Transfer Notice and shall additionally identify the Offered Shares that the Company has declined to purchase (the “</w:t>
      </w:r>
      <w:r>
        <w:rPr>
          <w:rFonts w:ascii="Times New Roman;sans-serif" w:hAnsi="Times New Roman;sans-serif"/>
          <w:b w:val="false"/>
          <w:color w:val="000000"/>
          <w:sz w:val="24"/>
          <w:u w:val="single"/>
        </w:rPr>
        <w:t>Remaining Shares</w:t>
      </w:r>
      <w:r>
        <w:rPr>
          <w:color w:val="000000"/>
        </w:rPr>
        <w:t>”</w:t>
      </w:r>
      <w:r>
        <w:rPr>
          <w:rFonts w:ascii="Times New Roman;sans-serif" w:hAnsi="Times New Roman;sans-serif"/>
          <w:b w:val="false"/>
          <w:color w:val="000000"/>
          <w:sz w:val="24"/>
        </w:rPr>
        <w:t>) and reference the Holders’ rights of first refusal and co-sale rights with respect to the proposed Transfer contained in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Holders’ Right of First Refusal</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Each Holder shall have an option for a period of [***] from the Delivery of the Additional Transfer Notice from the Selling Common Holder set forth in Section 2.1(c) to elect to purchase its respective pro rata share of the Remaining Shares at the same price and subject to the same material terms and conditions as described in the Additional Transfer Notice. Each Holder may exercise such purchase option and purchase all or any portion of its pro rata share of the Remaining Shares (a “</w:t>
      </w:r>
      <w:r>
        <w:rPr>
          <w:rFonts w:ascii="Times New Roman;sans-serif" w:hAnsi="Times New Roman;sans-serif"/>
          <w:b w:val="false"/>
          <w:color w:val="000000"/>
          <w:sz w:val="24"/>
          <w:u w:val="single"/>
        </w:rPr>
        <w:t>Participating Holder</w:t>
      </w:r>
      <w:r>
        <w:rPr>
          <w:color w:val="000000"/>
        </w:rPr>
        <w:t xml:space="preserve">” </w:t>
      </w:r>
      <w:r>
        <w:rPr>
          <w:rFonts w:ascii="Times New Roman;sans-serif" w:hAnsi="Times New Roman;sans-serif"/>
          <w:b w:val="false"/>
          <w:color w:val="000000"/>
          <w:sz w:val="24"/>
        </w:rPr>
        <w:t>for the purposes of this Section 2.1(d) and Section 2.1(e)), by notifying the Selling Common Holder and the Company in writing, before expiration of the [***] period as to the number of such shares that it wishes to purchase (the “</w:t>
      </w:r>
      <w:r>
        <w:rPr>
          <w:rFonts w:ascii="Times New Roman;sans-serif" w:hAnsi="Times New Roman;sans-serif"/>
          <w:b w:val="false"/>
          <w:color w:val="000000"/>
          <w:sz w:val="24"/>
          <w:u w:val="single"/>
        </w:rPr>
        <w:t>Participating Holder Notice</w:t>
      </w:r>
      <w:r>
        <w:rPr>
          <w:color w:val="000000"/>
        </w:rPr>
        <w:t>”</w:t>
      </w:r>
      <w:r>
        <w:rPr>
          <w:rFonts w:ascii="Times New Roman;sans-serif" w:hAnsi="Times New Roman;sans-serif"/>
          <w:b w:val="false"/>
          <w:color w:val="000000"/>
          <w:sz w:val="24"/>
        </w:rPr>
        <w:t xml:space="preserve">). Each Holder’s pro rata share of the Remaining Shares shall be a fraction of the Remaining Shares, the numerator of which shall be the number of shares of Common Stock (including shares of Common Stock issuable upon conversion of Preferred Shares) owned by such Holder on the date of the Transfer Notice and denominator of which shall be the total number of shares of Common Stock (including shares of Common Stock </w:t>
      </w:r>
      <w:r>
        <w:br w:type="page"/>
      </w:r>
    </w:p>
    <w:p>
      <w:pPr>
        <w:pStyle w:val="TextBody"/>
        <w:spacing w:before="0" w:after="0"/>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945515"/>
                <wp:effectExtent l="0" t="0" r="0" b="0"/>
                <wp:wrapNone/>
                <wp:docPr id="284" name="Frame283"/>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issuable upon conversion of Preferred Shares) held by all Holders on the date of the Transfer Notice. </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any Holder elects not to purchase its pro rata</w:t>
      </w:r>
      <w:r>
        <w:rPr>
          <w:color w:val="000000"/>
        </w:rPr>
        <w:t xml:space="preserve"> </w:t>
      </w:r>
      <w:r>
        <w:rPr>
          <w:rFonts w:ascii="Times New Roman;sans-serif" w:hAnsi="Times New Roman;sans-serif"/>
          <w:b w:val="false"/>
          <w:color w:val="000000"/>
          <w:sz w:val="24"/>
        </w:rPr>
        <w:t>share of the Remaining Shares available pursuant to its option under Section 2.1(d)(i) within the time period set forth therein, then the Selling Common Holder shall promptly give written notice (the “</w:t>
      </w:r>
      <w:r>
        <w:rPr>
          <w:rFonts w:ascii="Times New Roman;sans-serif" w:hAnsi="Times New Roman;sans-serif"/>
          <w:b w:val="false"/>
          <w:color w:val="000000"/>
          <w:sz w:val="24"/>
          <w:u w:val="single"/>
        </w:rPr>
        <w:t>Overallotment Notice</w:t>
      </w:r>
      <w:r>
        <w:rPr>
          <w:color w:val="000000"/>
        </w:rPr>
        <w:t>”</w:t>
      </w:r>
      <w:r>
        <w:rPr>
          <w:rFonts w:ascii="Times New Roman;sans-serif" w:hAnsi="Times New Roman;sans-serif"/>
          <w:b w:val="false"/>
          <w:color w:val="000000"/>
          <w:sz w:val="24"/>
        </w:rPr>
        <w:t>) to each Participating Holder that has elected to purchase all of its pro rata share of the Remaining Shares (each a “</w:t>
      </w:r>
      <w:r>
        <w:rPr>
          <w:rFonts w:ascii="Times New Roman;sans-serif" w:hAnsi="Times New Roman;sans-serif"/>
          <w:b w:val="false"/>
          <w:color w:val="000000"/>
          <w:sz w:val="24"/>
          <w:u w:val="single"/>
        </w:rPr>
        <w:t>Fully Participating Holder</w:t>
      </w:r>
      <w:r>
        <w:rPr>
          <w:color w:val="000000"/>
        </w:rPr>
        <w:t>”</w:t>
      </w:r>
      <w:r>
        <w:rPr>
          <w:rFonts w:ascii="Times New Roman;sans-serif" w:hAnsi="Times New Roman;sans-serif"/>
          <w:b w:val="false"/>
          <w:color w:val="000000"/>
          <w:sz w:val="24"/>
        </w:rPr>
        <w:t>), which notice shall set forth the number of Remaining Shares not purchased by the other Holders (“</w:t>
      </w:r>
      <w:r>
        <w:rPr>
          <w:rFonts w:ascii="Times New Roman;sans-serif" w:hAnsi="Times New Roman;sans-serif"/>
          <w:b w:val="false"/>
          <w:color w:val="000000"/>
          <w:sz w:val="24"/>
          <w:u w:val="single"/>
        </w:rPr>
        <w:t>Unsubscribed Shares</w:t>
      </w:r>
      <w:r>
        <w:rPr>
          <w:color w:val="000000"/>
        </w:rPr>
        <w:t>”</w:t>
      </w:r>
      <w:r>
        <w:rPr>
          <w:rFonts w:ascii="Times New Roman;sans-serif" w:hAnsi="Times New Roman;sans-serif"/>
          <w:b w:val="false"/>
          <w:color w:val="000000"/>
          <w:sz w:val="24"/>
        </w:rPr>
        <w:t>), and shall offer the Fully Participating Holders the right to acquire the Unsubscribed Shares. Each Fully Participating Holder shall have [***] after Delivery of the Overallotment Notice to deliver a written notice to the Selling Common Holder (the “</w:t>
      </w:r>
      <w:r>
        <w:rPr>
          <w:rFonts w:ascii="Times New Roman;sans-serif" w:hAnsi="Times New Roman;sans-serif"/>
          <w:b w:val="false"/>
          <w:color w:val="000000"/>
          <w:sz w:val="24"/>
          <w:u w:val="single"/>
        </w:rPr>
        <w:t>Participating Holders Overallotment Notice</w:t>
      </w:r>
      <w:r>
        <w:rPr>
          <w:color w:val="000000"/>
        </w:rPr>
        <w:t>”</w:t>
      </w:r>
      <w:r>
        <w:rPr>
          <w:rFonts w:ascii="Times New Roman;sans-serif" w:hAnsi="Times New Roman;sans-serif"/>
          <w:b w:val="false"/>
          <w:color w:val="000000"/>
          <w:sz w:val="24"/>
        </w:rPr>
        <w:t>) of its election to purchase its pro rata share of the Unsubscribed Shares on the same terms and conditions as set forth in the Additional Transfer Notice, which such Participating Holders Overallotment Notice shall also indicate the maximum number of the Unsubscribed Shares that such Fully Participating Holder will purchase in the event that any other Fully Participating Holder elects not to purchase its pro rata share of the Unsubscribed Shares. For the purposes of determining a Fully Participating Holder’s pro rata share of the Unsubscribed Shares under this Section 2.1(d)(ii), the numerator shall be the same as that used in Section 2.1(d)(i) above and the denominator shall be the total number of shares of Common Stock (including shares of Common Stock issuable upon conversion of Preferred Shares) owned by all Fully Participating Holders on the date of the Transfer Notice.</w:t>
      </w:r>
    </w:p>
    <w:p>
      <w:pPr>
        <w:pStyle w:val="TextBody"/>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Each Participating Holder shall be entitled to apportion Remaining Shares to be purchased among its partners and Affiliates,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Participating Holder notifies the Selling Common Holder of such allocation.</w:t>
      </w:r>
    </w:p>
    <w:p>
      <w:pPr>
        <w:pStyle w:val="TextBody"/>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Participating Holders shall effect the purchase of the Remaining Shares with payment by check or wire transfer against delivery of the Remaining Shares to be purchased at a time and place agreed upon between the parties, which time shall be no later than [***] after Delivery to the Company of the Transfer Notice, unless the Transfer Notice contemplated a later closing with the prospective third-party transferee(s) or unless the value of the consideration to be paid for the Offered Shares has not yet been established pursuant to Section 2.1(e)(ii).</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Should the purchase price specified in the Transfer Notice or Additional Transfer Notice be payable in a form of consideration other than cash or evidences of indebtedness, the Company (and the Participating Holders) shall have the right to pay such purchase price in an amount of cash equal to the fair market value of such consideration. If the Selling Common Holder and the Company (or the Participating Holders) cannot agree on such fair market value within [***] after Delivery to the Company of the Transfer Notice (or the Delivery of the Additional Transfer Notice to the Holders), the valuation shall be made by an appraiser of recognized standing selected by the Selling Common Holder and the Company (or [***] of the Participating Holders) or, if they cannot agree on an appraiser within [***] after Delivery to the Company of the Transfer Notice (or the Delivery of the Additional Transfer Notice to the Holders), each shall select an appraiser of recognized standing and those appraisers shall designate a third appraiser of recognized standing, whose appraisal shall be determinative of such value. The cost of such appraisal shall be shared equally by the Selling Common Holder, on the one hand, and the Company (and, to the extent there are any, the Participating Holders, on the other hand, with that half of the cost to be borne by the Company and the Participating Holders to be apportioned on a pro rata basis based on the number of shares each such party has expressed an interest in purchasing pursuant to this Section 2). If the time for the closing of the </w:t>
      </w:r>
      <w:r>
        <w:br w:type="page"/>
      </w:r>
    </w:p>
    <w:p>
      <w:pPr>
        <w:pStyle w:val="TextBody"/>
        <w:spacing w:before="0" w:after="0"/>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945515"/>
                <wp:effectExtent l="0" t="0" r="0" b="0"/>
                <wp:wrapNone/>
                <wp:docPr id="285" name="Frame284"/>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Company’s purchase or the Participating Holders’ purchase has expired but the determination of the value of the purchase price offered by the prospective transferee(s) has not been finalized, then such closing shall be held on or prior to the [***] after such valuation shall have been made pursuant to this Section 2.1(e)(ii).</w:t>
      </w:r>
    </w:p>
    <w:p>
      <w:pPr>
        <w:pStyle w:val="TextBody"/>
        <w:spacing w:lineRule="auto" w:line="240"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Right of Co-Sale</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extent the Company and the Holders do not exercise their respective rights of refusal as to all of the Offered Shares pursuant to Section 2.1, then each Holder (a “</w:t>
      </w:r>
      <w:r>
        <w:rPr>
          <w:rFonts w:ascii="Times New Roman;sans-serif" w:hAnsi="Times New Roman;sans-serif"/>
          <w:b w:val="false"/>
          <w:color w:val="000000"/>
          <w:sz w:val="24"/>
          <w:u w:val="single"/>
        </w:rPr>
        <w:t>Selling Holder</w:t>
      </w:r>
      <w:r>
        <w:rPr>
          <w:color w:val="000000"/>
        </w:rPr>
        <w:t xml:space="preserve">” </w:t>
      </w:r>
      <w:r>
        <w:rPr>
          <w:rFonts w:ascii="Times New Roman;sans-serif" w:hAnsi="Times New Roman;sans-serif"/>
          <w:b w:val="false"/>
          <w:color w:val="000000"/>
          <w:sz w:val="24"/>
        </w:rPr>
        <w:t>for purposes of this Section 2.2 and Section 2.6) that notifies the Selling Common Holder in writing within [***] after Delivery of the Additional Transfer Notice referred to in Section 2.1(c) shall have the right to participate in such sale of Equity Securities on the same terms and conditions as specified in the Transfer Notice. Such Selling Holder’s notice to the Selling Common Holder shall indicate the number of shares of capital stock of the Company that the Selling Holder desires to sell. To the extent one or more Selling Holders exercise such right of participation in accordance with the terms and conditions of this Section 2.2, the number of shares of Equity Securities that the Selling Common Holder may sell in the Transfer shall be correspondingly reduced.</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Selling Holder may sell all or any part of that number of shares of Common Stock (or capital stock of the Company convertible into such number of shares of Common Stock) equal in the aggregate to the product obtained by multiplying (i) the aggregate number of shares of Equity Securities covered by the Transfer Notice that have not been subscribed for pursuant to Section 2.1 by (ii) a fraction, the numerator of which is the number of shares of Common Stock (including shares of Common Stock issuable upon conversion of Preferred Shares) owned by such Selling Holder on the date of the Transfer Notice and the denominator of which is the total number of shares of Common Stock (including shares of Common Stock issuable upon conversion of Preferred Shares) owned by the Selling Common Holder and all of the Selling Holders on the date of the Transfer Notice.</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Each Selling Holder shall effect its participation in the sale by promptly delivering to the Selling Common Holder for transfer to the prospective purchaser one or more certificates, properly endorsed for transfer, which represent:</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number of shares of Common Stock that such Selling Holder elects to sell; or</w:t>
      </w:r>
    </w:p>
    <w:p>
      <w:pPr>
        <w:pStyle w:val="TextBody"/>
        <w:spacing w:lineRule="auto" w:line="240" w:before="6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that number of shares of capital stock of the Company that are at such time convertible into the number of shares of Common Stock that such Selling Holder elects to sell;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prospective third-party purchaser objects to the delivery of shares of capital stock of the Company other than Common Stock, such Selling Holder shall convert such shares of capital stock of the Company into Common Stock and deliver Common Stock as provided in this Section 2.2. The Company agrees to make any such conversion concurrent with the actual transfer of such shares to the purchaser and contingent on such transfer.</w:t>
      </w:r>
    </w:p>
    <w:p>
      <w:pPr>
        <w:pStyle w:val="TextBody"/>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stock certificate or certificates that each Selling Holder delivers to the Selling Common Holder pursuant to Section 2.2(c) shall be transferred to the prospective purchaser in consummation of the sale of the Equity Securities pursuant to the terms and conditions specified in the Transfer Notice, and such Selling Common Holder shall concurrently therewith remit to such Selling Holder that portion of the sale proceeds to which such Selling Holder is entitled by reason of its participation in such sale. To the extent that any prospective purchaser or purchasers prohibits such assignment or otherwise refuses to purchase shares or other securities from a Selling Holder exercising its rights of co-sale hereunder, the </w:t>
      </w:r>
      <w:r>
        <w:br w:type="page"/>
      </w:r>
    </w:p>
    <w:p>
      <w:pPr>
        <w:pStyle w:val="TextBody"/>
        <w:spacing w:before="0" w:after="0"/>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945515"/>
                <wp:effectExtent l="0" t="0" r="0" b="0"/>
                <wp:wrapNone/>
                <wp:docPr id="286" name="Frame285"/>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Selling Common Holder shall not sell to such prospective purchaser or purchasers any Equity Securities unless and until, simultaneously with such sale, the Selling Common Holder shall purchase such shares or other securities from such Selling Holder for the same consideration and on the same terms and conditions as the proposed transfer described in the Transfer Notice.</w:t>
      </w:r>
    </w:p>
    <w:p>
      <w:pPr>
        <w:pStyle w:val="TextBody"/>
        <w:spacing w:lineRule="auto" w:line="240" w:before="0" w:after="240"/>
        <w:ind w:left="0" w:right="0" w:firstLine="144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Non-Exercise of Rights</w:t>
      </w:r>
      <w:r>
        <w:rPr>
          <w:rFonts w:ascii="Times New Roman;sans-serif" w:hAnsi="Times New Roman;sans-serif"/>
          <w:b w:val="false"/>
          <w:color w:val="000000"/>
          <w:sz w:val="24"/>
        </w:rPr>
        <w:t xml:space="preserve">. To the extent that the Company and the Holders have not exercised their rights to purchase the Offered Shares or the Remaining Shares within the time periods specified in Section 2.1 and the Holders have not exercised their rights to participate in the sale of the Remaining Shares within the time periods specified in Section 2.2, the Selling Common Holder shall have a period of [***] from the expiration of such rights in which to sell the Offered Shares or the Remaining Shares, as the case may be, upon terms and conditions (including the purchase price) no more favorable than those specified in the Transfer Notice, to the third-party transferee(s) identified in the Transfer Notice. The Company’s first refusal rights and the Holders’ first refusal rights and co-sale rights shall continue to be applicable to any subsequent disposition of the Offered Shares or the Remaining Shares acquired by the third-party transferee(s) until such rights lapse in accordance with the terms of this Agreement. In the event the Selling Common Holder does not consummate the sale or disposition of the Offered Shares and Remaining Shares within the [***] period from the expiration of these rights, the Company’s first refusal rights and the Holders’ first refusal rights and co-sale rights shall continue to be applicable to any subsequent disposition of the Offered Shares or the Remaining Shares by the Selling Common Holder until such rights lapse in accordance with the terms of this Agreement. Furthermore, the exercise or non-exercise of the rights of the Company and the Holders under this Section 2 to purchase Equity Securities from the Selling Common Holder or participate in sales of Equity Securities by the Selling Common Holder shall not adversely affect their rights to make subsequent purchases from the Selling Common Holder of Equity Securities or subsequently participate in sales of Equity Securities by the Selling Common Holder. </w:t>
      </w:r>
    </w:p>
    <w:p>
      <w:pPr>
        <w:pStyle w:val="TextBody"/>
        <w:spacing w:lineRule="auto" w:line="240" w:before="0" w:after="240"/>
        <w:ind w:left="0" w:right="0" w:firstLine="144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Limitations to Rights of Refusal and Co-Sale</w:t>
      </w:r>
      <w:r>
        <w:rPr>
          <w:rFonts w:ascii="Times New Roman;sans-serif" w:hAnsi="Times New Roman;sans-serif"/>
          <w:b w:val="false"/>
          <w:color w:val="000000"/>
          <w:sz w:val="24"/>
        </w:rPr>
        <w:t>. Notwithstanding the provisions of Sections 2.1 and 2.2 of this Agreement, the first refusal rights of the Company and first refusal and co-sale rights of the Holders shall not apply to (i) the Transfer of Equity Securities by a Common Holder for estate planning purposes, either during such Common Holder’s lifetime or on death by will or intestacy to such Common Holder’s spouse or other member of a Common Holder’s immediate family, or to a custodian, trustee (including a trustee of a voting trust), executor or other fiduciary for the account of the Common Holder’s spouse or members of the Common Holder’s immediate family, or to a trust for the Common Holder’s own self, or a charitable remainder trust, (ii) a repurchase of Equity Securities from a Common Holder by the Company at cost and pursuant to an agreement containing vesting and/or repurchase provisions, (iii) any sale of Equity Securities pursuant to the exercise of the bring-along right set forth in Section 4.6 of that certain Second Amended and Restated Investors’ Rights Agreement of even date herewith by and among the Company and the other parties thereto, as may be amended from time to time, (iv) any sale of Equity Securities to the public pursuant to a registration statement filed with, and declared effective by, the Securities and Exchange Commission under the Securities Act of 1933, as amended, (v) any pledge of Equity Securities held by a Common Holder made pursuant to a bona fide loan transaction that creates a mere security interest or (vi) any bona fide</w:t>
      </w:r>
      <w:r>
        <w:rPr>
          <w:color w:val="000000"/>
        </w:rPr>
        <w:t xml:space="preserve"> </w:t>
      </w:r>
      <w:r>
        <w:rPr>
          <w:rFonts w:ascii="Times New Roman;sans-serif" w:hAnsi="Times New Roman;sans-serif"/>
          <w:b w:val="false"/>
          <w:color w:val="000000"/>
          <w:sz w:val="24"/>
        </w:rPr>
        <w:t xml:space="preserve">gift to any charitable organization described in Section 501(c)(3) of the Internal Revenue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in the event of any transfer made pursuant to one of the exemptions provided by clause(s) (i) or (vi), (A) the Common Holder shall inform the Holders of such Transfer prior to effecting it and (B) each such transferee or assignee, prior to the completion of the Transfer, shall have executed documents assuming the obligations of Common Holder under this Agreement with respect to the transferred Equity Securities. Such transferred Equity Securities shall remain “Equity Securities” hereunder, and such pledgee, transferee or donee shall be treated as a “Common Holder” for purposes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945515"/>
                <wp:effectExtent l="0" t="0" r="0" b="0"/>
                <wp:wrapNone/>
                <wp:docPr id="287" name="Frame286"/>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Prohibited Transfers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provided in this Agreement, each Common Holder will not sell, assign, transfer, pledge, hypothecate or otherwise encumber or dispose of in any way, all of, any part of or any interest in such Common Holder’s Equity Securities. Any sale, assignment, transfer, pledge, hypothecation or other encumbrance or disposition of Equity Securities not made in conformance with this Agreement shall be null and void, shall not be recorded on the books of the Company and shall not be recognized by the Company.</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a Common Holder should sell any Equity Securities in contravention of the co-sale rights of the Holders under Section 2.2 (a “</w:t>
      </w:r>
      <w:r>
        <w:rPr>
          <w:rFonts w:ascii="Times New Roman;sans-serif" w:hAnsi="Times New Roman;sans-serif"/>
          <w:b w:val="false"/>
          <w:color w:val="000000"/>
          <w:sz w:val="24"/>
          <w:u w:val="single"/>
        </w:rPr>
        <w:t>Prohibited Transfer</w:t>
      </w:r>
      <w:r>
        <w:rPr>
          <w:color w:val="000000"/>
        </w:rPr>
        <w:t>”</w:t>
      </w:r>
      <w:r>
        <w:rPr>
          <w:rFonts w:ascii="Times New Roman;sans-serif" w:hAnsi="Times New Roman;sans-serif"/>
          <w:b w:val="false"/>
          <w:color w:val="000000"/>
          <w:sz w:val="24"/>
        </w:rPr>
        <w:t>), the Holders, in addition to such other remedies as may be available at law, in equity or hereunder, shall have the put option provided below under Section 2.5(c), and such Common Holder shall be bound by the applicable provisions of such option.</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of a Prohibited Transfer, each Holder shall have the right to sell to the Common Holder making such Prohibited Transfer the type and number of shares of Equity Securities equal to the number of shares each Holder would have been entitled to transfer to the third-party transferee(s) under Section 2.2 hereof had the Prohibited Transfer been effected pursuant to and in compliance with the terms hereof. Such sale shall be made on the following terms and conditions:</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price per share at which the shares are to be sold to the Common Holder shall be equal to the price per share paid by the third-party transferee(s) to the Common Holder in the Prohibited Transfer. The Common Holder shall also reimburse each Holder for any and all fees and expenses, including legal fees and expenses, incurred pursuant to the exercise or the attempted exercise of the Holder’s rights under Section 2.2.</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Within [***] after the later of (A) the date on which the Holder receives notice of the Prohibited Transfer and (B) the date on which the Holder otherwise becomes aware of the Prohibited Transfer, each Holder shall, if exercising the option created hereby, deliver to the Common Holder the certificate or certificates representing shares to be sold, each certificate to be properly endorsed for transfer.</w:t>
      </w:r>
    </w:p>
    <w:p>
      <w:pPr>
        <w:pStyle w:val="TextBody"/>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Common Holder shall, upon receipt of the certificate or certificates for the shares to be sold by a Holder pursuant to this Section 2.5, pay the aggregate purchase price therefor and the amount of fees and expenses reimbursable under Section 2.5(c)(i) in cash or by other means acceptable to the Holder.</w:t>
      </w:r>
    </w:p>
    <w:p>
      <w:pPr>
        <w:pStyle w:val="TextBody"/>
        <w:spacing w:lineRule="auto" w:line="240" w:before="0" w:after="240"/>
        <w:ind w:left="0" w:right="0" w:firstLine="144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Violation of First Refusal Right</w:t>
      </w:r>
      <w:r>
        <w:rPr>
          <w:rFonts w:ascii="Times New Roman;sans-serif" w:hAnsi="Times New Roman;sans-serif"/>
          <w:b w:val="false"/>
          <w:color w:val="000000"/>
          <w:sz w:val="24"/>
        </w:rPr>
        <w:t>. If any Common Holder becomes obligated to sell any Equity Securities to the Company or any Holder under this Agreement and fails to deliver such Equity Securities in accordance with the terms of this Agreement, the Company and/or such Holder may, at its option, in addition to all other remedies it may have, send to such Common Holder the purchase price for such Equity Securities as is herein specified and transfer to the name of the Company or such Holder (or request that the Company effect such transfer in the name of a Holder) on the Company’s books the certificate or certificates representing the Equity Securities to be sold.</w:t>
      </w:r>
    </w:p>
    <w:p>
      <w:pPr>
        <w:pStyle w:val="TextBody"/>
        <w:spacing w:lineRule="auto" w:line="240" w:before="0" w:after="240"/>
        <w:ind w:left="0" w:right="0" w:firstLine="144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Status of Shares</w:t>
      </w:r>
      <w:r>
        <w:rPr>
          <w:rFonts w:ascii="Times New Roman;sans-serif" w:hAnsi="Times New Roman;sans-serif"/>
          <w:b w:val="false"/>
          <w:color w:val="000000"/>
          <w:sz w:val="24"/>
        </w:rPr>
        <w:t>. Holders that have exercised their rights to purchase the Offered Shares and/or the Remaining Shares pursuant to Section 2.1 shall acquire the Offered Shares and/or the Remaining Shares free and clear of subsequent rights of first refusal and co-sale rights under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Assignments and Transfers; No Third-Party Beneficiaries</w:t>
      </w:r>
      <w:r>
        <w:rPr>
          <w:rFonts w:ascii="Times New Roman;sans-serif" w:hAnsi="Times New Roman;sans-serif"/>
          <w:b w:val="false"/>
          <w:color w:val="000000"/>
          <w:sz w:val="24"/>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945515"/>
                <wp:effectExtent l="0" t="0" r="0" b="0"/>
                <wp:wrapNone/>
                <wp:docPr id="288" name="Frame287"/>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Assignment of Rights</w:t>
      </w:r>
      <w:r>
        <w:rPr>
          <w:rFonts w:ascii="Times New Roman;sans-serif" w:hAnsi="Times New Roman;sans-serif"/>
          <w:b w:val="false"/>
          <w:color w:val="000000"/>
          <w:sz w:val="24"/>
        </w:rPr>
        <w:t>. This Agreement and the rights and obligations of the parties hereunder shall inure to the benefit of, and be binding upon, their respective successors, assigns and legal representatives, but shall not otherwise be for the benefit of any third party.</w:t>
      </w:r>
    </w:p>
    <w:p>
      <w:pPr>
        <w:pStyle w:val="TextBody"/>
        <w:spacing w:lineRule="auto" w:line="240"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Condition to Transfer</w:t>
      </w:r>
      <w:r>
        <w:rPr>
          <w:rFonts w:ascii="Times New Roman;sans-serif" w:hAnsi="Times New Roman;sans-serif"/>
          <w:b w:val="false"/>
          <w:color w:val="000000"/>
          <w:sz w:val="24"/>
        </w:rPr>
        <w:t>. Any successor or permitted assignee of any Common Holder, including any prospective transferee who purchases any Equity Securities in accordance with the terms hereof, shall deliver to the Company and the Holders,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pStyle w:val="TextBody"/>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Restrictions on Assignment</w:t>
      </w:r>
      <w:r>
        <w:rPr>
          <w:rFonts w:ascii="Times New Roman;sans-serif" w:hAnsi="Times New Roman;sans-serif"/>
          <w:b w:val="false"/>
          <w:color w:val="000000"/>
          <w:sz w:val="24"/>
        </w:rPr>
        <w:t>. The rights of the Holders hereunder are only assignable (a) to any other Holder, (b) to a partner, member or Affiliate of such Holder or (c) to an assignee or transferee who acquires all of the Equity Securities held by a particular Holder or at least [***] shares of Common Stock (including shares of Common Stock issuable upon conversion of Preferred Shares) (as adjusted for stock splits, combinations, dividends, recapitalizations and the like); provided, that any such assignment shall be subject to and conditioned upon any such assignee’s delivery to the Company a counterpart signature page hereto pursuant to which such assignee shall confirm his, her or its agreement to be subject to and bound by all of the provisions set forth in this Agreement that were applicable to the assignor of such assignee. Notwithstanding Section 10 of this Agreement, no consent shall be necessary to update Schedule B to add any such assignee as an “Investor” hereunder.</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Legend</w:t>
      </w:r>
      <w:r>
        <w:rPr>
          <w:rFonts w:ascii="Times New Roman;sans-serif" w:hAnsi="Times New Roman;sans-serif"/>
          <w:b w:val="false"/>
          <w:color w:val="000000"/>
          <w:sz w:val="24"/>
        </w:rPr>
        <w:t>. Each existing or replacement certificate for shares now owned or hereafter acquired by a Common Holder shall bear the following legend upon its face:</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4"/>
        </w:rPr>
        <w:t>THE SALE, PLEDGE, HYPOTHECATION, ASSIGNMENT OR TRANSFER OF THE SECURITIES REPRESENTED BY THIS CERTIFICATE IS SUBJECT TO THE TERMS AND CONDITIONS OF A CERTAIN AMENDED AND RESTATED FIRST REFUSAL AND CO-SALE AGREEMENT BY AND BETWEEN THE STOCKHOLDER, THE CORPORATION AND CERTAIN HOLDERS OF STOCK OF THE CORPORATION, AS MAY BE AMENDED AND/OR RESTATED FROM TIME TO TIME. COPIES OF SUCH AGREEMENT MAY BE OBTAINED UPON WRITTEN REQUEST TO THE SECRETARY OF THE CORPORATION.”</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Effect of Change in Company’s Capital Structure</w:t>
      </w:r>
      <w:r>
        <w:rPr>
          <w:rFonts w:ascii="Times New Roman;sans-serif" w:hAnsi="Times New Roman;sans-serif"/>
          <w:b w:val="false"/>
          <w:color w:val="000000"/>
          <w:sz w:val="24"/>
        </w:rPr>
        <w:t>. If, from time to time, the Company pays a stock dividend or effects a stock split or other change in the character or amount of any of the outstanding stock of the Company, then in such event any and all new, substituted or additional securities to which a</w:t>
      </w:r>
      <w:r>
        <w:rPr>
          <w:color w:val="000000"/>
        </w:rPr>
        <w:t xml:space="preserve"> </w:t>
      </w:r>
      <w:r>
        <w:rPr>
          <w:rFonts w:ascii="Times New Roman;sans-serif" w:hAnsi="Times New Roman;sans-serif"/>
          <w:b w:val="false"/>
          <w:color w:val="000000"/>
          <w:sz w:val="24"/>
        </w:rPr>
        <w:t>Common Holder is entitled by reason of such Common Holder’s ownership of Equity Securities shall be immediately subject to the rights and obligations set forth in this Agreement with the same force and effect as the stock subject to such rights immediately before such event.</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given or made pursuant hereto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The occurrence of the events set forth in clauses (a) through (d) above shall constitute “</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 xml:space="preserve">of notice. All notices and other communications </w:t>
      </w:r>
      <w:r>
        <w:br w:type="page"/>
      </w:r>
    </w:p>
    <w:p>
      <w:pPr>
        <w:pStyle w:val="TextBody"/>
        <w:spacing w:before="0" w:after="0"/>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945515"/>
                <wp:effectExtent l="0" t="0" r="0" b="0"/>
                <wp:wrapNone/>
                <wp:docPr id="289" name="Frame288"/>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shall be sent to the Company at and to the other parties at the addresses set forth on the signature pages and/or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hereto, as applicable (or at such other addresses as shall be specified by notice given in accordance with this Section 6).</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Further Instruments and Actions</w:t>
      </w:r>
      <w:r>
        <w:rPr>
          <w:rFonts w:ascii="Times New Roman;sans-serif" w:hAnsi="Times New Roman;sans-serif"/>
          <w:b w:val="false"/>
          <w:color w:val="000000"/>
          <w:sz w:val="24"/>
        </w:rPr>
        <w:t>. The parties agree to execute such further instruments and to take such further action as may reasonably be necessary to carry out the intent of this Agreement. Each Common Holder agrees to cooperate affirmatively with the Company, the Investors and the Holders to enforce rights and obligations pursuant hereto.</w: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This Agreement shall terminate and be of no further force or effect upon [***]</w:t>
      </w:r>
    </w:p>
    <w:p>
      <w:pPr>
        <w:pStyle w:val="TextBody"/>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contains the entire understanding of the parties hereto with respect to the subject matter hereof and supersedes all other agreements between or among any of the parties with respect to the subject matter hereof, including without limitation the Prior Agreement. This Agreement shall be interpreted under the laws of the State of Delaware without reference to Delaware conflicts of law provisions. </w: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Any term of this Agreement may be amended and the observance of any term of this Agreement may be waived (either generally or in a particular instance and either retroactively or prospectively) only with the written consent of [***] Notwithstanding the foregoing, (i) this Agreement may not be amended or terminated and the observance of any term hereof may not be waived with respect to any Holder without the written consent of such Holder, unless such amendment, termination, or waiver applies to all Holders in the same fashion. [***].</w:t>
      </w:r>
    </w:p>
    <w:p>
      <w:pPr>
        <w:pStyle w:val="TextBody"/>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provisions of this Agreement is held to be unenforceable under applicable law, such provision shall be excluded from this Agreement and the balance of the Agreement shall be interpreted as if such provision were so excluded and shall be enforceable in accordance with its terms.</w:t>
      </w:r>
    </w:p>
    <w:p>
      <w:pPr>
        <w:pStyle w:val="TextBody"/>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In the event that any dispute among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pStyle w:val="TextBody"/>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For the purposes of determining the availability of any rights under this Agreement, the holdings of any transferee and assignee of an individual or a partnership who is a spouse, ancestor, lineal descendant or siblings of such individual or partners or retired partners of such partnership or Affiliates of such partnership (including spouses and ancestors, lineal descendants and siblings of such partners or spouses who acquire Common Stock by gift, will or intestate succession) shall be aggregated together with the individual or partnership, as the case may be, for the purpose of exercising any rights or taking any action under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Conflict with Other Rights of First Refusal</w:t>
      </w:r>
      <w:r>
        <w:rPr>
          <w:rFonts w:ascii="Times New Roman;sans-serif" w:hAnsi="Times New Roman;sans-serif"/>
          <w:b w:val="false"/>
          <w:color w:val="000000"/>
          <w:sz w:val="24"/>
        </w:rPr>
        <w:t>. Each Common Holder has entered into a stock purchase agreement or stock restriction agreement with the Company on the Company’s standard form (together with any additional stock purchase agreements, stock restriction agreements or option agreements that a Common Holder may enter into with the Company, the “</w:t>
      </w:r>
      <w:r>
        <w:rPr>
          <w:rFonts w:ascii="Times New Roman;sans-serif" w:hAnsi="Times New Roman;sans-serif"/>
          <w:b w:val="false"/>
          <w:color w:val="000000"/>
          <w:sz w:val="24"/>
          <w:u w:val="single"/>
        </w:rPr>
        <w:t>Purchase Agreements</w:t>
      </w:r>
      <w:r>
        <w:rPr>
          <w:color w:val="000000"/>
        </w:rPr>
        <w:t>”</w:t>
      </w:r>
      <w:r>
        <w:rPr>
          <w:rFonts w:ascii="Times New Roman;sans-serif" w:hAnsi="Times New Roman;sans-serif"/>
          <w:b w:val="false"/>
          <w:color w:val="000000"/>
          <w:sz w:val="24"/>
        </w:rPr>
        <w:t xml:space="preserve">), which agreement contains a right of first refusal provision in favor of the Company. For so long as this Agreement remains in existence, the right of first refusal provisions contained in this Agreement shall supersede the right of first refusal </w:t>
      </w:r>
      <w:r>
        <w:br w:type="page"/>
      </w:r>
    </w:p>
    <w:p>
      <w:pPr>
        <w:pStyle w:val="TextBody"/>
        <w:spacing w:before="0" w:after="0"/>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945515"/>
                <wp:effectExtent l="0" t="0" r="0" b="0"/>
                <wp:wrapNone/>
                <wp:docPr id="290" name="Frame289"/>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provisions contained in the Common Holder’s Purchase Agreements;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other provisions of the Common Holder’s Purchase Agreements shall remain in full force and effect. If, however, this Agreement shall terminate, the right of first refusal provisions contained in the Common Holder’s Purchase Agreements shall be in full force and effect in accordance with its terms.</w:t>
      </w:r>
    </w:p>
    <w:p>
      <w:pPr>
        <w:pStyle w:val="TextBody"/>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xml:space="preserve">. Notwithstanding Section 10 of this Agreement, no consent shall be necessary to add additional Investors as signatories to this Agreement and to update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accordingly,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Investors have purchased Series D Preferred Stock pursuant to the Series D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In addition to any and all other remedies that may be available at law in the event of any breach of this Agreement, each Holder shall be entitled to specific performance of the agreements and obligations of the Company, the Common Holder and the other Holders hereunder and to such other injunction or other equitable relief as may be granted by a court of competent jurisdiction.</w:t>
      </w:r>
    </w:p>
    <w:p>
      <w:pPr>
        <w:pStyle w:val="TextBody"/>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(2) or more counterparts, each of which shall be deemed an original, but all of which together shall constitute one and the same instrument. Counterparts may be delivered by facsimile, electronic mail (including pdf) or other transmission method and any counterpart so delivered shall be deemed to have been duly and validly delivered and be valid and effective for all purposes.</w:t>
      </w:r>
    </w:p>
    <w:p>
      <w:pPr>
        <w:pStyle w:val="TextBody"/>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Additional Common Holders</w:t>
      </w:r>
      <w:r>
        <w:rPr>
          <w:rFonts w:ascii="Times New Roman;sans-serif" w:hAnsi="Times New Roman;sans-serif"/>
          <w:b w:val="false"/>
          <w:color w:val="000000"/>
          <w:sz w:val="24"/>
        </w:rPr>
        <w:t xml:space="preserve">. In the event that after the date of this Agreement, the Company issues shares of Common Stock to any officer of the Company or to any other individual, which shares would collectively constitute with respect to such individual (taking into account all shares of Common Stock, options and other purchase rights held by such individual) [***] 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officer of the Company or such other individual to execute a counterpart signature page hereto as a Common Holder, and such person shall thereby be bound by, and subject to, all the terms and provisions of this Agreement applicable to a Common Holder. Notwithstanding Section 10 of this Agreement, no consent shall be necessary to add such additional Common Holders as signatories to this Agreement and update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accordingly.</w:t>
      </w:r>
    </w:p>
    <w:p>
      <w:pPr>
        <w:pStyle w:val="TextBody"/>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Effect on Prior Agreement</w:t>
      </w:r>
      <w:r>
        <w:rPr>
          <w:rFonts w:ascii="Times New Roman;sans-serif" w:hAnsi="Times New Roman;sans-serif"/>
          <w:b w:val="false"/>
          <w:color w:val="000000"/>
          <w:sz w:val="24"/>
        </w:rPr>
        <w:t>. Upon the effectiveness of this Agreement, the Prior Agreement automatically shall terminate and be of no further force and effect and shall be amended and restated in its entirety as set forth in this Agreement.</w:t>
      </w:r>
    </w:p>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945515"/>
                <wp:effectExtent l="0" t="0" r="0" b="0"/>
                <wp:wrapNone/>
                <wp:docPr id="291" name="Frame290"/>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Agreement as of the date first written above.</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W. Edward Martucci</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W. Edward Martucci, Ph.D.    </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Title:    </w:t>
      </w:r>
      <w:r>
        <w:rPr>
          <w:color w:val="000000"/>
          <w:u w:val="single"/>
        </w:rPr>
        <w:t xml:space="preserve"> </w:t>
      </w:r>
      <w:r>
        <w:rPr>
          <w:rFonts w:ascii="Times New Roman;sans-serif" w:hAnsi="Times New Roman;sans-serif"/>
          <w:b w:val="false"/>
          <w:color w:val="000000"/>
          <w:sz w:val="24"/>
          <w:u w:val="single"/>
        </w:rPr>
        <w:t>Chief Executive Officer    </w:t>
      </w:r>
    </w:p>
    <w:p>
      <w:pPr>
        <w:pStyle w:val="TextBody"/>
        <w:spacing w:lineRule="auto" w:line="240" w:before="0" w:after="0"/>
        <w:rPr/>
      </w:pPr>
      <w:r>
        <w:rPr>
          <w:rFonts w:ascii="Times New Roman;sans-serif" w:hAnsi="Times New Roman;sans-serif"/>
          <w:b w:val="false"/>
          <w:color w:val="000000"/>
          <w:sz w:val="24"/>
        </w:rPr>
        <w:br/>
        <w:t>Address:    </w:t>
      </w:r>
      <w:r>
        <w:rPr>
          <w:rFonts w:ascii="Times New Roman;sans-serif" w:hAnsi="Times New Roman;sans-serif"/>
          <w:b w:val="false"/>
          <w:color w:val="000000"/>
          <w:sz w:val="24"/>
          <w:u w:val="single"/>
        </w:rPr>
        <w:t>125 Broad Street, 5</w:t>
      </w:r>
      <w:r>
        <w:rPr>
          <w:rFonts w:ascii="Times New Roman;sans-serif" w:hAnsi="Times New Roman;sans-serif"/>
          <w:b w:val="false"/>
          <w:color w:val="000000"/>
          <w:sz w:val="16"/>
          <w:u w:val="single"/>
        </w:rPr>
        <w:t>th</w:t>
      </w:r>
      <w:r>
        <w:rPr>
          <w:color w:val="000000"/>
          <w:u w:val="single"/>
        </w:rPr>
        <w:t xml:space="preserve"> </w:t>
      </w:r>
      <w:r>
        <w:rPr>
          <w:rFonts w:ascii="Times New Roman;sans-serif" w:hAnsi="Times New Roman;sans-serif"/>
          <w:b w:val="false"/>
          <w:color w:val="000000"/>
          <w:sz w:val="24"/>
          <w:u w:val="single"/>
        </w:rPr>
        <w:t>Floor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Boston, MA 02110        </w:t>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238885"/>
                <wp:effectExtent l="0" t="0" r="0" b="0"/>
                <wp:wrapNone/>
                <wp:docPr id="292" name="Frame291"/>
                <a:graphic xmlns:a="http://schemas.openxmlformats.org/drawingml/2006/main">
                  <a:graphicData uri="http://schemas.microsoft.com/office/word/2010/wordprocessingShape">
                    <wps:wsp>
                      <wps:cNvSpPr txBox="1"/>
                      <wps:spPr>
                        <a:xfrm>
                          <a:off x="0" y="0"/>
                          <a:ext cx="6480175" cy="1238885"/>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Agreement as of the date first written above.</w:t>
      </w:r>
    </w:p>
    <w:p>
      <w:pPr>
        <w:pStyle w:val="TextBody"/>
        <w:spacing w:lineRule="auto" w:line="240" w:before="0" w:after="240"/>
        <w:ind w:left="0" w:right="0" w:firstLine="1440"/>
        <w:jc w:val="both"/>
        <w:rPr/>
      </w:pPr>
      <w:r>
        <w:rPr>
          <w:color w:val="000000"/>
        </w:rPr>
        <w:t>            </w:t>
      </w:r>
      <w:r>
        <w:rPr>
          <w:rFonts w:ascii="Times New Roman;sans-serif" w:hAnsi="Times New Roman;sans-serif"/>
          <w:b/>
          <w:color w:val="000000"/>
          <w:sz w:val="24"/>
        </w:rPr>
        <w:t>INVESTORS:</w:t>
      </w:r>
    </w:p>
    <w:p>
      <w:pPr>
        <w:pStyle w:val="TextBody"/>
        <w:spacing w:lineRule="auto" w:line="240" w:before="0" w:after="240"/>
        <w:ind w:left="0" w:right="0" w:firstLine="1440"/>
        <w:jc w:val="both"/>
        <w:rPr>
          <w:color w:val="000000"/>
        </w:rPr>
      </w:pPr>
      <w:r>
        <w:rPr>
          <w:color w:val="000000"/>
        </w:rPr>
        <w:t>                    </w:t>
      </w:r>
      <w:r>
        <w:rPr>
          <w:rFonts w:ascii="Times New Roman;sans-serif" w:hAnsi="Times New Roman;sans-serif"/>
          <w:b/>
          <w:color w:val="000000"/>
          <w:sz w:val="24"/>
        </w:rPr>
        <w:t>[***]</w:t>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238885"/>
                <wp:effectExtent l="0" t="0" r="0" b="0"/>
                <wp:wrapNone/>
                <wp:docPr id="293" name="Frame292"/>
                <a:graphic xmlns:a="http://schemas.openxmlformats.org/drawingml/2006/main">
                  <a:graphicData uri="http://schemas.microsoft.com/office/word/2010/wordprocessingShape">
                    <wps:wsp>
                      <wps:cNvSpPr txBox="1"/>
                      <wps:spPr>
                        <a:xfrm>
                          <a:off x="0" y="0"/>
                          <a:ext cx="6480175" cy="1238885"/>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w:t>
      </w:r>
      <w:r>
        <w:rPr>
          <w:rFonts w:ascii="Times New Roman;sans-serif" w:hAnsi="Times New Roman;sans-serif"/>
          <w:b/>
          <w:color w:val="000000"/>
          <w:sz w:val="24"/>
          <w:highlight w:val="white"/>
        </w:rPr>
        <w:t>xhibit 4.26</w:t>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945515"/>
                <wp:effectExtent l="0" t="0" r="0" b="0"/>
                <wp:wrapNone/>
                <wp:docPr id="294" name="Frame293"/>
                <a:graphic xmlns:a="http://schemas.openxmlformats.org/drawingml/2006/main">
                  <a:graphicData uri="http://schemas.microsoft.com/office/word/2010/wordprocessingShape">
                    <wps:wsp>
                      <wps:cNvSpPr txBox="1"/>
                      <wps:spPr>
                        <a:xfrm>
                          <a:off x="0" y="0"/>
                          <a:ext cx="6480175" cy="94551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before="0" w:after="0"/>
        <w:jc w:val="right"/>
        <w:rPr/>
      </w:pPr>
      <w:r>
        <w:rPr/>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spacing w:before="0" w:after="0"/>
        <w:jc w:val="center"/>
        <w:rPr/>
      </w:pPr>
      <w:r>
        <w:rPr/>
      </w:r>
    </w:p>
    <w:p>
      <w:pPr>
        <w:pStyle w:val="TextBody"/>
        <w:spacing w:lineRule="auto" w:line="240" w:before="0" w:after="2"/>
        <w:jc w:val="center"/>
        <w:rPr>
          <w:rFonts w:ascii="Times New Roman;sans-serif" w:hAnsi="Times New Roman;sans-serif"/>
          <w:b/>
          <w:color w:val="000000"/>
          <w:sz w:val="22"/>
        </w:rPr>
      </w:pPr>
      <w:r>
        <w:rPr>
          <w:rFonts w:ascii="Times New Roman;sans-serif" w:hAnsi="Times New Roman;sans-serif"/>
          <w:b/>
          <w:color w:val="000000"/>
          <w:sz w:val="22"/>
        </w:rPr>
        <w:t>AMENDED AND RESTATED</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INVESTORS’ RIGHTS AGREEMENT</w:t>
      </w:r>
    </w:p>
    <w:p>
      <w:pPr>
        <w:pStyle w:val="TextBody"/>
        <w:spacing w:before="0" w:after="0"/>
        <w:jc w:val="right"/>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260"/>
                <wp:effectExtent l="0" t="0" r="0" b="0"/>
                <wp:wrapNone/>
                <wp:docPr id="295" name="Frame2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spacing w:lineRule="auto" w:line="240" w:before="0" w:after="2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bl>
      <w:tblPr>
        <w:tblW w:w="5970" w:type="dxa"/>
        <w:jc w:val="left"/>
        <w:tblInd w:w="0" w:type="dxa"/>
        <w:tblCellMar>
          <w:top w:w="28" w:type="dxa"/>
          <w:left w:w="28" w:type="dxa"/>
          <w:bottom w:w="28" w:type="dxa"/>
          <w:right w:w="28" w:type="dxa"/>
        </w:tblCellMar>
      </w:tblPr>
      <w:tblGrid>
        <w:gridCol w:w="2019"/>
        <w:gridCol w:w="1779"/>
        <w:gridCol w:w="1781"/>
        <w:gridCol w:w="114"/>
        <w:gridCol w:w="114"/>
        <w:gridCol w:w="163"/>
      </w:tblGrid>
      <w:tr>
        <w:trPr/>
        <w:tc>
          <w:tcPr>
            <w:tcW w:w="2019"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6</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Demand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6</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Company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Underwriting Requirements.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Obligations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8</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Furnish 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2.6</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Expenses of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2.7</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Delay of Registration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2.8</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2.9</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Reports Under Exchange Act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12</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2.10</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Limitations on Subsequent 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13</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2.11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color w:val="0563C1"/>
                  <w:u w:val="single"/>
                </w:rPr>
                <w:t>“</w:t>
              </w:r>
            </w:hyperlink>
            <w:hyperlink w:anchor="i57f137c6b8aa497e9f21c6aec6c0f13b_7">
              <w:r>
                <w:rPr>
                  <w:rStyle w:val="InternetLink"/>
                  <w:rFonts w:ascii="Times New Roman;sans-serif" w:hAnsi="Times New Roman;sans-serif"/>
                  <w:b w:val="false"/>
                  <w:color w:val="0563C1"/>
                  <w:sz w:val="22"/>
                  <w:u w:val="single"/>
                </w:rPr>
                <w:t>Market Stand-off”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13</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2.12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Restrictions on Transfer.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14</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2.13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Termination of Registration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Voting Provisions Regarding Board of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Size of the Board</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Board Composition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Failure to Designate a Board Member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16</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Removal of Board Members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16</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No Liability for Election of Recommended Directors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3.6</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No “Bad Actor” Designees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Information.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Delivery of Financial Statements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Inspection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18</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Observer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18</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Termination of Information Rights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4.5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Confidentiality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Rights to Future Stock Issuances.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5.1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Right of First Offer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5.2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20</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Additional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Insurance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Employee Agreements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Board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Expenses of Counsel</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21</w:t>
              </w:r>
            </w:hyperlink>
          </w:p>
        </w:tc>
      </w:tr>
    </w:tbl>
    <w:p>
      <w:pPr>
        <w:pStyle w:val="TextBody"/>
        <w:spacing w:before="0" w:after="0"/>
        <w:rPr/>
      </w:pPr>
      <w:r>
        <w:br w:type="page"/>
      </w: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876300"/>
                <wp:effectExtent l="0" t="0" r="0" b="0"/>
                <wp:wrapNone/>
                <wp:docPr id="296" name="Frame295"/>
                <a:graphic xmlns:a="http://schemas.openxmlformats.org/drawingml/2006/main">
                  <a:graphicData uri="http://schemas.microsoft.com/office/word/2010/wordprocessingShape">
                    <wps:wsp>
                      <wps:cNvSpPr txBox="1"/>
                      <wps:spPr>
                        <a:xfrm>
                          <a:off x="0" y="0"/>
                          <a:ext cx="6480175" cy="8763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5461" w:type="dxa"/>
        <w:jc w:val="left"/>
        <w:tblInd w:w="0" w:type="dxa"/>
        <w:tblCellMar>
          <w:top w:w="28" w:type="dxa"/>
          <w:left w:w="28" w:type="dxa"/>
          <w:bottom w:w="28" w:type="dxa"/>
          <w:right w:w="28" w:type="dxa"/>
        </w:tblCellMar>
      </w:tblPr>
      <w:tblGrid>
        <w:gridCol w:w="1836"/>
        <w:gridCol w:w="1615"/>
        <w:gridCol w:w="1619"/>
        <w:gridCol w:w="114"/>
        <w:gridCol w:w="114"/>
        <w:gridCol w:w="163"/>
      </w:tblGrid>
      <w:tr>
        <w:trPr/>
        <w:tc>
          <w:tcPr>
            <w:tcW w:w="1836"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Indemnification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6.6</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Successor 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6.7</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Right to Conduct Activities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6.8</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FCPA</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23</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6.9</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Stock Plan Amendments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23</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6.10</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Termination of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7.</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Vote to Increase Authorized Common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8.</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Drag-Along Right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8.1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Actions to be Taken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8.2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Conditions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25</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9.</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Restrictions on Sales of Control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10.</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Remedies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10.1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Covenants of the Company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10.2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Irrevocable Proxy and Power of Attorney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Term of VA Provisions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Successors and Assigns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Governing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12.3</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12.4</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Titles and Subtitles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12.5</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29</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12.6</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Amendments and Waivers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29</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12.7</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12.8</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Aggregation of Stock</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12.9</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Additional Holders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12.10</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31</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12.11</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Dispute Resolution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31</w:t>
              </w:r>
            </w:hyperlink>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color w:val="0563C1"/>
                  <w:sz w:val="22"/>
                  <w:u w:val="single"/>
                </w:rPr>
                <w:t>12.12</w:t>
              </w:r>
            </w:hyperlink>
            <w:hyperlink w:anchor="i57f137c6b8aa497e9f21c6aec6c0f13b_7">
              <w:r>
                <w:rPr>
                  <w:rStyle w:val="InternetLink"/>
                  <w:strike w:val="false"/>
                  <w:dstrike w:val="false"/>
                  <w:color w:val="000000"/>
                  <w:u w:val="none"/>
                  <w:effect w:val="none"/>
                </w:rPr>
                <w:t>    </w:t>
              </w:r>
            </w:hyperlink>
            <w:hyperlink w:anchor="i57f137c6b8aa497e9f21c6aec6c0f13b_7">
              <w:r>
                <w:rPr>
                  <w:rStyle w:val="InternetLink"/>
                  <w:rFonts w:ascii="Times New Roman;sans-serif" w:hAnsi="Times New Roman;sans-serif"/>
                  <w:b w:val="false"/>
                  <w:color w:val="0563C1"/>
                  <w:sz w:val="22"/>
                  <w:u w:val="single"/>
                </w:rPr>
                <w:t>Delays or Omissions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7f137c6b8aa497e9f21c6aec6c0f13b_7">
              <w:r>
                <w:rPr>
                  <w:rStyle w:val="InternetLink"/>
                  <w:rFonts w:ascii="Times New Roman;sans-serif" w:hAnsi="Times New Roman;sans-serif"/>
                  <w:b w:val="false"/>
                  <w:strike w:val="false"/>
                  <w:dstrike w:val="false"/>
                  <w:color w:val="000000"/>
                  <w:sz w:val="22"/>
                  <w:u w:val="none"/>
                  <w:effect w:val="none"/>
                </w:rPr>
                <w:t>31</w:t>
              </w:r>
            </w:hyperlink>
          </w:p>
        </w:tc>
      </w:tr>
    </w:tbl>
    <w:p>
      <w:pPr>
        <w:pStyle w:val="TextBody"/>
        <w:spacing w:before="0" w:after="240"/>
        <w:jc w:val="both"/>
        <w:rPr/>
      </w:pPr>
      <w:r>
        <w:rPr/>
      </w:r>
    </w:p>
    <w:p>
      <w:pPr>
        <w:pStyle w:val="TextBody"/>
        <w:spacing w:lineRule="auto" w:line="240" w:before="0" w:after="0"/>
        <w:jc w:val="both"/>
        <w:rPr/>
      </w:pPr>
      <w:r>
        <w:rPr>
          <w:rFonts w:ascii="Times New Roman;sans-serif" w:hAnsi="Times New Roman;sans-serif"/>
          <w:b w:val="false"/>
          <w:color w:val="000000"/>
          <w:sz w:val="22"/>
          <w:u w:val="single"/>
        </w:rPr>
        <w:t>Schedule A</w:t>
      </w:r>
      <w:r>
        <w:rPr>
          <w:color w:val="000000"/>
        </w:rPr>
        <w:t>    </w:t>
      </w:r>
      <w:r>
        <w:rPr>
          <w:rFonts w:ascii="Times New Roman;sans-serif" w:hAnsi="Times New Roman;sans-serif"/>
          <w:b w:val="false"/>
          <w:color w:val="000000"/>
          <w:sz w:val="22"/>
        </w:rPr>
        <w:t>-    Schedule of Investors</w:t>
      </w:r>
    </w:p>
    <w:p>
      <w:pPr>
        <w:pStyle w:val="TextBody"/>
        <w:spacing w:lineRule="auto" w:line="240" w:before="0" w:after="0"/>
        <w:jc w:val="both"/>
        <w:rPr/>
      </w:pPr>
      <w:r>
        <w:rPr>
          <w:rFonts w:ascii="Times New Roman;sans-serif" w:hAnsi="Times New Roman;sans-serif"/>
          <w:b w:val="false"/>
          <w:color w:val="000000"/>
          <w:sz w:val="22"/>
          <w:u w:val="single"/>
        </w:rPr>
        <w:t>Schedule B</w:t>
      </w:r>
      <w:r>
        <w:rPr>
          <w:color w:val="000000"/>
        </w:rPr>
        <w:t>    </w:t>
      </w:r>
      <w:r>
        <w:rPr>
          <w:rFonts w:ascii="Times New Roman;sans-serif" w:hAnsi="Times New Roman;sans-serif"/>
          <w:b w:val="false"/>
          <w:color w:val="000000"/>
          <w:sz w:val="22"/>
        </w:rPr>
        <w:t>-    Schedule of Noteholders</w:t>
      </w:r>
    </w:p>
    <w:p>
      <w:pPr>
        <w:pStyle w:val="TextBody"/>
        <w:spacing w:lineRule="auto" w:line="240" w:before="0" w:after="240"/>
        <w:jc w:val="both"/>
        <w:rPr/>
      </w:pPr>
      <w:r>
        <w:rPr>
          <w:rFonts w:ascii="Times New Roman;sans-serif" w:hAnsi="Times New Roman;sans-serif"/>
          <w:b w:val="false"/>
          <w:color w:val="000000"/>
          <w:sz w:val="22"/>
          <w:u w:val="single"/>
        </w:rPr>
        <w:t>Exhibit A</w:t>
      </w:r>
      <w:r>
        <w:rPr>
          <w:color w:val="000000"/>
        </w:rPr>
        <w:t>    </w:t>
      </w:r>
      <w:r>
        <w:rPr>
          <w:rFonts w:ascii="Times New Roman;sans-serif" w:hAnsi="Times New Roman;sans-serif"/>
          <w:b w:val="false"/>
          <w:color w:val="000000"/>
          <w:sz w:val="22"/>
        </w:rPr>
        <w:t>-    Form of Noncompetition and Nonsolicitation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876300"/>
                <wp:effectExtent l="0" t="0" r="0" b="0"/>
                <wp:wrapNone/>
                <wp:docPr id="297" name="Frame296"/>
                <a:graphic xmlns:a="http://schemas.openxmlformats.org/drawingml/2006/main">
                  <a:graphicData uri="http://schemas.microsoft.com/office/word/2010/wordprocessingShape">
                    <wps:wsp>
                      <wps:cNvSpPr txBox="1"/>
                      <wps:spPr>
                        <a:xfrm>
                          <a:off x="0" y="0"/>
                          <a:ext cx="6480175" cy="8763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INVESTORS’ RIGHTS AGREEMENT</w:t>
      </w:r>
    </w:p>
    <w:p>
      <w:pPr>
        <w:pStyle w:val="TextBody"/>
        <w:spacing w:lineRule="auto" w:line="240" w:before="0" w:after="240"/>
        <w:ind w:left="0" w:right="0" w:firstLine="720"/>
        <w:jc w:val="both"/>
        <w:rPr/>
      </w:pPr>
      <w:r>
        <w:rPr>
          <w:rFonts w:ascii="Times New Roman;sans-serif" w:hAnsi="Times New Roman;sans-serif"/>
          <w:b w:val="false"/>
          <w:color w:val="000000"/>
          <w:sz w:val="22"/>
        </w:rPr>
        <w:t>THIS AMENDED AND RESTATED INVESTORS’ RIGHTS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as of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of March, 2023, by and among Vedanta Biosciences,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each of the investors listed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hereto, each of which is referred to in this Agreement as an “</w:t>
      </w:r>
      <w:r>
        <w:rPr>
          <w:rFonts w:ascii="Times New Roman;sans-serif" w:hAnsi="Times New Roman;sans-serif"/>
          <w:b/>
          <w:color w:val="000000"/>
          <w:sz w:val="22"/>
        </w:rPr>
        <w:t>Investor</w:t>
      </w:r>
      <w:r>
        <w:rPr>
          <w:color w:val="000000"/>
        </w:rPr>
        <w:t>”</w:t>
      </w:r>
      <w:r>
        <w:rPr>
          <w:rFonts w:ascii="Times New Roman;sans-serif" w:hAnsi="Times New Roman;sans-serif"/>
          <w:b w:val="false"/>
          <w:color w:val="000000"/>
          <w:sz w:val="22"/>
        </w:rPr>
        <w:t xml:space="preserve">, each of the noteholders listed on </w:t>
      </w:r>
      <w:r>
        <w:rPr>
          <w:rFonts w:ascii="Times New Roman;sans-serif" w:hAnsi="Times New Roman;sans-serif"/>
          <w:b w:val="false"/>
          <w:color w:val="000000"/>
          <w:sz w:val="22"/>
          <w:u w:val="single"/>
        </w:rPr>
        <w:t>Schedule B</w:t>
      </w:r>
      <w:r>
        <w:rPr>
          <w:color w:val="000000"/>
        </w:rPr>
        <w:t xml:space="preserve"> </w:t>
      </w:r>
      <w:r>
        <w:rPr>
          <w:rFonts w:ascii="Times New Roman;sans-serif" w:hAnsi="Times New Roman;sans-serif"/>
          <w:b w:val="false"/>
          <w:color w:val="000000"/>
          <w:sz w:val="22"/>
        </w:rPr>
        <w:t>hereto, each of which is referred to in this Agreement as a “</w:t>
      </w:r>
      <w:r>
        <w:rPr>
          <w:rFonts w:ascii="Times New Roman;sans-serif" w:hAnsi="Times New Roman;sans-serif"/>
          <w:b/>
          <w:color w:val="000000"/>
          <w:sz w:val="22"/>
        </w:rPr>
        <w:t>Noteholder</w:t>
      </w:r>
      <w:r>
        <w:rPr>
          <w:color w:val="000000"/>
        </w:rPr>
        <w:t xml:space="preserve">” </w:t>
      </w:r>
      <w:r>
        <w:rPr>
          <w:rFonts w:ascii="Times New Roman;sans-serif" w:hAnsi="Times New Roman;sans-serif"/>
          <w:b w:val="false"/>
          <w:color w:val="000000"/>
          <w:sz w:val="22"/>
        </w:rPr>
        <w:t>and each other person who becomes party to this Agreement as a Key Holder pursuant to Section 12.9(c).</w:t>
      </w:r>
    </w:p>
    <w:p>
      <w:pPr>
        <w:pStyle w:val="TextBody"/>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Investors hold shares of the Company’s Series A-1 Preferred Stock, Series B Preferred Stock, Series C Preferred Stock, Series C-2 Preferred Stock and/or Series D Preferred Stock and possess certain rights to cause the Company to register shares of Common Stock issuable to the Investors, to receive certain information from the Company, to participate in future equity offerings by the Company, and certain other rights pursuant to that certain Amended and Restated Investors’ Rights Agreement, dated as of July 14, 2021, as such was amended, by and among the Company and such Investors (the “</w:t>
      </w:r>
      <w:r>
        <w:rPr>
          <w:rFonts w:ascii="Times New Roman;sans-serif" w:hAnsi="Times New Roman;sans-serif"/>
          <w:b/>
          <w:color w:val="000000"/>
          <w:sz w:val="22"/>
        </w:rPr>
        <w:t>Prior Agreement</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Investors holding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of the Preferred Stock outstanding as of the date hereof required to amend the Prior Agreement desire to amend and restate the Prior Agreement in its entirety and to accept the rights created pursuant to this Agreement in lieu of the rights granted under the Prior Agreement;</w:t>
      </w:r>
    </w:p>
    <w:p>
      <w:pPr>
        <w:pStyle w:val="TextBody"/>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and the Noteholders are parties to that certain Secured Convertible Promissory Note Purchase Agreement of even date herewith (as may be amended from time to time,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for the purchase and sale of secured convertible promissory notes thereunder (each, a “</w:t>
      </w:r>
      <w:r>
        <w:rPr>
          <w:rFonts w:ascii="Times New Roman;sans-serif" w:hAnsi="Times New Roman;sans-serif"/>
          <w:b/>
          <w:color w:val="000000"/>
          <w:sz w:val="22"/>
        </w:rPr>
        <w:t>Note</w:t>
      </w:r>
      <w:r>
        <w:rPr>
          <w:color w:val="000000"/>
        </w:rPr>
        <w:t>”</w:t>
      </w:r>
      <w:r>
        <w:rPr>
          <w:rFonts w:ascii="Times New Roman;sans-serif" w:hAnsi="Times New Roman;sans-serif"/>
          <w:b w:val="false"/>
          <w:color w:val="000000"/>
          <w:sz w:val="22"/>
        </w:rPr>
        <w:t>), and it is a condition to the closing of the sale of the Notes that such Investors and the Company execute and deliver this Agreement adding the Noteholders as party to the Agreement.</w:t>
      </w:r>
    </w:p>
    <w:p>
      <w:pPr>
        <w:pStyle w:val="TextBody"/>
        <w:spacing w:lineRule="auto" w:line="240"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mutual promises and covenants set forth herein, and other consideration, the receipt and adequacy of which is hereby acknowledged, the Investors hereby agree that the Prior Agreement shall be amended and restated and the parties to this Agreement further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this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or investment fund now or hereafter existing that is controlled by one or more general partners or managing members of, or shares the same management company with, such Person.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spacing w:lineRule="auto" w:line="240" w:before="0" w:after="240"/>
        <w:ind w:left="0" w:right="0" w:firstLine="288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w:t>
      </w:r>
      <w:r>
        <w:br w:type="page"/>
      </w:r>
    </w:p>
    <w:p>
      <w:pPr>
        <w:pStyle w:val="TextBody"/>
        <w:spacing w:before="0" w:after="0"/>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237615"/>
                <wp:effectExtent l="0" t="0" r="0" b="0"/>
                <wp:wrapNone/>
                <wp:docPr id="298" name="Frame297"/>
                <a:graphic xmlns:a="http://schemas.openxmlformats.org/drawingml/2006/main">
                  <a:graphicData uri="http://schemas.microsoft.com/office/word/2010/wordprocessingShape">
                    <wps:wsp>
                      <wps:cNvSpPr txBox="1"/>
                      <wps:spPr>
                        <a:xfrm>
                          <a:off x="0" y="0"/>
                          <a:ext cx="6480175" cy="1237615"/>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880"/>
        <w:jc w:val="both"/>
        <w:rPr/>
      </w:pPr>
      <w:r>
        <w:rPr>
          <w:rFonts w:ascii="Times New Roman;sans-serif" w:hAnsi="Times New Roman;sans-serif"/>
          <w:b w:val="false"/>
          <w:color w:val="000000"/>
          <w:sz w:val="24"/>
        </w:rPr>
        <w:t>(vi)</w:t>
      </w:r>
      <w:r>
        <w:rPr>
          <w:color w:val="000000"/>
        </w:rPr>
        <w:t>“</w:t>
      </w:r>
      <w:r>
        <w:rPr>
          <w:rFonts w:ascii="Times New Roman;sans-serif" w:hAnsi="Times New Roman;sans-serif"/>
          <w:b/>
          <w:color w:val="000000"/>
          <w:sz w:val="22"/>
        </w:rPr>
        <w:t>Common Stock</w:t>
      </w:r>
      <w:r>
        <w:rPr>
          <w:color w:val="000000"/>
        </w:rPr>
        <w:t xml:space="preserve">” </w:t>
      </w:r>
      <w:r>
        <w:rPr>
          <w:rFonts w:ascii="Times New Roman;sans-serif" w:hAnsi="Times New Roman;sans-serif"/>
          <w:b w:val="false"/>
          <w:color w:val="000000"/>
          <w:sz w:val="22"/>
        </w:rPr>
        <w:t>means shares of the Company’s common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(vii)</w:t>
      </w:r>
      <w:r>
        <w:rPr>
          <w:color w:val="000000"/>
        </w:rPr>
        <w:t>“</w:t>
      </w:r>
      <w:r>
        <w:rPr>
          <w:rFonts w:ascii="Times New Roman;sans-serif" w:hAnsi="Times New Roman;sans-serif"/>
          <w:b/>
          <w:color w:val="000000"/>
          <w:sz w:val="22"/>
        </w:rPr>
        <w:t>Competitor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(viii)</w:t>
      </w:r>
      <w:r>
        <w:rPr>
          <w:color w:val="000000"/>
        </w:rPr>
        <w:t>“</w:t>
      </w:r>
      <w:r>
        <w:rPr>
          <w:rFonts w:ascii="Times New Roman;sans-serif" w:hAnsi="Times New Roman;sans-serif"/>
          <w:b/>
          <w:color w:val="000000"/>
          <w:sz w:val="22"/>
        </w:rPr>
        <w:t>Damages</w:t>
      </w:r>
      <w:r>
        <w:rPr>
          <w:color w:val="000000"/>
        </w:rPr>
        <w:t xml:space="preserve">” </w:t>
      </w:r>
      <w:r>
        <w:rPr>
          <w:rFonts w:ascii="Times New Roman;sans-serif" w:hAnsi="Times New Roman;sans-serif"/>
          <w:b w:val="false"/>
          <w:color w:val="000000"/>
          <w:sz w:val="22"/>
        </w:rPr>
        <w:t>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spacing w:lineRule="auto" w:line="240" w:before="0" w:after="240"/>
        <w:ind w:left="0" w:right="0" w:firstLine="2880"/>
        <w:jc w:val="both"/>
        <w:rPr/>
      </w:pPr>
      <w:r>
        <w:rPr>
          <w:rFonts w:ascii="Times New Roman;sans-serif" w:hAnsi="Times New Roman;sans-serif"/>
          <w:b w:val="false"/>
          <w:color w:val="000000"/>
          <w:sz w:val="24"/>
        </w:rPr>
        <w:t>(ix)</w:t>
      </w:r>
      <w:r>
        <w:rPr>
          <w:color w:val="000000"/>
        </w:rPr>
        <w:t>“</w:t>
      </w:r>
      <w:r>
        <w:rPr>
          <w:rFonts w:ascii="Times New Roman;sans-serif" w:hAnsi="Times New Roman;sans-serif"/>
          <w:b/>
          <w:color w:val="000000"/>
          <w:sz w:val="22"/>
        </w:rPr>
        <w:t>Derivative Securities</w:t>
      </w:r>
      <w:r>
        <w:rPr>
          <w:color w:val="000000"/>
        </w:rPr>
        <w:t xml:space="preserve">” </w:t>
      </w:r>
      <w:r>
        <w:rPr>
          <w:rFonts w:ascii="Times New Roman;sans-serif" w:hAnsi="Times New Roman;sans-serif"/>
          <w:b w:val="false"/>
          <w:color w:val="000000"/>
          <w:sz w:val="22"/>
        </w:rPr>
        <w:t>means any securities or rights convertible into, or exercisable or exchangeable for (in each case, directly or indirectly)</w:t>
      </w:r>
      <w:r>
        <w:rPr>
          <w:rFonts w:ascii="Times New Roman;sans-serif" w:hAnsi="Times New Roman;sans-serif"/>
          <w:b/>
          <w:color w:val="000000"/>
          <w:sz w:val="22"/>
        </w:rPr>
        <w:t xml:space="preserve">, </w:t>
      </w:r>
      <w:r>
        <w:rPr>
          <w:rFonts w:ascii="Times New Roman;sans-serif" w:hAnsi="Times New Roman;sans-serif"/>
          <w:b w:val="false"/>
          <w:color w:val="000000"/>
          <w:sz w:val="22"/>
        </w:rPr>
        <w:t>Common Stock, including the Notes, options and warrants.</w:t>
      </w:r>
    </w:p>
    <w:p>
      <w:pPr>
        <w:pStyle w:val="TextBody"/>
        <w:spacing w:lineRule="auto" w:line="240" w:before="0" w:after="240"/>
        <w:ind w:left="0" w:right="0" w:firstLine="2880"/>
        <w:jc w:val="both"/>
        <w:rPr/>
      </w:pPr>
      <w:r>
        <w:rPr>
          <w:rFonts w:ascii="Times New Roman;sans-serif" w:hAnsi="Times New Roman;sans-serif"/>
          <w:b w:val="false"/>
          <w:color w:val="000000"/>
          <w:sz w:val="24"/>
        </w:rPr>
        <w:t>(x)</w:t>
      </w: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spacing w:lineRule="auto" w:line="240" w:before="0" w:after="240"/>
        <w:ind w:left="0" w:right="0" w:firstLine="2880"/>
        <w:jc w:val="both"/>
        <w:rPr/>
      </w:pPr>
      <w:r>
        <w:rPr>
          <w:rFonts w:ascii="Times New Roman;sans-serif" w:hAnsi="Times New Roman;sans-serif"/>
          <w:b w:val="false"/>
          <w:color w:val="000000"/>
          <w:sz w:val="24"/>
        </w:rPr>
        <w:t>(xi)</w:t>
      </w:r>
      <w:r>
        <w:rPr>
          <w:color w:val="000000"/>
        </w:rPr>
        <w:t>“</w:t>
      </w:r>
      <w:r>
        <w:rPr>
          <w:rFonts w:ascii="Times New Roman;sans-serif" w:hAnsi="Times New Roman;sans-serif"/>
          <w:b/>
          <w:color w:val="000000"/>
          <w:sz w:val="22"/>
        </w:rPr>
        <w:t>Excluded Registration</w:t>
      </w:r>
      <w:r>
        <w:rPr>
          <w:color w:val="000000"/>
        </w:rPr>
        <w:t xml:space="preserve">” </w:t>
      </w:r>
      <w:r>
        <w:rPr>
          <w:rFonts w:ascii="Times New Roman;sans-serif" w:hAnsi="Times New Roman;sans-serif"/>
          <w:b w:val="false"/>
          <w:color w:val="000000"/>
          <w:sz w:val="22"/>
        </w:rPr>
        <w:t>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spacing w:lineRule="auto" w:line="240" w:before="0" w:after="240"/>
        <w:ind w:left="0" w:right="0" w:firstLine="2880"/>
        <w:jc w:val="both"/>
        <w:rPr/>
      </w:pPr>
      <w:r>
        <w:rPr>
          <w:rFonts w:ascii="Times New Roman;sans-serif" w:hAnsi="Times New Roman;sans-serif"/>
          <w:b w:val="false"/>
          <w:color w:val="000000"/>
          <w:sz w:val="24"/>
        </w:rPr>
        <w:t>(xii)</w:t>
      </w:r>
      <w:r>
        <w:rPr>
          <w:color w:val="000000"/>
        </w:rPr>
        <w:t>“</w:t>
      </w:r>
      <w:r>
        <w:rPr>
          <w:rFonts w:ascii="Times New Roman;sans-serif" w:hAnsi="Times New Roman;sans-serif"/>
          <w:b/>
          <w:color w:val="000000"/>
          <w:sz w:val="22"/>
        </w:rPr>
        <w:t>FOIA Party</w:t>
      </w:r>
      <w:r>
        <w:rPr>
          <w:color w:val="000000"/>
        </w:rPr>
        <w:t xml:space="preserve">” </w:t>
      </w:r>
      <w:r>
        <w:rPr>
          <w:rFonts w:ascii="Times New Roman;sans-serif" w:hAnsi="Times New Roman;sans-serif"/>
          <w:b w:val="false"/>
          <w:color w:val="000000"/>
          <w:sz w:val="22"/>
        </w:rPr>
        <w:t>means a Person that, in the reasonable determination of the Board, may be subject to, and thereby required to disclose nonpublic information furnished by or relating to the Company under, the Freedom of Information Act, 6 U.S.C. 552 (“</w:t>
      </w:r>
      <w:r>
        <w:rPr>
          <w:rFonts w:ascii="Times New Roman;sans-serif" w:hAnsi="Times New Roman;sans-serif"/>
          <w:b/>
          <w:color w:val="000000"/>
          <w:sz w:val="22"/>
        </w:rPr>
        <w:t>FOIA</w:t>
      </w:r>
      <w:r>
        <w:rPr>
          <w:color w:val="000000"/>
        </w:rPr>
        <w:t>”</w:t>
      </w:r>
      <w:r>
        <w:rPr>
          <w:rFonts w:ascii="Times New Roman;sans-serif" w:hAnsi="Times New Roman;sans-serif"/>
          <w:b w:val="false"/>
          <w:color w:val="000000"/>
          <w:sz w:val="22"/>
        </w:rPr>
        <w:t>), any state public records access law, any state or other jurisdiction’s laws similar in intent or effect to FOIA, or any other similar statutory or regulatory requirement.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(xiii)</w:t>
      </w:r>
      <w:r>
        <w:rPr>
          <w:color w:val="000000"/>
        </w:rPr>
        <w:t>“</w:t>
      </w:r>
      <w:r>
        <w:rPr>
          <w:rFonts w:ascii="Times New Roman;sans-serif" w:hAnsi="Times New Roman;sans-serif"/>
          <w:b/>
          <w:color w:val="000000"/>
          <w:sz w:val="22"/>
        </w:rPr>
        <w:t>Form S-1</w:t>
      </w:r>
      <w:r>
        <w:rPr>
          <w:color w:val="000000"/>
        </w:rPr>
        <w:t xml:space="preserve">” </w:t>
      </w:r>
      <w:r>
        <w:rPr>
          <w:rFonts w:ascii="Times New Roman;sans-serif" w:hAnsi="Times New Roman;sans-serif"/>
          <w:b w:val="false"/>
          <w:color w:val="000000"/>
          <w:sz w:val="22"/>
        </w:rPr>
        <w:t>means such form under the Securities Act as in effect on the date hereof or any successor registration form under the Securities Act subsequently adopted by the SEC.</w:t>
      </w:r>
    </w:p>
    <w:p>
      <w:pPr>
        <w:pStyle w:val="TextBody"/>
        <w:spacing w:lineRule="auto" w:line="240" w:before="0" w:after="240"/>
        <w:ind w:left="0" w:right="0" w:firstLine="2880"/>
        <w:jc w:val="both"/>
        <w:rPr/>
      </w:pPr>
      <w:r>
        <w:rPr>
          <w:rFonts w:ascii="Times New Roman;sans-serif" w:hAnsi="Times New Roman;sans-serif"/>
          <w:b w:val="false"/>
          <w:color w:val="000000"/>
          <w:sz w:val="24"/>
        </w:rPr>
        <w:t>(xiv)</w:t>
      </w:r>
      <w:r>
        <w:rPr>
          <w:color w:val="000000"/>
        </w:rPr>
        <w:t>“</w:t>
      </w:r>
      <w:r>
        <w:rPr>
          <w:rFonts w:ascii="Times New Roman;sans-serif" w:hAnsi="Times New Roman;sans-serif"/>
          <w:b/>
          <w:color w:val="000000"/>
          <w:sz w:val="22"/>
        </w:rPr>
        <w:t>Form S-3</w:t>
      </w:r>
      <w:r>
        <w:rPr>
          <w:color w:val="000000"/>
        </w:rPr>
        <w:t xml:space="preserve">” </w:t>
      </w:r>
      <w:r>
        <w:rPr>
          <w:rFonts w:ascii="Times New Roman;sans-serif" w:hAnsi="Times New Roman;sans-serif"/>
          <w:b w:val="false"/>
          <w:color w:val="000000"/>
          <w:sz w:val="22"/>
        </w:rPr>
        <w:t>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pStyle w:val="TextBody"/>
        <w:spacing w:lineRule="auto" w:line="240" w:before="0" w:after="240"/>
        <w:ind w:left="0" w:right="0" w:firstLine="2880"/>
        <w:jc w:val="both"/>
        <w:rPr/>
      </w:pPr>
      <w:r>
        <w:rPr>
          <w:rFonts w:ascii="Times New Roman;sans-serif" w:hAnsi="Times New Roman;sans-serif"/>
          <w:b w:val="false"/>
          <w:color w:val="000000"/>
          <w:sz w:val="24"/>
        </w:rPr>
        <w:t>(xv)</w:t>
      </w: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means generally accepted accounting principles in the United States.</w:t>
      </w:r>
    </w:p>
    <w:p>
      <w:pPr>
        <w:pStyle w:val="TextBody"/>
        <w:spacing w:lineRule="auto" w:line="240" w:before="0" w:after="240"/>
        <w:ind w:left="0" w:right="0" w:firstLine="2880"/>
        <w:jc w:val="both"/>
        <w:rPr/>
      </w:pPr>
      <w:r>
        <w:rPr>
          <w:rFonts w:ascii="Times New Roman;sans-serif" w:hAnsi="Times New Roman;sans-serif"/>
          <w:b w:val="false"/>
          <w:color w:val="000000"/>
          <w:sz w:val="24"/>
        </w:rPr>
        <w:t>(xvi)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887095"/>
                <wp:effectExtent l="0" t="0" r="0" b="0"/>
                <wp:wrapNone/>
                <wp:docPr id="299" name="Frame298"/>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880"/>
        <w:jc w:val="both"/>
        <w:rPr/>
      </w:pPr>
      <w:r>
        <w:rPr>
          <w:rFonts w:ascii="Times New Roman;sans-serif" w:hAnsi="Times New Roman;sans-serif"/>
          <w:b w:val="false"/>
          <w:color w:val="000000"/>
          <w:sz w:val="24"/>
        </w:rPr>
        <w:t>(xvii)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(xviii)</w:t>
      </w:r>
      <w:r>
        <w:rPr>
          <w:color w:val="000000"/>
        </w:rPr>
        <w:t>“</w:t>
      </w:r>
      <w:r>
        <w:rPr>
          <w:rFonts w:ascii="Times New Roman;sans-serif" w:hAnsi="Times New Roman;sans-serif"/>
          <w:b/>
          <w:color w:val="000000"/>
          <w:sz w:val="22"/>
        </w:rPr>
        <w:t>Holder</w:t>
      </w:r>
      <w:r>
        <w:rPr>
          <w:color w:val="000000"/>
        </w:rPr>
        <w:t xml:space="preserve">” </w:t>
      </w:r>
      <w:r>
        <w:rPr>
          <w:rFonts w:ascii="Times New Roman;sans-serif" w:hAnsi="Times New Roman;sans-serif"/>
          <w:b w:val="false"/>
          <w:color w:val="000000"/>
          <w:sz w:val="22"/>
        </w:rPr>
        <w:t>means an Investor, a Noteholder and any holder of Registrable Securities who is a party to this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(xix)</w:t>
      </w:r>
      <w:r>
        <w:rPr>
          <w:color w:val="000000"/>
        </w:rPr>
        <w:t>“</w:t>
      </w:r>
      <w:r>
        <w:rPr>
          <w:rFonts w:ascii="Times New Roman;sans-serif" w:hAnsi="Times New Roman;sans-serif"/>
          <w:b/>
          <w:color w:val="000000"/>
          <w:sz w:val="22"/>
        </w:rPr>
        <w:t>Immediate Family Member</w:t>
      </w:r>
      <w:r>
        <w:rPr>
          <w:color w:val="000000"/>
        </w:rPr>
        <w:t xml:space="preserve">” </w:t>
      </w:r>
      <w:r>
        <w:rPr>
          <w:rFonts w:ascii="Times New Roman;sans-serif" w:hAnsi="Times New Roman;sans-serif"/>
          <w:b w:val="false"/>
          <w:color w:val="000000"/>
          <w:sz w:val="22"/>
        </w:rPr>
        <w:t>means a child, stepchild, grandchild, parent, stepparent, grandparent, spouse, sibling, mother-in-law, father-in-law, son-in-law, daughter-in-law, brother-in-law, or sister-in-law, including, adoptive relationships, of a natural person referred to herein.</w:t>
      </w:r>
    </w:p>
    <w:p>
      <w:pPr>
        <w:pStyle w:val="TextBody"/>
        <w:spacing w:lineRule="auto" w:line="240" w:before="0" w:after="240"/>
        <w:ind w:left="0" w:right="0" w:firstLine="2880"/>
        <w:jc w:val="both"/>
        <w:rPr/>
      </w:pPr>
      <w:r>
        <w:rPr>
          <w:rFonts w:ascii="Times New Roman;sans-serif" w:hAnsi="Times New Roman;sans-serif"/>
          <w:b w:val="false"/>
          <w:color w:val="000000"/>
          <w:sz w:val="24"/>
        </w:rPr>
        <w:t>(xx)</w:t>
      </w:r>
      <w:r>
        <w:rPr>
          <w:color w:val="000000"/>
        </w:rPr>
        <w:t>“</w:t>
      </w:r>
      <w:r>
        <w:rPr>
          <w:rFonts w:ascii="Times New Roman;sans-serif" w:hAnsi="Times New Roman;sans-serif"/>
          <w:b/>
          <w:color w:val="000000"/>
          <w:sz w:val="22"/>
        </w:rPr>
        <w:t>Initiating Holders</w:t>
      </w:r>
      <w:r>
        <w:rPr>
          <w:color w:val="000000"/>
        </w:rPr>
        <w:t xml:space="preserve">” </w:t>
      </w:r>
      <w:r>
        <w:rPr>
          <w:rFonts w:ascii="Times New Roman;sans-serif" w:hAnsi="Times New Roman;sans-serif"/>
          <w:b w:val="false"/>
          <w:color w:val="000000"/>
          <w:sz w:val="22"/>
        </w:rPr>
        <w:t>means collectively, Holders who properly initiate a registration request under this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(xxi)</w:t>
      </w:r>
      <w:r>
        <w:rPr>
          <w:color w:val="000000"/>
        </w:rPr>
        <w:t>“</w:t>
      </w:r>
      <w:r>
        <w:rPr>
          <w:rFonts w:ascii="Times New Roman;sans-serif" w:hAnsi="Times New Roman;sans-serif"/>
          <w:b/>
          <w:color w:val="000000"/>
          <w:sz w:val="22"/>
        </w:rPr>
        <w:t>IPO</w:t>
      </w:r>
      <w:r>
        <w:rPr>
          <w:color w:val="000000"/>
        </w:rPr>
        <w:t xml:space="preserve">” </w:t>
      </w:r>
      <w:r>
        <w:rPr>
          <w:rFonts w:ascii="Times New Roman;sans-serif" w:hAnsi="Times New Roman;sans-serif"/>
          <w:b w:val="false"/>
          <w:color w:val="000000"/>
          <w:sz w:val="22"/>
        </w:rPr>
        <w:t>means (1) the Company’s first underwritten public offering of its Common Stock under the Securities Act or (2) a SPAC Transaction (as defined in the Restated Certificate (as defined in the Purchase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(xxii)</w:t>
      </w:r>
      <w:r>
        <w:rPr>
          <w:color w:val="000000"/>
        </w:rPr>
        <w:t>“</w:t>
      </w:r>
      <w:r>
        <w:rPr>
          <w:rFonts w:ascii="Times New Roman;sans-serif" w:hAnsi="Times New Roman;sans-serif"/>
          <w:b/>
          <w:color w:val="000000"/>
          <w:sz w:val="22"/>
        </w:rPr>
        <w:t>Key Employee</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(xxiii)</w:t>
      </w:r>
      <w:r>
        <w:rPr>
          <w:color w:val="000000"/>
        </w:rPr>
        <w:t>“</w:t>
      </w:r>
      <w:r>
        <w:rPr>
          <w:rFonts w:ascii="Times New Roman;sans-serif" w:hAnsi="Times New Roman;sans-serif"/>
          <w:b/>
          <w:color w:val="000000"/>
          <w:sz w:val="22"/>
        </w:rPr>
        <w:t>Lead Investor Majority</w:t>
      </w:r>
      <w:r>
        <w:rPr>
          <w:color w:val="000000"/>
        </w:rPr>
        <w:t xml:space="preserve">” </w:t>
      </w:r>
      <w:r>
        <w:rPr>
          <w:rFonts w:ascii="Times New Roman;sans-serif" w:hAnsi="Times New Roman;sans-serif"/>
          <w:b w:val="false"/>
          <w:color w:val="000000"/>
          <w:sz w:val="22"/>
        </w:rPr>
        <w:t>has the meaning given to it in the Purchase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(xxiv)</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(xxv)</w:t>
      </w:r>
      <w:r>
        <w:rPr>
          <w:color w:val="000000"/>
        </w:rPr>
        <w:t>“</w:t>
      </w:r>
      <w:r>
        <w:rPr>
          <w:rFonts w:ascii="Times New Roman;sans-serif" w:hAnsi="Times New Roman;sans-serif"/>
          <w:b/>
          <w:color w:val="000000"/>
          <w:sz w:val="22"/>
        </w:rPr>
        <w:t>New Securities</w:t>
      </w:r>
      <w:r>
        <w:rPr>
          <w:color w:val="000000"/>
        </w:rPr>
        <w:t xml:space="preserve">” </w:t>
      </w:r>
      <w:r>
        <w:rPr>
          <w:rFonts w:ascii="Times New Roman;sans-serif" w:hAnsi="Times New Roman;sans-serif"/>
          <w:b w:val="false"/>
          <w:color w:val="000000"/>
          <w:sz w:val="22"/>
        </w:rPr>
        <w:t>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pStyle w:val="TextBody"/>
        <w:spacing w:lineRule="auto" w:line="240" w:before="0" w:after="240"/>
        <w:ind w:left="0" w:right="0" w:firstLine="2880"/>
        <w:jc w:val="both"/>
        <w:rPr/>
      </w:pPr>
      <w:r>
        <w:rPr>
          <w:rFonts w:ascii="Times New Roman;sans-serif" w:hAnsi="Times New Roman;sans-serif"/>
          <w:b w:val="false"/>
          <w:color w:val="000000"/>
          <w:sz w:val="24"/>
        </w:rPr>
        <w:t>(xxvi)</w:t>
      </w:r>
      <w:r>
        <w:rPr>
          <w:color w:val="000000"/>
        </w:rPr>
        <w:t>“</w:t>
      </w:r>
      <w:r>
        <w:rPr>
          <w:rFonts w:ascii="Times New Roman;sans-serif" w:hAnsi="Times New Roman;sans-serif"/>
          <w:b/>
          <w:color w:val="000000"/>
          <w:sz w:val="22"/>
        </w:rPr>
        <w:t>Noteholders</w:t>
      </w:r>
      <w:r>
        <w:rPr>
          <w:color w:val="000000"/>
        </w:rPr>
        <w:t xml:space="preserve">” </w:t>
      </w:r>
      <w:r>
        <w:rPr>
          <w:rFonts w:ascii="Times New Roman;sans-serif" w:hAnsi="Times New Roman;sans-serif"/>
          <w:b w:val="false"/>
          <w:color w:val="000000"/>
          <w:sz w:val="22"/>
        </w:rPr>
        <w:t xml:space="preserve">means the holders of Notes set forth in </w:t>
      </w:r>
      <w:r>
        <w:rPr>
          <w:rFonts w:ascii="Times New Roman;sans-serif" w:hAnsi="Times New Roman;sans-serif"/>
          <w:b w:val="false"/>
          <w:color w:val="000000"/>
          <w:sz w:val="22"/>
          <w:u w:val="single"/>
        </w:rPr>
        <w:t>Schedule B</w:t>
      </w:r>
      <w:r>
        <w:rPr>
          <w:rFonts w:ascii="Times New Roman;sans-serif" w:hAnsi="Times New Roman;sans-serif"/>
          <w:b w:val="false"/>
          <w:color w:val="000000"/>
          <w:sz w:val="22"/>
        </w:rPr>
        <w:t xml:space="preserve">. </w:t>
      </w:r>
    </w:p>
    <w:p>
      <w:pPr>
        <w:pStyle w:val="TextBody"/>
        <w:spacing w:lineRule="auto" w:line="240" w:before="0" w:after="240"/>
        <w:ind w:left="0" w:right="0" w:firstLine="2880"/>
        <w:jc w:val="both"/>
        <w:rPr/>
      </w:pPr>
      <w:r>
        <w:rPr>
          <w:rFonts w:ascii="Times New Roman;sans-serif" w:hAnsi="Times New Roman;sans-serif"/>
          <w:b w:val="false"/>
          <w:color w:val="000000"/>
          <w:sz w:val="24"/>
        </w:rPr>
        <w:t>(xxvii)</w:t>
      </w:r>
      <w:r>
        <w:rPr>
          <w:color w:val="000000"/>
        </w:rPr>
        <w:t>“</w:t>
      </w:r>
      <w:r>
        <w:rPr>
          <w:rFonts w:ascii="Times New Roman;sans-serif" w:hAnsi="Times New Roman;sans-serif"/>
          <w:b/>
          <w:color w:val="000000"/>
          <w:sz w:val="22"/>
        </w:rPr>
        <w:t>Permitted Transferee</w:t>
      </w:r>
      <w:r>
        <w:rPr>
          <w:color w:val="000000"/>
        </w:rPr>
        <w:t xml:space="preserve">” </w:t>
      </w:r>
      <w:r>
        <w:rPr>
          <w:rFonts w:ascii="Times New Roman;sans-serif" w:hAnsi="Times New Roman;sans-serif"/>
          <w:b w:val="false"/>
          <w:color w:val="000000"/>
          <w:sz w:val="22"/>
        </w:rPr>
        <w:t xml:space="preserve">means (i) with respect to any Holder that is a discretionary managed fund or its nominee: (A) any partner, member, trustee, manager, beneficiary, shareholder, investor or other participant in such fund which is or whose nominee is the transferor (but only in connection with the dissolution of such fund or any distribution of assets of the fund pursuant to the operation of the fund in the ordinary course), (B) any other fund whose business is managed or advised by the same investment manager as manages or advises the fund which is or whose nominee is the transferor or another investment manager in the same group of companies as such first investment manager, (C) the investment manager who manages the business of the fund which is or whose nominee is the transferor, (D) any directors or employees of such Holder or any of the foregoing or any trust or carried interest or similar partnership in which they or any of them participate and/or (E) any nominee or custodian of the foregoing; (ii) with respect to any Holder that is an investment manager or its nominee: (A) any partner, member, trustee, manager, beneficiary, shareholder, investor or other participant in any investment fund in respect of which the shares to be transferred are held (but only in connection with the dissolution of such investment fund or any distribution of assets of the investment fund pursuant to the operation of the investment fund in the ordinary course), (B) any investment fund whose business is managed by the investment manager who is or whose nominee is the transferor, (C) any other investment manager who manages the business of the investment fund in respect of which the shares are held, (D) any directors or employees of such Holder or any of the foregoing or any trust or carried interest or similar partnership in which they or any of them participate and/or (E) any nominee or </w:t>
      </w:r>
      <w:r>
        <w:br w:type="page"/>
      </w:r>
    </w:p>
    <w:p>
      <w:pPr>
        <w:pStyle w:val="TextBody"/>
        <w:spacing w:before="0" w:after="0"/>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887095"/>
                <wp:effectExtent l="0" t="0" r="0" b="0"/>
                <wp:wrapNone/>
                <wp:docPr id="300" name="Frame299"/>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custodian of the foregoing; (iii) with respect to the Gates Foundation (A) any successor charitable organization of the Gates Foundation from time to time that is a tax-exempt organization as described in Section 501(c)(3) of the Code, or (b) any tax-exempt organization as described in Section 501(c)(3) of the Code controlled by one or more trustees of the Gates Foundation and (iv) with respect to the Magnetar Group: (A) any partner, member, trustee, manager, beneficiary, shareholder, investor or other participant in such entity which is or whose nominee is the transferor (but only in connection with the dissolution of such entity or any distribution of assets of the entity pursuant to the operation of such entity in the ordinary course), (B) any other entity whose business is managed or advised by the same investment manager as manages or advises such entity which is or whose nominee is the transferor or another investment manager in the same group of companies as such first investment manager, (C) the investment manager who manages the business of such entity which is or whose nominee is the transferor, (D) any directors, managers or employees of such Holder or any of the foregoing or any trust or carried interest or similar partnership in which they or any of them participate and/or (E) any nominee or custodian of the foregoing.</w:t>
      </w:r>
    </w:p>
    <w:p>
      <w:pPr>
        <w:pStyle w:val="TextBody"/>
        <w:spacing w:lineRule="auto" w:line="240" w:before="0" w:after="240"/>
        <w:ind w:left="0" w:right="0" w:firstLine="2880"/>
        <w:jc w:val="both"/>
        <w:rPr/>
      </w:pPr>
      <w:r>
        <w:rPr>
          <w:rFonts w:ascii="Times New Roman;sans-serif" w:hAnsi="Times New Roman;sans-serif"/>
          <w:b w:val="false"/>
          <w:color w:val="000000"/>
          <w:sz w:val="24"/>
        </w:rPr>
        <w:t>(xxviii)</w:t>
      </w: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individual, corporation, partnership, trust, limited liability company, association or other entity</w:t>
      </w:r>
      <w:r>
        <w:rPr>
          <w:rFonts w:ascii="Times New Roman;sans-serif" w:hAnsi="Times New Roman;sans-serif"/>
          <w:b w:val="false"/>
          <w:color w:val="0000FF"/>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(xxix)</w:t>
      </w:r>
      <w:r>
        <w:rPr>
          <w:color w:val="000000"/>
        </w:rPr>
        <w:t>“</w:t>
      </w:r>
      <w:r>
        <w:rPr>
          <w:rFonts w:ascii="Times New Roman;sans-serif" w:hAnsi="Times New Roman;sans-serif"/>
          <w:b/>
          <w:color w:val="000000"/>
          <w:sz w:val="22"/>
        </w:rPr>
        <w:t>Preferred Stock</w:t>
      </w:r>
      <w:r>
        <w:rPr>
          <w:color w:val="000000"/>
        </w:rPr>
        <w:t xml:space="preserve">” </w:t>
      </w:r>
      <w:r>
        <w:rPr>
          <w:rFonts w:ascii="Times New Roman;sans-serif" w:hAnsi="Times New Roman;sans-serif"/>
          <w:b w:val="false"/>
          <w:color w:val="000000"/>
          <w:sz w:val="22"/>
        </w:rPr>
        <w:t>means collectively, shares of the Company’s Series A-1 Preferred Stock, Series B Preferred Stock, Series C Preferred Stock, Series C-2 Preferred Stock and Series D Preferred Stock.</w:t>
      </w:r>
    </w:p>
    <w:p>
      <w:pPr>
        <w:pStyle w:val="TextBody"/>
        <w:spacing w:lineRule="auto" w:line="240" w:before="0" w:after="240"/>
        <w:ind w:left="0" w:right="0" w:firstLine="2880"/>
        <w:jc w:val="both"/>
        <w:rPr/>
      </w:pPr>
      <w:r>
        <w:rPr>
          <w:rFonts w:ascii="Times New Roman;sans-serif" w:hAnsi="Times New Roman;sans-serif"/>
          <w:b w:val="false"/>
          <w:color w:val="000000"/>
          <w:sz w:val="24"/>
        </w:rPr>
        <w:t>(xxx)</w:t>
      </w:r>
      <w:r>
        <w:rPr>
          <w:color w:val="000000"/>
        </w:rPr>
        <w:t>“</w:t>
      </w:r>
      <w:r>
        <w:rPr>
          <w:rFonts w:ascii="Times New Roman;sans-serif" w:hAnsi="Times New Roman;sans-serif"/>
          <w:b/>
          <w:color w:val="000000"/>
          <w:sz w:val="22"/>
        </w:rPr>
        <w:t>Preferred Director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(xxxi)</w:t>
      </w:r>
      <w:r>
        <w:rPr>
          <w:color w:val="000000"/>
        </w:rPr>
        <w:t>“</w:t>
      </w:r>
      <w:r>
        <w:rPr>
          <w:rFonts w:ascii="Times New Roman;sans-serif" w:hAnsi="Times New Roman;sans-serif"/>
          <w:b/>
          <w:color w:val="000000"/>
          <w:sz w:val="22"/>
        </w:rPr>
        <w:t>Registrable Securities</w:t>
      </w:r>
      <w:r>
        <w:rPr>
          <w:color w:val="000000"/>
        </w:rPr>
        <w:t xml:space="preserve">” </w:t>
      </w:r>
      <w:r>
        <w:rPr>
          <w:rFonts w:ascii="Times New Roman;sans-serif" w:hAnsi="Times New Roman;sans-serif"/>
          <w:b w:val="false"/>
          <w:color w:val="000000"/>
          <w:sz w:val="22"/>
        </w:rPr>
        <w:t xml:space="preserve">means (i) Common Stock issuable or issued upon conversion of the Preferred Stock and (ii) any Common Stock issued as (or issuable upon the conversion or exercise of any warrant, right, or other security that is issued as) a dividend or other distribution with respect to, or in exchange for or in replacement of, the shares referenced in clause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 xml:space="preserve">above; excluding in all cases, however, any Registrable Securities sold by a Person in a transaction in which the applicable rights under this Agreement are not assigned pursuant to </w:t>
      </w:r>
      <w:r>
        <w:rPr>
          <w:rFonts w:ascii="Times New Roman;sans-serif" w:hAnsi="Times New Roman;sans-serif"/>
          <w:b w:val="false"/>
          <w:color w:val="000000"/>
          <w:sz w:val="22"/>
          <w:u w:val="single"/>
        </w:rPr>
        <w:t>Subsection 13.1</w:t>
      </w:r>
      <w:r>
        <w:rPr>
          <w:rFonts w:ascii="Times New Roman;sans-serif" w:hAnsi="Times New Roman;sans-serif"/>
          <w:b w:val="false"/>
          <w:color w:val="000000"/>
          <w:sz w:val="22"/>
        </w:rPr>
        <w:t xml:space="preserve">, and excluding for purposes of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any shares for which registration rights have terminated pursuant to </w:t>
      </w:r>
      <w:r>
        <w:rPr>
          <w:rFonts w:ascii="Times New Roman;sans-serif" w:hAnsi="Times New Roman;sans-serif"/>
          <w:b w:val="false"/>
          <w:color w:val="000000"/>
          <w:sz w:val="22"/>
          <w:u w:val="single"/>
        </w:rPr>
        <w:t>Subsection 2.13</w:t>
      </w:r>
      <w:r>
        <w:rPr>
          <w:color w:val="000000"/>
        </w:rPr>
        <w:t xml:space="preserve"> </w:t>
      </w:r>
      <w:r>
        <w:rPr>
          <w:rFonts w:ascii="Times New Roman;sans-serif" w:hAnsi="Times New Roman;sans-serif"/>
          <w:b w:val="false"/>
          <w:color w:val="000000"/>
          <w:sz w:val="22"/>
        </w:rPr>
        <w:t>of this Agreement.</w:t>
      </w:r>
    </w:p>
    <w:p>
      <w:pPr>
        <w:pStyle w:val="TextBody"/>
        <w:spacing w:lineRule="auto" w:line="240" w:before="0" w:after="240"/>
        <w:ind w:left="0" w:right="0" w:firstLine="2880"/>
        <w:jc w:val="both"/>
        <w:rPr/>
      </w:pPr>
      <w:r>
        <w:rPr>
          <w:rFonts w:ascii="Times New Roman;sans-serif" w:hAnsi="Times New Roman;sans-serif"/>
          <w:b w:val="false"/>
          <w:color w:val="000000"/>
          <w:sz w:val="24"/>
        </w:rPr>
        <w:t>(xxxii)</w:t>
      </w:r>
      <w:r>
        <w:rPr>
          <w:color w:val="000000"/>
        </w:rPr>
        <w:t>“</w:t>
      </w:r>
      <w:r>
        <w:rPr>
          <w:rFonts w:ascii="Times New Roman;sans-serif" w:hAnsi="Times New Roman;sans-serif"/>
          <w:b/>
          <w:color w:val="000000"/>
          <w:sz w:val="22"/>
        </w:rPr>
        <w:t>Registrable Securities then outstanding</w:t>
      </w:r>
      <w:r>
        <w:rPr>
          <w:color w:val="000000"/>
        </w:rPr>
        <w:t xml:space="preserve">” </w:t>
      </w:r>
      <w:r>
        <w:rPr>
          <w:rFonts w:ascii="Times New Roman;sans-serif" w:hAnsi="Times New Roman;sans-serif"/>
          <w:b w:val="false"/>
          <w:color w:val="000000"/>
          <w:sz w:val="22"/>
        </w:rPr>
        <w:t>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spacing w:lineRule="auto" w:line="240" w:before="0" w:after="240"/>
        <w:ind w:left="0" w:right="0" w:firstLine="2880"/>
        <w:jc w:val="both"/>
        <w:rPr/>
      </w:pPr>
      <w:r>
        <w:rPr>
          <w:rFonts w:ascii="Times New Roman;sans-serif" w:hAnsi="Times New Roman;sans-serif"/>
          <w:b w:val="false"/>
          <w:color w:val="000000"/>
          <w:sz w:val="24"/>
        </w:rPr>
        <w:t>(xxxiii)</w:t>
      </w:r>
      <w:r>
        <w:rPr>
          <w:color w:val="000000"/>
        </w:rPr>
        <w:t>“</w:t>
      </w:r>
      <w:r>
        <w:rPr>
          <w:rFonts w:ascii="Times New Roman;sans-serif" w:hAnsi="Times New Roman;sans-serif"/>
          <w:b/>
          <w:color w:val="000000"/>
          <w:sz w:val="22"/>
        </w:rPr>
        <w:t>Restricted Securities</w:t>
      </w:r>
      <w:r>
        <w:rPr>
          <w:color w:val="000000"/>
        </w:rPr>
        <w:t xml:space="preserve">” </w:t>
      </w:r>
      <w:r>
        <w:rPr>
          <w:rFonts w:ascii="Times New Roman;sans-serif" w:hAnsi="Times New Roman;sans-serif"/>
          <w:b w:val="false"/>
          <w:color w:val="000000"/>
          <w:sz w:val="22"/>
        </w:rPr>
        <w:t xml:space="preserve">means the securities of the Company required to be notated with the legend set forth in </w:t>
      </w:r>
      <w:r>
        <w:rPr>
          <w:rFonts w:ascii="Times New Roman;sans-serif" w:hAnsi="Times New Roman;sans-serif"/>
          <w:b w:val="false"/>
          <w:color w:val="000000"/>
          <w:sz w:val="22"/>
          <w:u w:val="single"/>
        </w:rPr>
        <w:t>Subsection 2.12(b)</w:t>
      </w:r>
      <w:r>
        <w:rPr>
          <w:color w:val="000000"/>
        </w:rPr>
        <w:t xml:space="preserve"> </w:t>
      </w:r>
      <w:r>
        <w:rPr>
          <w:rFonts w:ascii="Times New Roman;sans-serif" w:hAnsi="Times New Roman;sans-serif"/>
          <w:b w:val="false"/>
          <w:color w:val="000000"/>
          <w:sz w:val="22"/>
        </w:rPr>
        <w:t xml:space="preserve">hereof. </w:t>
      </w:r>
    </w:p>
    <w:p>
      <w:pPr>
        <w:pStyle w:val="TextBody"/>
        <w:spacing w:lineRule="auto" w:line="240" w:before="0" w:after="240"/>
        <w:ind w:left="0" w:right="0" w:firstLine="2880"/>
        <w:jc w:val="both"/>
        <w:rPr/>
      </w:pPr>
      <w:r>
        <w:rPr>
          <w:rFonts w:ascii="Times New Roman;sans-serif" w:hAnsi="Times New Roman;sans-serif"/>
          <w:b w:val="false"/>
          <w:color w:val="000000"/>
          <w:sz w:val="24"/>
        </w:rPr>
        <w:t>(xxxiv)</w:t>
      </w:r>
      <w:r>
        <w:rPr>
          <w:color w:val="000000"/>
        </w:rPr>
        <w:t>“</w:t>
      </w:r>
      <w:r>
        <w:rPr>
          <w:rFonts w:ascii="Times New Roman;sans-serif" w:hAnsi="Times New Roman;sans-serif"/>
          <w:b/>
          <w:color w:val="000000"/>
          <w:sz w:val="22"/>
        </w:rPr>
        <w:t>Rock Springs</w:t>
      </w:r>
      <w:r>
        <w:rPr>
          <w:color w:val="000000"/>
        </w:rPr>
        <w:t xml:space="preserve">” </w:t>
      </w:r>
      <w:r>
        <w:rPr>
          <w:rFonts w:ascii="Times New Roman;sans-serif" w:hAnsi="Times New Roman;sans-serif"/>
          <w:b w:val="false"/>
          <w:color w:val="000000"/>
          <w:sz w:val="22"/>
        </w:rPr>
        <w:t>means Rock Springs Capital Master Fund LP, Four Pines Master Fund LP, and their Affiliates.</w:t>
      </w:r>
    </w:p>
    <w:p>
      <w:pPr>
        <w:pStyle w:val="TextBody"/>
        <w:spacing w:lineRule="auto" w:line="240" w:before="0" w:after="240"/>
        <w:ind w:left="0" w:right="0" w:firstLine="2880"/>
        <w:jc w:val="both"/>
        <w:rPr/>
      </w:pPr>
      <w:r>
        <w:rPr>
          <w:rFonts w:ascii="Times New Roman;sans-serif" w:hAnsi="Times New Roman;sans-serif"/>
          <w:b w:val="false"/>
          <w:color w:val="000000"/>
          <w:sz w:val="24"/>
        </w:rPr>
        <w:t>(xxxv)</w:t>
      </w: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means the Securities and Exchange Commission.</w:t>
      </w:r>
    </w:p>
    <w:p>
      <w:pPr>
        <w:pStyle w:val="TextBody"/>
        <w:spacing w:lineRule="auto" w:line="240" w:before="0" w:after="240"/>
        <w:ind w:left="0" w:right="0" w:firstLine="2880"/>
        <w:jc w:val="both"/>
        <w:rPr/>
      </w:pPr>
      <w:r>
        <w:rPr>
          <w:rFonts w:ascii="Times New Roman;sans-serif" w:hAnsi="Times New Roman;sans-serif"/>
          <w:b w:val="false"/>
          <w:color w:val="000000"/>
          <w:sz w:val="24"/>
        </w:rPr>
        <w:t>(xxxvi)</w:t>
      </w:r>
      <w:r>
        <w:rPr>
          <w:color w:val="000000"/>
        </w:rPr>
        <w:t>“</w:t>
      </w:r>
      <w:r>
        <w:rPr>
          <w:rFonts w:ascii="Times New Roman;sans-serif" w:hAnsi="Times New Roman;sans-serif"/>
          <w:b/>
          <w:color w:val="000000"/>
          <w:sz w:val="22"/>
        </w:rPr>
        <w:t>SEC Rule 144</w:t>
      </w:r>
      <w:r>
        <w:rPr>
          <w:color w:val="000000"/>
        </w:rPr>
        <w:t xml:space="preserve">” </w:t>
      </w:r>
      <w:r>
        <w:rPr>
          <w:rFonts w:ascii="Times New Roman;sans-serif" w:hAnsi="Times New Roman;sans-serif"/>
          <w:b w:val="false"/>
          <w:color w:val="000000"/>
          <w:sz w:val="22"/>
        </w:rPr>
        <w:t>means Rule 144 promulgated by the SEC under the Securities Act.</w:t>
      </w:r>
    </w:p>
    <w:p>
      <w:pPr>
        <w:pStyle w:val="TextBody"/>
        <w:spacing w:lineRule="auto" w:line="240" w:before="0" w:after="240"/>
        <w:ind w:left="0" w:right="0" w:firstLine="2880"/>
        <w:jc w:val="both"/>
        <w:rPr/>
      </w:pPr>
      <w:r>
        <w:rPr>
          <w:rFonts w:ascii="Times New Roman;sans-serif" w:hAnsi="Times New Roman;sans-serif"/>
          <w:b w:val="false"/>
          <w:color w:val="000000"/>
          <w:sz w:val="24"/>
        </w:rPr>
        <w:t>(xxxvii)</w:t>
      </w:r>
      <w:r>
        <w:rPr>
          <w:color w:val="000000"/>
        </w:rPr>
        <w:t>“</w:t>
      </w:r>
      <w:r>
        <w:rPr>
          <w:rFonts w:ascii="Times New Roman;sans-serif" w:hAnsi="Times New Roman;sans-serif"/>
          <w:b/>
          <w:color w:val="000000"/>
          <w:sz w:val="22"/>
        </w:rPr>
        <w:t>SEC Rule 145</w:t>
      </w:r>
      <w:r>
        <w:rPr>
          <w:color w:val="000000"/>
        </w:rPr>
        <w:t xml:space="preserve">” </w:t>
      </w:r>
      <w:r>
        <w:rPr>
          <w:rFonts w:ascii="Times New Roman;sans-serif" w:hAnsi="Times New Roman;sans-serif"/>
          <w:b w:val="false"/>
          <w:color w:val="000000"/>
          <w:sz w:val="22"/>
        </w:rPr>
        <w:t>means Rule 145 promulgated by the SEC under the Securities Act.</w:t>
      </w:r>
      <w:r>
        <w:br w:type="page"/>
      </w:r>
    </w:p>
    <w:p>
      <w:pPr>
        <w:pStyle w:val="TextBody"/>
        <w:spacing w:before="0" w:after="0"/>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887095"/>
                <wp:effectExtent l="0" t="0" r="0" b="0"/>
                <wp:wrapNone/>
                <wp:docPr id="301" name="Frame300"/>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880"/>
        <w:jc w:val="both"/>
        <w:rPr/>
      </w:pPr>
      <w:r>
        <w:rPr>
          <w:rFonts w:ascii="Times New Roman;sans-serif" w:hAnsi="Times New Roman;sans-serif"/>
          <w:b w:val="false"/>
          <w:color w:val="000000"/>
          <w:sz w:val="24"/>
        </w:rPr>
        <w:t>(xxxviii)</w:t>
      </w: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spacing w:lineRule="auto" w:line="240" w:before="0" w:after="240"/>
        <w:ind w:left="0" w:right="0" w:firstLine="2880"/>
        <w:jc w:val="both"/>
        <w:rPr/>
      </w:pPr>
      <w:r>
        <w:rPr>
          <w:rFonts w:ascii="Times New Roman;sans-serif" w:hAnsi="Times New Roman;sans-serif"/>
          <w:b w:val="false"/>
          <w:color w:val="000000"/>
          <w:sz w:val="24"/>
        </w:rPr>
        <w:t>(xxxix)</w:t>
      </w:r>
      <w:r>
        <w:rPr>
          <w:color w:val="000000"/>
        </w:rPr>
        <w:t>”</w:t>
      </w:r>
      <w:r>
        <w:rPr>
          <w:rFonts w:ascii="Times New Roman;sans-serif" w:hAnsi="Times New Roman;sans-serif"/>
          <w:b/>
          <w:color w:val="000000"/>
          <w:sz w:val="22"/>
        </w:rPr>
        <w:t>Selling Expenses</w:t>
      </w:r>
      <w:r>
        <w:rPr>
          <w:color w:val="000000"/>
        </w:rPr>
        <w:t xml:space="preserve">” </w:t>
      </w:r>
      <w:r>
        <w:rPr>
          <w:rFonts w:ascii="Times New Roman;sans-serif" w:hAnsi="Times New Roman;sans-serif"/>
          <w:b w:val="false"/>
          <w:color w:val="000000"/>
          <w:sz w:val="22"/>
        </w:rPr>
        <w:t xml:space="preserve">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(xl)</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(xli)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(xlii)</w:t>
      </w:r>
      <w:r>
        <w:rPr>
          <w:color w:val="000000"/>
        </w:rPr>
        <w:t>“</w:t>
      </w:r>
      <w:r>
        <w:rPr>
          <w:rFonts w:ascii="Times New Roman;sans-serif" w:hAnsi="Times New Roman;sans-serif"/>
          <w:b/>
          <w:color w:val="000000"/>
          <w:sz w:val="22"/>
        </w:rPr>
        <w:t>Series A-1 Preferred Stock</w:t>
      </w:r>
      <w:r>
        <w:rPr>
          <w:color w:val="000000"/>
        </w:rPr>
        <w:t xml:space="preserve">” </w:t>
      </w:r>
      <w:r>
        <w:rPr>
          <w:rFonts w:ascii="Times New Roman;sans-serif" w:hAnsi="Times New Roman;sans-serif"/>
          <w:b w:val="false"/>
          <w:color w:val="000000"/>
          <w:sz w:val="22"/>
        </w:rPr>
        <w:t>means shares of the Company’s Series A-1 Preferred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(xliii)</w:t>
      </w:r>
      <w:r>
        <w:rPr>
          <w:color w:val="000000"/>
        </w:rPr>
        <w:t>“</w:t>
      </w:r>
      <w:r>
        <w:rPr>
          <w:rFonts w:ascii="Times New Roman;sans-serif" w:hAnsi="Times New Roman;sans-serif"/>
          <w:b/>
          <w:color w:val="000000"/>
          <w:sz w:val="22"/>
        </w:rPr>
        <w:t>Series B Preferred Stock</w:t>
      </w:r>
      <w:r>
        <w:rPr>
          <w:color w:val="000000"/>
        </w:rPr>
        <w:t xml:space="preserve">” </w:t>
      </w:r>
      <w:r>
        <w:rPr>
          <w:rFonts w:ascii="Times New Roman;sans-serif" w:hAnsi="Times New Roman;sans-serif"/>
          <w:b w:val="false"/>
          <w:color w:val="000000"/>
          <w:sz w:val="22"/>
        </w:rPr>
        <w:t>means shares of the Company’s Series B Preferred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(xliv)</w:t>
      </w:r>
      <w:r>
        <w:rPr>
          <w:color w:val="000000"/>
        </w:rPr>
        <w:t>“</w:t>
      </w:r>
      <w:r>
        <w:rPr>
          <w:rFonts w:ascii="Times New Roman;sans-serif" w:hAnsi="Times New Roman;sans-serif"/>
          <w:b/>
          <w:color w:val="000000"/>
          <w:sz w:val="22"/>
        </w:rPr>
        <w:t>Series C Preferred Stock</w:t>
      </w:r>
      <w:r>
        <w:rPr>
          <w:color w:val="000000"/>
        </w:rPr>
        <w:t xml:space="preserve">” </w:t>
      </w:r>
      <w:r>
        <w:rPr>
          <w:rFonts w:ascii="Times New Roman;sans-serif" w:hAnsi="Times New Roman;sans-serif"/>
          <w:b w:val="false"/>
          <w:color w:val="000000"/>
          <w:sz w:val="22"/>
        </w:rPr>
        <w:t>means shares of the Company’s Series C Preferred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(xlv)</w:t>
      </w:r>
      <w:r>
        <w:rPr>
          <w:color w:val="000000"/>
        </w:rPr>
        <w:t>“</w:t>
      </w:r>
      <w:r>
        <w:rPr>
          <w:rFonts w:ascii="Times New Roman;sans-serif" w:hAnsi="Times New Roman;sans-serif"/>
          <w:b/>
          <w:color w:val="000000"/>
          <w:sz w:val="22"/>
        </w:rPr>
        <w:t>Series C-2 Preferred Stock</w:t>
      </w:r>
      <w:r>
        <w:rPr>
          <w:color w:val="000000"/>
        </w:rPr>
        <w:t xml:space="preserve">” </w:t>
      </w:r>
      <w:r>
        <w:rPr>
          <w:rFonts w:ascii="Times New Roman;sans-serif" w:hAnsi="Times New Roman;sans-serif"/>
          <w:b w:val="false"/>
          <w:color w:val="000000"/>
          <w:sz w:val="22"/>
        </w:rPr>
        <w:t>means shares of the Company’s Series C-2 Preferred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(xlvi)</w:t>
      </w:r>
      <w:r>
        <w:rPr>
          <w:color w:val="000000"/>
        </w:rPr>
        <w:t>“</w:t>
      </w:r>
      <w:r>
        <w:rPr>
          <w:rFonts w:ascii="Times New Roman;sans-serif" w:hAnsi="Times New Roman;sans-serif"/>
          <w:b/>
          <w:color w:val="000000"/>
          <w:sz w:val="22"/>
        </w:rPr>
        <w:t>Series D Preferred Stock</w:t>
      </w:r>
      <w:r>
        <w:rPr>
          <w:color w:val="000000"/>
        </w:rPr>
        <w:t xml:space="preserve">” </w:t>
      </w:r>
      <w:r>
        <w:rPr>
          <w:rFonts w:ascii="Times New Roman;sans-serif" w:hAnsi="Times New Roman;sans-serif"/>
          <w:b w:val="false"/>
          <w:color w:val="000000"/>
          <w:sz w:val="22"/>
        </w:rPr>
        <w:t>means shares of the Company’s Series D Preferred Stock, par value $0.0001 per share.</w:t>
      </w:r>
    </w:p>
    <w:p>
      <w:pPr>
        <w:pStyle w:val="TextBody"/>
        <w:spacing w:lineRule="auto" w:line="240" w:before="0" w:after="240"/>
        <w:ind w:left="0" w:right="0" w:firstLine="2880"/>
        <w:jc w:val="both"/>
        <w:rPr/>
      </w:pPr>
      <w:r>
        <w:rPr>
          <w:rFonts w:ascii="Times New Roman;sans-serif" w:hAnsi="Times New Roman;sans-serif"/>
          <w:b w:val="false"/>
          <w:color w:val="000000"/>
          <w:sz w:val="24"/>
        </w:rPr>
        <w:t>(xlvii)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880"/>
        <w:jc w:val="both"/>
        <w:rPr/>
      </w:pPr>
      <w:r>
        <w:rPr>
          <w:rFonts w:ascii="Times New Roman;sans-serif" w:hAnsi="Times New Roman;sans-serif"/>
          <w:b w:val="false"/>
          <w:color w:val="000000"/>
          <w:sz w:val="24"/>
        </w:rPr>
        <w:t>(xlviii)</w:t>
      </w:r>
      <w:r>
        <w:rPr>
          <w:color w:val="000000"/>
        </w:rPr>
        <w:t>“</w:t>
      </w:r>
      <w:r>
        <w:rPr>
          <w:rFonts w:ascii="Times New Roman;sans-serif" w:hAnsi="Times New Roman;sans-serif"/>
          <w:b/>
          <w:color w:val="000000"/>
          <w:sz w:val="22"/>
        </w:rPr>
        <w:t>Stockholder</w:t>
      </w:r>
      <w:r>
        <w:rPr>
          <w:color w:val="000000"/>
        </w:rPr>
        <w:t xml:space="preserve">” </w:t>
      </w:r>
      <w:r>
        <w:rPr>
          <w:rFonts w:ascii="Times New Roman;sans-serif" w:hAnsi="Times New Roman;sans-serif"/>
          <w:b w:val="false"/>
          <w:color w:val="000000"/>
          <w:sz w:val="22"/>
        </w:rPr>
        <w:t>means a Holder , a Key Holder, and each other person who becomes party to this Agreement pursuant to Section 12.9.</w:t>
      </w:r>
    </w:p>
    <w:p>
      <w:pPr>
        <w:pStyle w:val="TextBody"/>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Registration Rights</w:t>
      </w:r>
      <w:r>
        <w:rPr>
          <w:rFonts w:ascii="Times New Roman;sans-serif" w:hAnsi="Times New Roman;sans-serif"/>
          <w:b w:val="false"/>
          <w:color w:val="000000"/>
          <w:sz w:val="22"/>
        </w:rPr>
        <w:t>. The Company covenants and agrees as follows:</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Demand Registration</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S-1 Demand</w:t>
      </w:r>
      <w:r>
        <w:rPr>
          <w:rFonts w:ascii="Times New Roman;sans-serif" w:hAnsi="Times New Roman;sans-serif"/>
          <w:b w:val="false"/>
          <w:color w:val="000000"/>
          <w:sz w:val="22"/>
        </w:rPr>
        <w:t xml:space="preserve">. If at any time after the earlier of (i)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of this Agreement or (ii)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the registration statement for the IPO, the Company receives a request from Holders of at least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that the Company file a Form S-1 registration statement with respect to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(or a lesser percent if the anticipated aggregate offering price, net of Selling Expenses, would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then the Company shall (x)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date such request is given, give notice thereof (the “</w:t>
      </w:r>
      <w:r>
        <w:rPr>
          <w:rFonts w:ascii="Times New Roman;sans-serif" w:hAnsi="Times New Roman;sans-serif"/>
          <w:b/>
          <w:color w:val="000000"/>
          <w:sz w:val="22"/>
        </w:rPr>
        <w:t>Demand Notice</w:t>
      </w:r>
      <w:r>
        <w:rPr>
          <w:color w:val="000000"/>
        </w:rPr>
        <w:t>”</w:t>
      </w:r>
      <w:r>
        <w:rPr>
          <w:rFonts w:ascii="Times New Roman;sans-serif" w:hAnsi="Times New Roman;sans-serif"/>
          <w:b w:val="false"/>
          <w:color w:val="000000"/>
          <w:sz w:val="22"/>
        </w:rPr>
        <w:t xml:space="preserve">) to all Holders other than the Initiating Holders; and (y) as soon as practicable, and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the Demand Notice is given, and in each case, subject to the limitations of </w:t>
      </w:r>
      <w:r>
        <w:rPr>
          <w:rFonts w:ascii="Times New Roman;sans-serif" w:hAnsi="Times New Roman;sans-serif"/>
          <w:b w:val="false"/>
          <w:color w:val="000000"/>
          <w:sz w:val="22"/>
          <w:u w:val="single"/>
        </w:rPr>
        <w:t>Subsections 2.1(c)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2.3.</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Form S-3 Demand</w:t>
      </w:r>
      <w:r>
        <w:rPr>
          <w:rFonts w:ascii="Times New Roman;sans-serif" w:hAnsi="Times New Roman;sans-serif"/>
          <w:b w:val="false"/>
          <w:color w:val="000000"/>
          <w:sz w:val="22"/>
        </w:rPr>
        <w:t xml:space="preserve">. If at any time when it is eligible to use a Form S-3 registration statement, the Company receives a request from Holders of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that the Company file a Form S-3 registration statement with respect to </w:t>
      </w:r>
      <w:r>
        <w:br w:type="page"/>
      </w:r>
    </w:p>
    <w:p>
      <w:pPr>
        <w:pStyle w:val="TextBody"/>
        <w:spacing w:before="0" w:after="0"/>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887095"/>
                <wp:effectExtent l="0" t="0" r="0" b="0"/>
                <wp:wrapNone/>
                <wp:docPr id="302" name="Frame301"/>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outstanding Registrable Securities of such Holders having an anticipated aggregate offering price, net of Selling Expenses, of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then the Company shall (i)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give a Demand Notice to all Holders other than the Initiating Holders; and (ii) as soon as practicable, and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the Demand Notice is given, and in each case, subject to the limitations of </w:t>
      </w:r>
      <w:r>
        <w:rPr>
          <w:rFonts w:ascii="Times New Roman;sans-serif" w:hAnsi="Times New Roman;sans-serif"/>
          <w:b w:val="false"/>
          <w:color w:val="000000"/>
          <w:sz w:val="22"/>
          <w:u w:val="single"/>
        </w:rPr>
        <w:t>Subsections 2.1(c)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2.3</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Notwithstanding the foregoing obligations, if the Company furnishes to Holders requesting a registration pursuant to this </w:t>
      </w:r>
      <w:r>
        <w:rPr>
          <w:rFonts w:ascii="Times New Roman;sans-serif" w:hAnsi="Times New Roman;sans-serif"/>
          <w:b w:val="false"/>
          <w:color w:val="000000"/>
          <w:sz w:val="22"/>
          <w:u w:val="single"/>
        </w:rPr>
        <w:t>Subsection 2.1</w:t>
      </w:r>
      <w:r>
        <w:rPr>
          <w:color w:val="000000"/>
        </w:rPr>
        <w:t xml:space="preserve"> </w:t>
      </w:r>
      <w:r>
        <w:rPr>
          <w:rFonts w:ascii="Times New Roman;sans-serif" w:hAnsi="Times New Roman;sans-serif"/>
          <w:b w:val="false"/>
          <w:color w:val="000000"/>
          <w:sz w:val="22"/>
        </w:rPr>
        <w:t xml:space="preserve">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request of the Initiating Holders is given;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may not invoke this right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in any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and provided further that the Company shall not register any securities for its own account or that of any other stockholder during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period other than an Excluded Registration.</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Company shall not be obligated to effect, or to take any action to effect, any registration pursuant to </w:t>
      </w:r>
      <w:r>
        <w:rPr>
          <w:rFonts w:ascii="Times New Roman;sans-serif" w:hAnsi="Times New Roman;sans-serif"/>
          <w:b w:val="false"/>
          <w:color w:val="000000"/>
          <w:sz w:val="22"/>
          <w:u w:val="single"/>
        </w:rPr>
        <w:t>Subsection 2.1(a)</w:t>
      </w:r>
      <w:r>
        <w:rPr>
          <w:color w:val="000000"/>
        </w:rPr>
        <w:t xml:space="preserve"> </w:t>
      </w:r>
      <w:r>
        <w:rPr>
          <w:rFonts w:ascii="Times New Roman;sans-serif" w:hAnsi="Times New Roman;sans-serif"/>
          <w:b w:val="false"/>
          <w:color w:val="000000"/>
          <w:sz w:val="22"/>
        </w:rPr>
        <w:t xml:space="preserve">(i) during the period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 faith estimate of the date of filing of, and ending on a date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a Company-initiated registration,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is actively employing in good faith commercially reasonable efforts to cause such registration statement to become effective; (ii) after the Company has effected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registrations pursuant to </w:t>
      </w:r>
      <w:r>
        <w:rPr>
          <w:rFonts w:ascii="Times New Roman;sans-serif" w:hAnsi="Times New Roman;sans-serif"/>
          <w:b w:val="false"/>
          <w:color w:val="000000"/>
          <w:sz w:val="22"/>
          <w:u w:val="single"/>
        </w:rPr>
        <w:t>Subsection 2.1(a)</w:t>
      </w:r>
      <w:r>
        <w:rPr>
          <w:rFonts w:ascii="Times New Roman;sans-serif" w:hAnsi="Times New Roman;sans-serif"/>
          <w:b w:val="false"/>
          <w:color w:val="000000"/>
          <w:sz w:val="22"/>
        </w:rPr>
        <w:t xml:space="preserve">; or (iii) if the Initiating Holders propose to dispose of shares of Registrable Securities that may be immediately registered on Form S-3 pursuant to a request made pursuant to </w:t>
      </w:r>
      <w:r>
        <w:rPr>
          <w:rFonts w:ascii="Times New Roman;sans-serif" w:hAnsi="Times New Roman;sans-serif"/>
          <w:b w:val="false"/>
          <w:color w:val="000000"/>
          <w:sz w:val="22"/>
          <w:u w:val="single"/>
        </w:rPr>
        <w:t>Subsection 2.1(b)</w:t>
      </w:r>
      <w:r>
        <w:rPr>
          <w:rFonts w:ascii="Times New Roman;sans-serif" w:hAnsi="Times New Roman;sans-serif"/>
          <w:b w:val="false"/>
          <w:color w:val="000000"/>
          <w:sz w:val="22"/>
        </w:rPr>
        <w:t xml:space="preserve">. The Company shall not be obligated to effect, or to take any action to effect, any registration pursuant to </w:t>
      </w:r>
      <w:r>
        <w:rPr>
          <w:rFonts w:ascii="Times New Roman;sans-serif" w:hAnsi="Times New Roman;sans-serif"/>
          <w:b w:val="false"/>
          <w:color w:val="000000"/>
          <w:sz w:val="22"/>
          <w:u w:val="single"/>
        </w:rPr>
        <w:t>Subsection 2.1(b)</w:t>
      </w:r>
      <w:r>
        <w:rPr>
          <w:color w:val="000000"/>
        </w:rPr>
        <w:t xml:space="preserve"> </w:t>
      </w:r>
      <w:r>
        <w:rPr>
          <w:rFonts w:ascii="Times New Roman;sans-serif" w:hAnsi="Times New Roman;sans-serif"/>
          <w:b w:val="false"/>
          <w:color w:val="000000"/>
          <w:sz w:val="22"/>
        </w:rPr>
        <w:t xml:space="preserve">(i) during the period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 faith estimate of the date of filing of, and ending on a date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a Company-initiated registration,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is actively employing in good faith commercially reasonable efforts to cause such registration statement to become effective; or (ii) if the Company has effected two registrations pursuant to </w:t>
      </w:r>
      <w:r>
        <w:rPr>
          <w:rFonts w:ascii="Times New Roman;sans-serif" w:hAnsi="Times New Roman;sans-serif"/>
          <w:b w:val="false"/>
          <w:color w:val="000000"/>
          <w:sz w:val="22"/>
          <w:u w:val="single"/>
        </w:rPr>
        <w:t>Subsection 2.1(b)</w:t>
      </w:r>
      <w:r>
        <w:rPr>
          <w:color w:val="000000"/>
        </w:rPr>
        <w:t xml:space="preserve"> </w:t>
      </w:r>
      <w:r>
        <w:rPr>
          <w:rFonts w:ascii="Times New Roman;sans-serif" w:hAnsi="Times New Roman;sans-serif"/>
          <w:b w:val="false"/>
          <w:color w:val="000000"/>
          <w:sz w:val="22"/>
        </w:rPr>
        <w:t xml:space="preserve">within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immediately preceding the date of such request. A registration shall not be counted as “effected” for purposes of this </w:t>
      </w:r>
      <w:r>
        <w:rPr>
          <w:rFonts w:ascii="Times New Roman;sans-serif" w:hAnsi="Times New Roman;sans-serif"/>
          <w:b w:val="false"/>
          <w:color w:val="000000"/>
          <w:sz w:val="22"/>
          <w:u w:val="single"/>
        </w:rPr>
        <w:t>Subsection 2.1(d)</w:t>
      </w:r>
      <w:r>
        <w:rPr>
          <w:color w:val="000000"/>
        </w:rPr>
        <w:t xml:space="preserve"> </w:t>
      </w:r>
      <w:r>
        <w:rPr>
          <w:rFonts w:ascii="Times New Roman;sans-serif" w:hAnsi="Times New Roman;sans-serif"/>
          <w:b w:val="false"/>
          <w:color w:val="000000"/>
          <w:sz w:val="22"/>
        </w:rPr>
        <w:t xml:space="preserve">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 xml:space="preserve">, in which case such withdrawn registration statement shall be counted as “effected” for purposes of this </w:t>
      </w:r>
      <w:r>
        <w:rPr>
          <w:rFonts w:ascii="Times New Roman;sans-serif" w:hAnsi="Times New Roman;sans-serif"/>
          <w:b w:val="false"/>
          <w:color w:val="000000"/>
          <w:sz w:val="22"/>
          <w:u w:val="single"/>
        </w:rPr>
        <w:t>Subsection 2.1(d)</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Company Registration</w:t>
      </w:r>
      <w:r>
        <w:rPr>
          <w:rFonts w:ascii="Times New Roman;sans-serif" w:hAnsi="Times New Roman;sans-serif"/>
          <w:b w:val="false"/>
          <w:color w:val="000000"/>
          <w:sz w:val="22"/>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such notice is given by the Company, the Company shall, subject to the provisions of </w:t>
      </w:r>
      <w:r>
        <w:rPr>
          <w:rFonts w:ascii="Times New Roman;sans-serif" w:hAnsi="Times New Roman;sans-serif"/>
          <w:b w:val="false"/>
          <w:color w:val="000000"/>
          <w:sz w:val="22"/>
          <w:u w:val="single"/>
        </w:rPr>
        <w:t>Subsection 2.3</w:t>
      </w:r>
      <w:r>
        <w:rPr>
          <w:rFonts w:ascii="Times New Roman;sans-serif" w:hAnsi="Times New Roman;sans-serif"/>
          <w:b w:val="false"/>
          <w:color w:val="000000"/>
          <w:sz w:val="22"/>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sans-serif" w:hAnsi="Times New Roman;sans-serif"/>
          <w:b w:val="false"/>
          <w:color w:val="000000"/>
          <w:sz w:val="22"/>
          <w:u w:val="single"/>
        </w:rPr>
        <w:t>Subsection 2.2</w:t>
      </w:r>
      <w:r>
        <w:rPr>
          <w:color w:val="000000"/>
        </w:rPr>
        <w:t xml:space="preserve"> </w:t>
      </w:r>
      <w:r>
        <w:rPr>
          <w:rFonts w:ascii="Times New Roman;sans-serif" w:hAnsi="Times New Roman;sans-serif"/>
          <w:b w:val="false"/>
          <w:color w:val="000000"/>
          <w:sz w:val="22"/>
        </w:rPr>
        <w:t xml:space="preserve">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887095"/>
                <wp:effectExtent l="0" t="0" r="0" b="0"/>
                <wp:wrapNone/>
                <wp:docPr id="303" name="Frame302"/>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Underwriting Requirements</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pursuant to </w:t>
      </w:r>
      <w:r>
        <w:rPr>
          <w:rFonts w:ascii="Times New Roman;sans-serif" w:hAnsi="Times New Roman;sans-serif"/>
          <w:b w:val="false"/>
          <w:color w:val="000000"/>
          <w:sz w:val="22"/>
          <w:u w:val="single"/>
        </w:rPr>
        <w:t>Subsection 2.1</w:t>
      </w:r>
      <w:r>
        <w:rPr>
          <w:rFonts w:ascii="Times New Roman;sans-serif" w:hAnsi="Times New Roman;sans-serif"/>
          <w:b w:val="false"/>
          <w:color w:val="000000"/>
          <w:sz w:val="22"/>
        </w:rPr>
        <w:t xml:space="preserve">, the Initiating Holders intend to distribute the Registrable Securities covered by their request by means of an underwriting, they shall so advise the Company as a part of their request made pursuant to </w:t>
      </w:r>
      <w:r>
        <w:rPr>
          <w:rFonts w:ascii="Times New Roman;sans-serif" w:hAnsi="Times New Roman;sans-serif"/>
          <w:b w:val="false"/>
          <w:color w:val="000000"/>
          <w:sz w:val="22"/>
          <w:u w:val="single"/>
        </w:rPr>
        <w:t>Subsection 2.1</w:t>
      </w:r>
      <w:r>
        <w:rPr>
          <w:rFonts w:ascii="Times New Roman;sans-serif" w:hAnsi="Times New Roman;sans-serif"/>
          <w:b w:val="false"/>
          <w:color w:val="000000"/>
          <w:sz w:val="22"/>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sans-serif" w:hAnsi="Times New Roman;sans-serif"/>
          <w:b w:val="false"/>
          <w:color w:val="000000"/>
          <w:sz w:val="22"/>
          <w:u w:val="single"/>
        </w:rPr>
        <w:t>Subsection 2.4(e))</w:t>
      </w:r>
      <w:r>
        <w:rPr>
          <w:color w:val="000000"/>
        </w:rPr>
        <w:t xml:space="preserve"> </w:t>
      </w:r>
      <w:r>
        <w:rPr>
          <w:rFonts w:ascii="Times New Roman;sans-serif" w:hAnsi="Times New Roman;sans-serif"/>
          <w:b w:val="false"/>
          <w:color w:val="000000"/>
          <w:sz w:val="22"/>
        </w:rPr>
        <w:t xml:space="preserve">enter into an underwriting agreement in customary form with the underwriter(s) selected for such underwriting. Notwithstanding any other provision of this </w:t>
      </w:r>
      <w:r>
        <w:rPr>
          <w:rFonts w:ascii="Times New Roman;sans-serif" w:hAnsi="Times New Roman;sans-serif"/>
          <w:b w:val="false"/>
          <w:color w:val="000000"/>
          <w:sz w:val="22"/>
          <w:u w:val="single"/>
        </w:rPr>
        <w:t>Subsection 2.3</w:t>
      </w:r>
      <w:r>
        <w:rPr>
          <w:rFonts w:ascii="Times New Roman;sans-serif" w:hAnsi="Times New Roman;sans-serif"/>
          <w:b w:val="false"/>
          <w:color w:val="000000"/>
          <w:sz w:val="22"/>
        </w:rPr>
        <w:t xml:space="preserve">, if the managing underwriter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connection with any offering involving an underwriting of shares of the Company’s capital stock pursuant to </w:t>
      </w:r>
      <w:r>
        <w:rPr>
          <w:rFonts w:ascii="Times New Roman;sans-serif" w:hAnsi="Times New Roman;sans-serif"/>
          <w:b w:val="false"/>
          <w:color w:val="000000"/>
          <w:sz w:val="22"/>
          <w:u w:val="single"/>
        </w:rPr>
        <w:t>Subsection 2.2</w:t>
      </w:r>
      <w:r>
        <w:rPr>
          <w:rFonts w:ascii="Times New Roman;sans-serif" w:hAnsi="Times New Roman;sans-serif"/>
          <w:b w:val="false"/>
          <w:color w:val="000000"/>
          <w:sz w:val="22"/>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in good faith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in good faith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sans-serif" w:hAnsi="Times New Roman;sans-serif"/>
          <w:b w:val="false"/>
          <w:color w:val="000000"/>
          <w:sz w:val="22"/>
          <w:u w:val="single"/>
        </w:rPr>
        <w:t xml:space="preserve">Subsection 2.3(b) </w:t>
      </w:r>
      <w:r>
        <w:rPr>
          <w:rFonts w:ascii="Times New Roman;sans-serif" w:hAnsi="Times New Roman;sans-serif"/>
          <w:b w:val="false"/>
          <w:color w:val="000000"/>
          <w:sz w:val="22"/>
        </w:rPr>
        <w:t>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r>
        <w:br w:type="page"/>
      </w:r>
    </w:p>
    <w:p>
      <w:pPr>
        <w:pStyle w:val="TextBody"/>
        <w:spacing w:before="0" w:after="0"/>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887095"/>
                <wp:effectExtent l="0" t="0" r="0" b="0"/>
                <wp:wrapNone/>
                <wp:docPr id="304" name="Frame303"/>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Obligations of the Company</w:t>
      </w:r>
      <w:r>
        <w:rPr>
          <w:rFonts w:ascii="Times New Roman;sans-serif" w:hAnsi="Times New Roman;sans-serif"/>
          <w:b w:val="false"/>
          <w:color w:val="000000"/>
          <w:sz w:val="22"/>
        </w:rPr>
        <w:t xml:space="preserve">. Whenever required under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to effect the registration of any Registrable Securities, the Company shall, as expeditiously as reasonably possible:</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or, if earlier, until the distribution contemplated in the registration statement has been completed;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shall be extended for up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if necessary, to keep the registration statement effective until all such Registrable Securities are sold;</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 the event of any underwritten public offering, enter into and perform its obligations under an underwriting agreement, in usual and customary form, with the underwriter(s) of such offering;</w:t>
      </w:r>
    </w:p>
    <w:p>
      <w:pPr>
        <w:pStyle w:val="TextBody"/>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provide a transfer agent and registrar for all Registrable Securities registered pursuant to this Agreement and provide a CUSIP number for all such Registrable Securities, in each case not later than the effective date of such registration;</w:t>
      </w:r>
    </w:p>
    <w:p>
      <w:pPr>
        <w:pStyle w:val="TextBody"/>
        <w:spacing w:lineRule="auto" w:line="240" w:before="0" w:after="240"/>
        <w:ind w:left="0" w:right="0" w:firstLine="216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promptly make available for inspection by the selling Holders, any managing underwriter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r>
        <w:br w:type="page"/>
      </w:r>
    </w:p>
    <w:p>
      <w:pPr>
        <w:pStyle w:val="TextBody"/>
        <w:spacing w:before="0" w:after="0"/>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887095"/>
                <wp:effectExtent l="0" t="0" r="0" b="0"/>
                <wp:wrapNone/>
                <wp:docPr id="305" name="Frame304"/>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notify each selling Holder, promptly after the Company receives notice thereof, of the time when such registration statement has been declared effective or a supplement to any prospectus forming a part of such registration statement has been filed; and</w:t>
      </w:r>
    </w:p>
    <w:p>
      <w:pPr>
        <w:pStyle w:val="TextBody"/>
        <w:spacing w:lineRule="auto" w:line="240" w:before="0" w:after="240"/>
        <w:ind w:left="0" w:right="0" w:firstLine="216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after such registration statement becomes effective, notify each selling Holder of any request by the SEC that the Company amend or supplement such registration statement or prospectus.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Furnish Information</w:t>
      </w:r>
      <w:r>
        <w:rPr>
          <w:rFonts w:ascii="Times New Roman;sans-serif" w:hAnsi="Times New Roman;sans-serif"/>
          <w:b w:val="false"/>
          <w:color w:val="000000"/>
          <w:sz w:val="22"/>
        </w:rPr>
        <w:t xml:space="preserve">. It shall be a condition precedent to the obligations of the Company to take any action pursuant to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Expenses of Registration</w:t>
      </w:r>
      <w:r>
        <w:rPr>
          <w:rFonts w:ascii="Times New Roman;sans-serif" w:hAnsi="Times New Roman;sans-serif"/>
          <w:b w:val="false"/>
          <w:color w:val="000000"/>
          <w:sz w:val="22"/>
        </w:rPr>
        <w:t xml:space="preserve">. All expenses (other than Selling Expenses) incurred in connection with registrations, filings, or qualifications pursuant to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including all registration, filing, and qualification fees; printers’ and accounting fees; fees and disbursements of counsel for the Company; and the reasonable fees and disbursements of one counsel for the selling Holders (“Selling Holder Counsel”), shall be borne and paid by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required to pay for any expenses of any registration proceeding begun pursuant to </w:t>
      </w:r>
      <w:r>
        <w:rPr>
          <w:rFonts w:ascii="Times New Roman;sans-serif" w:hAnsi="Times New Roman;sans-serif"/>
          <w:b w:val="false"/>
          <w:color w:val="000000"/>
          <w:sz w:val="22"/>
          <w:u w:val="single"/>
        </w:rPr>
        <w:t>Subsection 2.1</w:t>
      </w:r>
      <w:r>
        <w:rPr>
          <w:color w:val="000000"/>
        </w:rPr>
        <w:t xml:space="preserve"> </w:t>
      </w:r>
      <w:r>
        <w:rPr>
          <w:rFonts w:ascii="Times New Roman;sans-serif" w:hAnsi="Times New Roman;sans-serif"/>
          <w:b w:val="false"/>
          <w:color w:val="000000"/>
          <w:sz w:val="22"/>
        </w:rPr>
        <w:t xml:space="preserve">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sans-serif" w:hAnsi="Times New Roman;sans-serif"/>
          <w:b w:val="false"/>
          <w:color w:val="000000"/>
          <w:sz w:val="22"/>
          <w:u w:val="single"/>
        </w:rPr>
        <w:t>Subsections 2.1(a)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2.1(b)</w:t>
      </w:r>
      <w:r>
        <w:rPr>
          <w:rFonts w:ascii="Times New Roman;sans-serif" w:hAnsi="Times New Roman;sans-serif"/>
          <w:b w:val="false"/>
          <w:color w:val="000000"/>
          <w:sz w:val="22"/>
        </w:rPr>
        <w:t xml:space="preserve">, as the case may be. All Selling Expenses relating to Registrable Securities registered pursuant to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shall be borne and paid by the Holders pro rata on the basis of the number of Registrable Securities registered on their behalf.</w:t>
      </w:r>
    </w:p>
    <w:p>
      <w:pPr>
        <w:pStyle w:val="TextBody"/>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Delay of Registration</w:t>
      </w:r>
      <w:r>
        <w:rPr>
          <w:rFonts w:ascii="Times New Roman;sans-serif" w:hAnsi="Times New Roman;sans-serif"/>
          <w:b w:val="false"/>
          <w:color w:val="000000"/>
          <w:sz w:val="22"/>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xml:space="preserve">. If any Registrable Securities are included in a registration statement under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indemnity agreement contained in this </w:t>
      </w:r>
      <w:r>
        <w:rPr>
          <w:rFonts w:ascii="Times New Roman;sans-serif" w:hAnsi="Times New Roman;sans-serif"/>
          <w:b w:val="false"/>
          <w:color w:val="000000"/>
          <w:sz w:val="22"/>
          <w:u w:val="single"/>
        </w:rPr>
        <w:t>Subsection 2.8(a)</w:t>
      </w:r>
      <w:r>
        <w:rPr>
          <w:color w:val="000000"/>
        </w:rPr>
        <w:t xml:space="preserve"> </w:t>
      </w:r>
      <w:r>
        <w:rPr>
          <w:rFonts w:ascii="Times New Roman;sans-serif" w:hAnsi="Times New Roman;sans-serif"/>
          <w:b w:val="false"/>
          <w:color w:val="000000"/>
          <w:sz w:val="22"/>
        </w:rPr>
        <w:t>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r>
        <w:br w:type="page"/>
      </w:r>
    </w:p>
    <w:p>
      <w:pPr>
        <w:pStyle w:val="TextBody"/>
        <w:spacing w:before="0" w:after="0"/>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887095"/>
                <wp:effectExtent l="0" t="0" r="0" b="0"/>
                <wp:wrapNone/>
                <wp:docPr id="306" name="Frame305"/>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indemnity agreement contained in this </w:t>
      </w:r>
      <w:r>
        <w:rPr>
          <w:rFonts w:ascii="Times New Roman;sans-serif" w:hAnsi="Times New Roman;sans-serif"/>
          <w:b w:val="false"/>
          <w:color w:val="000000"/>
          <w:sz w:val="22"/>
          <w:u w:val="single"/>
        </w:rPr>
        <w:t>Subsection 2.8(b)</w:t>
      </w:r>
      <w:r>
        <w:rPr>
          <w:color w:val="000000"/>
        </w:rPr>
        <w:t xml:space="preserve"> </w:t>
      </w:r>
      <w:r>
        <w:rPr>
          <w:rFonts w:ascii="Times New Roman;sans-serif" w:hAnsi="Times New Roman;sans-serif"/>
          <w:b w:val="false"/>
          <w:color w:val="000000"/>
          <w:sz w:val="22"/>
        </w:rPr>
        <w:t xml:space="preserve">shall not apply to amounts paid in settlement of any such claim or proceeding if such settlement is effected without the consent of the Holder, which consent shall not be unreasonably withheld;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in no event shall the aggregate amounts payable by any Holder by way of indemnity or contribution under </w:t>
      </w:r>
      <w:r>
        <w:rPr>
          <w:rFonts w:ascii="Times New Roman;sans-serif" w:hAnsi="Times New Roman;sans-serif"/>
          <w:b w:val="false"/>
          <w:color w:val="000000"/>
          <w:sz w:val="22"/>
          <w:u w:val="single"/>
        </w:rPr>
        <w:t>Subsections 2.8(b)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exceed the proceeds from the offering received by such Holder (net of any Selling Expenses paid by such Holder), except in the case of fraud or willful misconduct by such Holder.</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Promptly after receipt by an indemnified party under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provides for indemnification in such case, or (ii) contribution under the Securities Act may be required on the part of any party hereto for which indemnification is provided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w:t>
      </w:r>
      <w:r>
        <w:br w:type="page"/>
      </w:r>
    </w:p>
    <w:p>
      <w:pPr>
        <w:pStyle w:val="TextBody"/>
        <w:spacing w:before="0" w:after="0"/>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887095"/>
                <wp:effectExtent l="0" t="0" r="0" b="0"/>
                <wp:wrapNone/>
                <wp:docPr id="307" name="Frame306"/>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the meaning of Section 11(f) of the Securities Act) will be entitled to contribution from any Person who was not guilty of such fraudulent misrepresentation;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in no event shall a Holder’s liability pursuant to this </w:t>
      </w:r>
      <w:r>
        <w:rPr>
          <w:rFonts w:ascii="Times New Roman;sans-serif" w:hAnsi="Times New Roman;sans-serif"/>
          <w:b w:val="false"/>
          <w:color w:val="000000"/>
          <w:sz w:val="22"/>
          <w:u w:val="single"/>
        </w:rPr>
        <w:t>Subsection 2.8(d)</w:t>
      </w:r>
      <w:r>
        <w:rPr>
          <w:rFonts w:ascii="Times New Roman;sans-serif" w:hAnsi="Times New Roman;sans-serif"/>
          <w:b w:val="false"/>
          <w:color w:val="000000"/>
          <w:sz w:val="22"/>
        </w:rPr>
        <w:t xml:space="preserve">, when combined with the amounts paid or payable by such Holder pursuant to </w:t>
      </w:r>
      <w:r>
        <w:rPr>
          <w:rFonts w:ascii="Times New Roman;sans-serif" w:hAnsi="Times New Roman;sans-serif"/>
          <w:b w:val="false"/>
          <w:color w:val="000000"/>
          <w:sz w:val="22"/>
          <w:u w:val="single"/>
        </w:rPr>
        <w:t>Subsection 2.8(b)</w:t>
      </w:r>
      <w:r>
        <w:rPr>
          <w:rFonts w:ascii="Times New Roman;sans-serif" w:hAnsi="Times New Roman;sans-serif"/>
          <w:b w:val="false"/>
          <w:color w:val="000000"/>
          <w:sz w:val="22"/>
        </w:rPr>
        <w:t>, exceed the proceeds from the offering received by such Holder (net of any Selling Expenses paid by such Holder), except in the case of willful misconduct or fraud by such Holder.</w:t>
      </w:r>
    </w:p>
    <w:p>
      <w:pPr>
        <w:pStyle w:val="TextBody"/>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Unless otherwise superseded by an underwriting agreement entered into in connection with the underwritten public offering, the obligations of the Company and Holders under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shall survive the completion of any offering of Registrable Securities in a registration under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and otherwise shall survive the termination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Reports Under Exchange Act</w:t>
      </w:r>
      <w:r>
        <w:rPr>
          <w:rFonts w:ascii="Times New Roman;sans-serif" w:hAnsi="Times New Roman;sans-serif"/>
          <w:b w:val="false"/>
          <w:color w:val="000000"/>
          <w:sz w:val="22"/>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make and keep available adequate current public information, as those terms are understood and defined in SEC Rule 144, at all times after the effective date of the registration statement filed by the Company for the IPO;</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pStyle w:val="TextBody"/>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Limitations on Subsequent Registration Rights</w:t>
      </w:r>
      <w:r>
        <w:rPr>
          <w:rFonts w:ascii="Times New Roman;sans-serif" w:hAnsi="Times New Roman;sans-serif"/>
          <w:b w:val="false"/>
          <w:color w:val="000000"/>
          <w:sz w:val="22"/>
        </w:rPr>
        <w:t xml:space="preserve">. From and after the date of this Agreement, the Company shall not, without the prior written consent of the Holders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enter into any agreement with any holder or prospective holder of any securities of the Company that would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limitation shall not apply to any additional Investor who becomes a party to this Agreement in accordance with </w:t>
      </w:r>
      <w:r>
        <w:rPr>
          <w:rFonts w:ascii="Times New Roman;sans-serif" w:hAnsi="Times New Roman;sans-serif"/>
          <w:b w:val="false"/>
          <w:color w:val="000000"/>
          <w:sz w:val="22"/>
          <w:u w:val="single"/>
        </w:rPr>
        <w:t>Subsection 12.9</w:t>
      </w:r>
      <w:r>
        <w:rPr>
          <w:color w:val="000000"/>
        </w:rPr>
        <w:t xml:space="preser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1.11</w:t>
      </w:r>
      <w:r>
        <w:rPr>
          <w:color w:val="000000"/>
          <w:u w:val="single"/>
        </w:rPr>
        <w:t>“</w:t>
      </w:r>
      <w:r>
        <w:rPr>
          <w:rFonts w:ascii="Times New Roman;sans-serif" w:hAnsi="Times New Roman;sans-serif"/>
          <w:b w:val="false"/>
          <w:color w:val="000000"/>
          <w:sz w:val="22"/>
          <w:u w:val="single"/>
        </w:rPr>
        <w:t>Market Stand-off” Agreement</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Subsection 12.1</w:t>
      </w:r>
      <w:r>
        <w:rPr>
          <w:rFonts w:ascii="Times New Roman;sans-serif" w:hAnsi="Times New Roman;sans-serif"/>
          <w:b w:val="false"/>
          <w:color w:val="000000"/>
          <w:sz w:val="22"/>
        </w:rPr>
        <w:t xml:space="preserve">, each Holder, to the extent permitted by applicable laws and regulations, hereby agrees that it will not, </w:t>
      </w:r>
      <w:r>
        <w:br w:type="page"/>
      </w:r>
    </w:p>
    <w:p>
      <w:pPr>
        <w:pStyle w:val="TextBody"/>
        <w:spacing w:before="0" w:after="0"/>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887095"/>
                <wp:effectExtent l="0" t="0" r="0" b="0"/>
                <wp:wrapNone/>
                <wp:docPr id="308" name="Frame307"/>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without the prior written consent of the managing underwriter (any such consent received, a “</w:t>
      </w:r>
      <w:r>
        <w:rPr>
          <w:rFonts w:ascii="Times New Roman;sans-serif" w:hAnsi="Times New Roman;sans-serif"/>
          <w:b/>
          <w:color w:val="000000"/>
          <w:sz w:val="22"/>
        </w:rPr>
        <w:t>Lock-Up Waiver</w:t>
      </w:r>
      <w:r>
        <w:rPr>
          <w:color w:val="000000"/>
        </w:rPr>
        <w:t>”</w:t>
      </w:r>
      <w:r>
        <w:rPr>
          <w:rFonts w:ascii="Times New Roman;sans-serif" w:hAnsi="Times New Roman;sans-serif"/>
          <w:b w:val="false"/>
          <w:color w:val="000000"/>
          <w:sz w:val="22"/>
        </w:rPr>
        <w:t xml:space="preserve">), during the period commencing on the date of the final prospectus relating to the registration by the Company for its own behalf of shares of its Common Stock under the Securities Act on a registration statement on Form S-1, and ending on the date specified by the Company and the managing underwriter (such period not to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obligations described in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 xml:space="preserve">shall not apply to any transfer that such Holder is required to make in order to comply with laws or regulations applicable to it (including those that have been established in accordance with the UCITS (Undertakings for Collective Investment in Transferable Securities) Directive).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u w:val="single"/>
        </w:rPr>
        <w:t>]</w:t>
      </w:r>
      <w:r>
        <w:rPr>
          <w:rFonts w:ascii="Times New Roman;sans-serif" w:hAnsi="Times New Roman;sans-serif"/>
          <w:b w:val="false"/>
          <w:color w:val="000000"/>
          <w:sz w:val="22"/>
        </w:rPr>
        <w:t xml:space="preserve">. The foregoing provisions of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 xml:space="preserve">shall apply only to the IPO and shall not apply to (i) the sale of any shares to an underwriter pursuant to an underwriting agreement, (ii) shares acquired by any Holder in an IPO or subsequent to an IPO in the open market, (iii) the transfer of any shares to any Affiliate or limited partner (or equivalent) of a Holder,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transferee agrees to be bound in writing by the restrictions set forth herein or (iv) the transfer of any shares to any trust for the direct or indirect benefit of the Holder or the immediate family of the Holder,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trustee of the trust agrees to be bound in writing by the restrictions set forth herein,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Company’s outstanding Common Stock (after giving effect to conversion into Common Stock of all outstanding Preferred Stock). The Company and PureTech hereby agree, and all of the Investors hereby acknowledge, that PureTech shall, without in any way limiting the obligations of any Investor other than PureTech under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be granted additional exceptions to the application of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as agreed upon in good faith by the Company and PureTech, to the extent reasonably necessary for PureTech to maintain exemption from registration under the Investment Company Act of 1940;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that PureTech is granted any such additional exception, each other Holder shall, unless otherwise determined in writing by a Lead Investor Majority, also be granted an additional such exception so that the same pro rata portion of PureTech’s and each such other Holder’s Registrable Securities will not be subject to the foregoing restrictions of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The underwriters in connection with such registration are intended third-party beneficiaries of this </w:t>
      </w:r>
      <w:r>
        <w:rPr>
          <w:rFonts w:ascii="Times New Roman;sans-serif" w:hAnsi="Times New Roman;sans-serif"/>
          <w:b w:val="false"/>
          <w:color w:val="000000"/>
          <w:sz w:val="22"/>
          <w:u w:val="single"/>
        </w:rPr>
        <w:t xml:space="preserve">Subsection 2.11 </w:t>
      </w:r>
      <w:r>
        <w:rPr>
          <w:rFonts w:ascii="Times New Roman;sans-serif" w:hAnsi="Times New Roman;sans-serif"/>
          <w:b w:val="false"/>
          <w:color w:val="000000"/>
          <w:sz w:val="22"/>
        </w:rPr>
        <w:t xml:space="preserve">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or that are necessary to give further effect thereto.</w:t>
      </w:r>
    </w:p>
    <w:p>
      <w:pPr>
        <w:pStyle w:val="TextBody"/>
        <w:spacing w:lineRule="auto" w:line="240" w:before="0" w:after="240"/>
        <w:ind w:left="0" w:right="0" w:firstLine="144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Restrictions on Transfer</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sans-serif" w:hAnsi="Times New Roman;sans-serif"/>
          <w:b w:val="false"/>
          <w:color w:val="000000"/>
          <w:sz w:val="22"/>
          <w:u w:val="single"/>
        </w:rPr>
        <w:t>Subsection 2.12(c)</w:t>
      </w:r>
      <w:r>
        <w:rPr>
          <w:rFonts w:ascii="Times New Roman;sans-serif" w:hAnsi="Times New Roman;sans-serif"/>
          <w:b w:val="false"/>
          <w:color w:val="000000"/>
          <w:sz w:val="22"/>
        </w:rPr>
        <w:t>) be notated with a legend substantially in the following form:</w:t>
      </w:r>
      <w:r>
        <w:br w:type="page"/>
      </w:r>
    </w:p>
    <w:p>
      <w:pPr>
        <w:pStyle w:val="TextBody"/>
        <w:spacing w:before="0" w:after="0"/>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887095"/>
                <wp:effectExtent l="0" t="0" r="0" b="0"/>
                <wp:wrapNone/>
                <wp:docPr id="309" name="Frame308"/>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HEREBY MAY BE TRANSFERRED ONLY IN ACCORDANCE WITH THE TERMS OF AN AGREEMENT BETWEEN THE COMPANY AND THE STOCKHOLDER, A COPY OF WHICH IS ON FILE WITH THE SECRETARY OF THE COMPANY.</w:t>
      </w:r>
    </w:p>
    <w:p>
      <w:pPr>
        <w:pStyle w:val="TextBody"/>
        <w:spacing w:lineRule="auto" w:line="240" w:before="0" w:after="240"/>
        <w:ind w:left="0" w:right="0" w:firstLine="1440"/>
        <w:jc w:val="both"/>
        <w:rPr/>
      </w:pPr>
      <w:r>
        <w:rPr>
          <w:rFonts w:ascii="Times New Roman;sans-serif" w:hAnsi="Times New Roman;sans-serif"/>
          <w:b w:val="false"/>
          <w:color w:val="000000"/>
          <w:sz w:val="22"/>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sans-serif" w:hAnsi="Times New Roman;sans-serif"/>
          <w:b w:val="false"/>
          <w:color w:val="000000"/>
          <w:sz w:val="22"/>
          <w:u w:val="single"/>
        </w:rPr>
        <w:t>Subsection 2.12</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holder of such Restricted Securities, by acceptance of ownership thereof, agrees to comply in all respects with the provisions of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transferee agrees in writing to be subject to the terms of this </w:t>
      </w:r>
      <w:r>
        <w:rPr>
          <w:rFonts w:ascii="Times New Roman;sans-serif" w:hAnsi="Times New Roman;sans-serif"/>
          <w:b w:val="false"/>
          <w:color w:val="000000"/>
          <w:sz w:val="22"/>
          <w:u w:val="single"/>
        </w:rPr>
        <w:t>Subsection 2.12</w:t>
      </w:r>
      <w:r>
        <w:rPr>
          <w:rFonts w:ascii="Times New Roman;sans-serif" w:hAnsi="Times New Roman;sans-serif"/>
          <w:b w:val="false"/>
          <w:color w:val="000000"/>
          <w:sz w:val="22"/>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sans-serif" w:hAnsi="Times New Roman;sans-serif"/>
          <w:b w:val="false"/>
          <w:color w:val="000000"/>
          <w:sz w:val="22"/>
          <w:u w:val="single"/>
        </w:rPr>
        <w:t>Subsection 2.12(b)</w:t>
      </w:r>
      <w:r>
        <w:rPr>
          <w:rFonts w:ascii="Times New Roman;sans-serif" w:hAnsi="Times New Roman;sans-serif"/>
          <w:b w:val="false"/>
          <w:color w:val="000000"/>
          <w:sz w:val="22"/>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pStyle w:val="TextBody"/>
        <w:spacing w:lineRule="auto" w:line="240" w:before="0" w:after="240"/>
        <w:ind w:left="0" w:right="0" w:firstLine="1440"/>
        <w:jc w:val="both"/>
        <w:rPr/>
      </w:pPr>
      <w:r>
        <w:rPr>
          <w:rFonts w:ascii="Times New Roman;sans-serif" w:hAnsi="Times New Roman;sans-serif"/>
          <w:b w:val="false"/>
          <w:color w:val="000000"/>
          <w:sz w:val="22"/>
        </w:rPr>
        <w:t>1.13</w:t>
      </w:r>
      <w:r>
        <w:rPr>
          <w:rFonts w:ascii="Times New Roman;sans-serif" w:hAnsi="Times New Roman;sans-serif"/>
          <w:b w:val="false"/>
          <w:color w:val="000000"/>
          <w:sz w:val="22"/>
          <w:u w:val="single"/>
        </w:rPr>
        <w:t>Termination of Registration Rights</w:t>
      </w:r>
      <w:r>
        <w:rPr>
          <w:rFonts w:ascii="Times New Roman;sans-serif" w:hAnsi="Times New Roman;sans-serif"/>
          <w:b w:val="false"/>
          <w:color w:val="000000"/>
          <w:sz w:val="22"/>
        </w:rPr>
        <w:t xml:space="preserve">. The right of any Holder to request registration or inclusion of Registrable Securities in any registration pursuant to </w:t>
      </w:r>
      <w:r>
        <w:rPr>
          <w:rFonts w:ascii="Times New Roman;sans-serif" w:hAnsi="Times New Roman;sans-serif"/>
          <w:b w:val="false"/>
          <w:color w:val="000000"/>
          <w:sz w:val="22"/>
          <w:u w:val="single"/>
        </w:rPr>
        <w:t xml:space="preserve">Subsections 2.1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w:t>
      </w:r>
      <w:r>
        <w:rPr>
          <w:color w:val="000000"/>
        </w:rPr>
        <w:t xml:space="preserve"> </w:t>
      </w:r>
      <w:r>
        <w:rPr>
          <w:rFonts w:ascii="Times New Roman;sans-serif" w:hAnsi="Times New Roman;sans-serif"/>
          <w:b w:val="false"/>
          <w:color w:val="000000"/>
          <w:sz w:val="22"/>
        </w:rPr>
        <w:t xml:space="preserve">shall terminate upon the earliest to occur of: </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Voting Provisions Regarding Board of Directors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Size of the Board</w:t>
      </w:r>
      <w:r>
        <w:rPr>
          <w:rFonts w:ascii="Times New Roman;sans-serif" w:hAnsi="Times New Roman;sans-serif"/>
          <w:b w:val="false"/>
          <w:color w:val="000000"/>
          <w:sz w:val="22"/>
        </w:rPr>
        <w:t xml:space="preserve">.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eleven (11) directors and so long as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Preferred Stock outstanding as of the date hereof remain outstanding, may be increased only with the written consent of Investors holding a majority of the Preferred Stock then outstanding. For purposes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the term “Shares” shall mean and include any securities of the Company the holders of which are entitled to vote for members of the Board, including without limitation, all shares of Common </w:t>
      </w:r>
      <w:r>
        <w:br w:type="page"/>
      </w:r>
    </w:p>
    <w:p>
      <w:pPr>
        <w:pStyle w:val="TextBody"/>
        <w:spacing w:before="0" w:after="0"/>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887095"/>
                <wp:effectExtent l="0" t="0" r="0" b="0"/>
                <wp:wrapNone/>
                <wp:docPr id="310" name="Frame309"/>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Stock, Series A-1 Preferred Stock, Series B Preferred Stock, Series C Preferred Stock, Series C-2 Preferred Stock and Series D Preferred Stock, by whatever name called, now owned or subsequently acquired by a Stockholder, however acquired, whether through stock splits, stock dividends, reclassifications, recapitalizations, similar events or otherwise.</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Board Composition</w:t>
      </w:r>
      <w:r>
        <w:rPr>
          <w:rFonts w:ascii="Times New Roman;sans-serif" w:hAnsi="Times New Roman;sans-serif"/>
          <w:b w:val="false"/>
          <w:color w:val="000000"/>
          <w:sz w:val="22"/>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the following persons shall be elected to the Board:</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Two persons designated by a majority of the holders of the Series A-1 Preferred Stock then outstanding, one of which individuals shall initially be Bennett Shapiro (the “</w:t>
      </w:r>
      <w:r>
        <w:rPr>
          <w:rFonts w:ascii="Times New Roman;sans-serif" w:hAnsi="Times New Roman;sans-serif"/>
          <w:b/>
          <w:color w:val="000000"/>
          <w:sz w:val="22"/>
        </w:rPr>
        <w:t>Series A-1 Designees</w:t>
      </w:r>
      <w:r>
        <w:rPr>
          <w:color w:val="000000"/>
        </w:rPr>
        <w:t>”</w:t>
      </w:r>
      <w:r>
        <w:rPr>
          <w:rFonts w:ascii="Times New Roman;sans-serif" w:hAnsi="Times New Roman;sans-serif"/>
          <w:b w:val="false"/>
          <w:color w:val="000000"/>
          <w:sz w:val="22"/>
        </w:rPr>
        <w:t>), and one seat shall be vacant as of the date hereof, for so long as such Stockholders and their Affiliates continue to own beneficially any shares of Series A-1 Preferred Stock.</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Two persons designated by a majority of the holders of the Series B Preferred Stock then outstanding, which individuals shall initially be John LaMattina and one vacancy (the “</w:t>
      </w:r>
      <w:r>
        <w:rPr>
          <w:rFonts w:ascii="Times New Roman;sans-serif" w:hAnsi="Times New Roman;sans-serif"/>
          <w:b/>
          <w:color w:val="000000"/>
          <w:sz w:val="22"/>
        </w:rPr>
        <w:t>Series B Designees</w:t>
      </w:r>
      <w:r>
        <w:rPr>
          <w:color w:val="000000"/>
        </w:rPr>
        <w:t>”</w:t>
      </w:r>
      <w:r>
        <w:rPr>
          <w:rFonts w:ascii="Times New Roman;sans-serif" w:hAnsi="Times New Roman;sans-serif"/>
          <w:b w:val="false"/>
          <w:color w:val="000000"/>
          <w:sz w:val="22"/>
        </w:rPr>
        <w:t>), for so long as such Stockholders and their Affiliates continue to own beneficially any shares of Series B Preferred Stock.</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w:t>
      </w:r>
    </w:p>
    <w:p>
      <w:pPr>
        <w:pStyle w:val="TextBody"/>
        <w:spacing w:lineRule="auto" w:line="240" w:before="0" w:after="240"/>
        <w:ind w:left="0" w:right="0" w:firstLine="2160"/>
        <w:jc w:val="both"/>
        <w:rPr/>
      </w:pPr>
      <w:r>
        <w:rPr>
          <w:rFonts w:ascii="Times New Roman;sans-serif" w:hAnsi="Times New Roman;sans-serif"/>
          <w:b w:val="false"/>
          <w:color w:val="000000"/>
          <w:sz w:val="22"/>
        </w:rPr>
        <w:t>(h)</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w:t>
      </w: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that any of clauses (a) through (i)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pStyle w:val="TextBody"/>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Failure to Designate a Board Member</w:t>
      </w:r>
      <w:r>
        <w:rPr>
          <w:rFonts w:ascii="Times New Roman;sans-serif" w:hAnsi="Times New Roman;sans-serif"/>
          <w:b w:val="false"/>
          <w:color w:val="000000"/>
          <w:sz w:val="22"/>
        </w:rPr>
        <w:t>. In the absence of any designation from the Persons or groups with the right to designate a director as specified above, the director previously designated by them and then serving shall be reelected if still eligible to serve as provided herein.</w:t>
      </w:r>
    </w:p>
    <w:p>
      <w:pPr>
        <w:pStyle w:val="TextBody"/>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Removal of Board Members</w:t>
      </w:r>
      <w:r>
        <w:rPr>
          <w:rFonts w:ascii="Times New Roman;sans-serif" w:hAnsi="Times New Roman;sans-serif"/>
          <w:b w:val="false"/>
          <w:color w:val="000000"/>
          <w:sz w:val="22"/>
        </w:rPr>
        <w:t>. Each Stockholder also agrees to vote, or cause to be voted, all Shares owned by such Stockholder, or over which such Stockholder has voting control, from time to time and at all times, in whatever manner as shall be necessary to ensure that:</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 director elected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 xml:space="preserve">of this Agreement may be removed from office other than for cause unless (i) such removal is directed or approved by the affirmative vote of the Person, or of the holders of a majority of the shares of stock, entitled under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to designate that director; or (ii) the Person(s) originally entitled to designate or approve such director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is no longer so entitled to designate or approve such director;</w:t>
      </w:r>
      <w:r>
        <w:br w:type="page"/>
      </w:r>
    </w:p>
    <w:p>
      <w:pPr>
        <w:pStyle w:val="TextBody"/>
        <w:spacing w:before="0" w:after="0"/>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887095"/>
                <wp:effectExtent l="0" t="0" r="0" b="0"/>
                <wp:wrapNone/>
                <wp:docPr id="311" name="Frame310"/>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any vacancies created by the resignation, removal or death of a director elected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 xml:space="preserve">shall be filled pursuant to the provisions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and</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upon the request of any party entitled to designate a director as provided in </w:t>
      </w:r>
      <w:r>
        <w:rPr>
          <w:rFonts w:ascii="Times New Roman;sans-serif" w:hAnsi="Times New Roman;sans-serif"/>
          <w:b w:val="false"/>
          <w:color w:val="000000"/>
          <w:sz w:val="22"/>
          <w:u w:val="single"/>
        </w:rPr>
        <w:t>Subsection 3.2</w:t>
      </w:r>
      <w:r>
        <w:rPr>
          <w:color w:val="000000"/>
        </w:rPr>
        <w:t xml:space="preserve"> </w:t>
      </w:r>
      <w:r>
        <w:rPr>
          <w:rFonts w:ascii="Times New Roman;sans-serif" w:hAnsi="Times New Roman;sans-serif"/>
          <w:b w:val="false"/>
          <w:color w:val="000000"/>
          <w:sz w:val="22"/>
        </w:rPr>
        <w:t>to remove such director, such director shall be removed.</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pStyle w:val="TextBody"/>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 Liability for Election of Recommended Directors</w:t>
      </w:r>
      <w:r>
        <w:rPr>
          <w:rFonts w:ascii="Times New Roman;sans-serif" w:hAnsi="Times New Roman;sans-serif"/>
          <w:b w:val="false"/>
          <w:color w:val="000000"/>
          <w:sz w:val="22"/>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“Bad Actor” Designees</w:t>
      </w:r>
      <w:r>
        <w:rPr>
          <w:rFonts w:ascii="Times New Roman;sans-serif" w:hAnsi="Times New Roman;sans-serif"/>
          <w:b w:val="false"/>
          <w:color w:val="000000"/>
          <w:sz w:val="22"/>
        </w:rPr>
        <w:t>. Each Person with the right to designate or participate in the designation of a director as specified above hereby represents and warrants to the Company that, to such Person’s knowledge, none of the “bad actor” disqualifying events described in Rule 506(d)(1)(i)-(viii) promulgated under the Securities Act (each, a “</w:t>
      </w:r>
      <w:r>
        <w:rPr>
          <w:rFonts w:ascii="Times New Roman;sans-serif" w:hAnsi="Times New Roman;sans-serif"/>
          <w:b/>
          <w:color w:val="000000"/>
          <w:sz w:val="22"/>
        </w:rPr>
        <w:t>Disqualification Event</w:t>
      </w:r>
      <w:r>
        <w:rPr>
          <w:color w:val="000000"/>
        </w:rPr>
        <w:t>”</w:t>
      </w:r>
      <w:r>
        <w:rPr>
          <w:rFonts w:ascii="Times New Roman;sans-serif" w:hAnsi="Times New Roman;sans-serif"/>
          <w:b w:val="false"/>
          <w:color w:val="000000"/>
          <w:sz w:val="22"/>
        </w:rPr>
        <w:t>), is applicable to such Person’s initial designee named above except, if applicable, for a Disqualification Event as to which Rule 506(d)(2)(ii) or (iii) or (d)(3) is applicable. Any director designee to whom any Disqualification Event is applicable, except for a Disqualification Event as to which Rule 506(d)(2)(ii) or (iii) or (d)(3) is applicable, is hereinafter referred to as a “</w:t>
      </w:r>
      <w:r>
        <w:rPr>
          <w:rFonts w:ascii="Times New Roman;sans-serif" w:hAnsi="Times New Roman;sans-serif"/>
          <w:b/>
          <w:color w:val="000000"/>
          <w:sz w:val="22"/>
        </w:rPr>
        <w:t>Disqualified Designee</w:t>
      </w:r>
      <w:r>
        <w:rPr>
          <w:color w:val="000000"/>
        </w:rPr>
        <w:t>”</w:t>
      </w:r>
      <w:r>
        <w:rPr>
          <w:rFonts w:ascii="Times New Roman;sans-serif" w:hAnsi="Times New Roman;sans-serif"/>
          <w:b w:val="false"/>
          <w:color w:val="000000"/>
          <w:sz w:val="22"/>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pStyle w:val="TextBody"/>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Information</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Delivery of Financial Statements</w:t>
      </w:r>
      <w:r>
        <w:rPr>
          <w:rFonts w:ascii="Times New Roman;sans-serif" w:hAnsi="Times New Roman;sans-serif"/>
          <w:b w:val="false"/>
          <w:color w:val="000000"/>
          <w:sz w:val="22"/>
        </w:rPr>
        <w:t xml:space="preserve">. The Company shall deliver to each Holder who so requests,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Board has not reasonably determined that such Holder is a Competitor:</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as soon as practicable, but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selected by the Company;</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as soon as practicable, but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end of each quarter of each fiscal year of the Company, unaudited statements of income and cash flows for such fiscal quarter, an unaudited balance sheet and a statement of stockholders’ equity as of the end of such fiscal quarter, and an up-to-date capitalization table in sufficient detail so as to permit the Holders to calculate their respective percentage of equity ownership in the Company;</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such other information relating to the financial condition, annual budget, business, prospects, or corporate affairs of the Company as any Holder may from time to time reasonably request; provided, however, that the Company shall not be obligated under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 and</w:t>
      </w:r>
      <w:r>
        <w:br w:type="page"/>
      </w:r>
    </w:p>
    <w:p>
      <w:pPr>
        <w:pStyle w:val="TextBody"/>
        <w:spacing w:before="0" w:after="0"/>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887095"/>
                <wp:effectExtent l="0" t="0" r="0" b="0"/>
                <wp:wrapNone/>
                <wp:docPr id="312" name="Frame311"/>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as soon as practicable, but in any event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before the end of each fiscal year, budget and business plan for the next fiscal year (such budget and business plan that is approved by the Board is collectively referred to herein as the “</w:t>
      </w:r>
      <w:r>
        <w:rPr>
          <w:rFonts w:ascii="Times New Roman;sans-serif" w:hAnsi="Times New Roman;sans-serif"/>
          <w:b/>
          <w:color w:val="000000"/>
          <w:sz w:val="22"/>
        </w:rPr>
        <w:t>Budget</w:t>
      </w:r>
      <w:r>
        <w:rPr>
          <w:color w:val="000000"/>
        </w:rPr>
        <w:t>”</w:t>
      </w:r>
      <w:r>
        <w:rPr>
          <w:rFonts w:ascii="Times New Roman;sans-serif" w:hAnsi="Times New Roman;sans-serif"/>
          <w:b w:val="false"/>
          <w:color w:val="000000"/>
          <w:sz w:val="22"/>
        </w:rPr>
        <w:t xml:space="preserve">), approved by the Board and prepared on a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basis, including balance sheets, income statements, and statements of cash flow for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and, promptly after prepared, any other budgets or revised budgets prepared by the Company.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spacing w:lineRule="auto" w:line="240" w:before="0" w:after="240"/>
        <w:jc w:val="both"/>
        <w:rPr/>
      </w:pPr>
      <w:r>
        <w:rPr>
          <w:rFonts w:ascii="Times New Roman;sans-serif" w:hAnsi="Times New Roman;sans-serif"/>
          <w:b w:val="false"/>
          <w:color w:val="000000"/>
          <w:sz w:val="22"/>
        </w:rPr>
        <w:t xml:space="preserve">Notwithstanding anything else in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 xml:space="preserve">to the contrary, the Company may cease providing the information set forth in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 xml:space="preserve">during the period starting with the date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Company’s covenants under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shall be reinstated at such time as the Company is no longer actively employing its commercially reasonable efforts to cause such registration statement to become effective.</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Inspection Rights</w:t>
      </w:r>
      <w:r>
        <w:rPr>
          <w:rFonts w:ascii="Times New Roman;sans-serif" w:hAnsi="Times New Roman;sans-serif"/>
          <w:b w:val="false"/>
          <w:color w:val="000000"/>
          <w:sz w:val="22"/>
        </w:rPr>
        <w:t xml:space="preserve">. The Company shall permit each Holder who so requests,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Board has not reasonably determined that such Holder is a Competitor, at such Holder’s expense, to visit and inspect the Company’s properties; examine its books of account and records; and discuss the Company’s affairs, finances, and accounts with its officers, during normal business hours of the Company as may be reasonably requested by the Holder;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obligated pursuant to this </w:t>
      </w:r>
      <w:r>
        <w:rPr>
          <w:rFonts w:ascii="Times New Roman;sans-serif" w:hAnsi="Times New Roman;sans-serif"/>
          <w:b w:val="false"/>
          <w:color w:val="000000"/>
          <w:sz w:val="22"/>
          <w:u w:val="single"/>
        </w:rPr>
        <w:t>Subsection 4.2</w:t>
      </w:r>
      <w:r>
        <w:rPr>
          <w:color w:val="000000"/>
        </w:rPr>
        <w:t xml:space="preserve"> </w:t>
      </w:r>
      <w:r>
        <w:rPr>
          <w:rFonts w:ascii="Times New Roman;sans-serif" w:hAnsi="Times New Roman;sans-serif"/>
          <w:b w:val="false"/>
          <w:color w:val="000000"/>
          <w:sz w:val="22"/>
        </w:rPr>
        <w:t>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pStyle w:val="TextBody"/>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Observer Rights</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(a)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(b)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Termination of Information Rights</w:t>
      </w:r>
      <w:r>
        <w:rPr>
          <w:rFonts w:ascii="Times New Roman;sans-serif" w:hAnsi="Times New Roman;sans-serif"/>
          <w:b w:val="false"/>
          <w:color w:val="000000"/>
          <w:sz w:val="22"/>
        </w:rPr>
        <w:t xml:space="preserve">. The covenants set forth in </w:t>
      </w:r>
      <w:r>
        <w:rPr>
          <w:rFonts w:ascii="Times New Roman;sans-serif" w:hAnsi="Times New Roman;sans-serif"/>
          <w:b w:val="false"/>
          <w:color w:val="000000"/>
          <w:sz w:val="22"/>
          <w:u w:val="single"/>
        </w:rPr>
        <w:t>Subsections 4.1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4.3</w:t>
      </w:r>
      <w:r>
        <w:rPr>
          <w:color w:val="000000"/>
        </w:rPr>
        <w:t xml:space="preserve"> </w:t>
      </w:r>
      <w:r>
        <w:rPr>
          <w:rFonts w:ascii="Times New Roman;sans-serif" w:hAnsi="Times New Roman;sans-serif"/>
          <w:b w:val="false"/>
          <w:color w:val="000000"/>
          <w:sz w:val="22"/>
        </w:rPr>
        <w:t xml:space="preserve">shall terminate and be of no further force or effect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Holder agrees that such Holder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sans-serif" w:hAnsi="Times New Roman;sans-serif"/>
          <w:b w:val="false"/>
          <w:color w:val="000000"/>
          <w:sz w:val="22"/>
          <w:u w:val="single"/>
        </w:rPr>
        <w:t>Subsection 4.5</w:t>
      </w:r>
      <w:r>
        <w:rPr>
          <w:color w:val="000000"/>
        </w:rPr>
        <w:t xml:space="preserve"> </w:t>
      </w:r>
      <w:r>
        <w:rPr>
          <w:rFonts w:ascii="Times New Roman;sans-serif" w:hAnsi="Times New Roman;sans-serif"/>
          <w:b w:val="false"/>
          <w:color w:val="000000"/>
          <w:sz w:val="22"/>
        </w:rPr>
        <w:t xml:space="preserve">by such Holder), (b) is or has been independently developed or conceived by the Holder without use of the Company’s confidential information, or (c) is or has been made known or disclosed to the Holder by a third party without a breach of any obligation of confidentiality such third party may have to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Holder may disclose confidential information (i) to its attorneys, accountants, consultants, and other professionals to the extent necessary to obtain their services in connection with monitoring and/or making decisions with respect to its investment in the Company; (ii) to any prospective purchaser of any Note(s) and/or Registrable Securities from such Holder, if such prospective purchaser agrees to be bound by the provisions of this </w:t>
      </w:r>
      <w:r>
        <w:rPr>
          <w:rFonts w:ascii="Times New Roman;sans-serif" w:hAnsi="Times New Roman;sans-serif"/>
          <w:b w:val="false"/>
          <w:color w:val="000000"/>
          <w:sz w:val="22"/>
          <w:u w:val="single"/>
        </w:rPr>
        <w:t>Subsection 4.5</w:t>
      </w:r>
      <w:r>
        <w:rPr>
          <w:rFonts w:ascii="Times New Roman;sans-serif" w:hAnsi="Times New Roman;sans-serif"/>
          <w:b w:val="false"/>
          <w:color w:val="000000"/>
          <w:sz w:val="22"/>
        </w:rPr>
        <w:t xml:space="preserve">; (iii) to any Affiliate, partner, member, stockholder, or wholly owned subsidiary of such Holder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Holder informs such Person that such information is confidential and directs such Person to maintain the confidentiality of such information; or (iv) as may otherwise be </w:t>
      </w:r>
      <w:r>
        <w:br w:type="page"/>
      </w:r>
    </w:p>
    <w:p>
      <w:pPr>
        <w:pStyle w:val="TextBody"/>
        <w:spacing w:before="0" w:after="0"/>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887095"/>
                <wp:effectExtent l="0" t="0" r="0" b="0"/>
                <wp:wrapNone/>
                <wp:docPr id="313" name="Frame312"/>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required by law,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Holder promptly notifies the Company of such disclosure and takes reasonable steps to minimize the extent of any such required disclosure.</w:t>
      </w:r>
    </w:p>
    <w:p>
      <w:pPr>
        <w:pStyle w:val="TextBody"/>
        <w:spacing w:lineRule="auto" w:line="240"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Rights to Future Stock Issuances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Right of First Offer</w:t>
      </w:r>
      <w:r>
        <w:rPr>
          <w:rFonts w:ascii="Times New Roman;sans-serif" w:hAnsi="Times New Roman;sans-serif"/>
          <w:b w:val="false"/>
          <w:color w:val="000000"/>
          <w:sz w:val="22"/>
        </w:rPr>
        <w:t xml:space="preserve">. Subject to the terms and conditions of this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and applicable securities laws, if the Company proposes to offer or sell any New Securities, the Company shall first offer such New Securities to each Holder. A Holder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Holder (“</w:t>
      </w:r>
      <w:r>
        <w:rPr>
          <w:rFonts w:ascii="Times New Roman;sans-serif" w:hAnsi="Times New Roman;sans-serif"/>
          <w:b/>
          <w:color w:val="000000"/>
          <w:sz w:val="22"/>
        </w:rPr>
        <w:t>Holder</w:t>
      </w:r>
      <w:r>
        <w:rPr>
          <w:color w:val="000000"/>
        </w:rPr>
        <w:t xml:space="preserve"> </w:t>
      </w:r>
      <w:r>
        <w:rPr>
          <w:rFonts w:ascii="Times New Roman;sans-serif" w:hAnsi="Times New Roman;sans-serif"/>
          <w:b/>
          <w:color w:val="000000"/>
          <w:sz w:val="22"/>
        </w:rPr>
        <w:t>Beneficial Owners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such Affiliate or Holder Beneficial Owner (x) is not a Competitor or FOIA Party, unless such party’s purchase of New Securities is otherwise consented to by the Board, (y) agrees to enter into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Competitor or FOIA Party shall not be entitled to any rights as an Holder under </w:t>
      </w:r>
      <w:r>
        <w:rPr>
          <w:rFonts w:ascii="Times New Roman;sans-serif" w:hAnsi="Times New Roman;sans-serif"/>
          <w:b w:val="false"/>
          <w:color w:val="000000"/>
          <w:sz w:val="22"/>
          <w:u w:val="single"/>
        </w:rPr>
        <w:t>Subsections 4.1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w:t>
      </w:r>
      <w:r>
        <w:rPr>
          <w:color w:val="000000"/>
        </w:rPr>
        <w:t xml:space="preserve"> </w:t>
      </w:r>
      <w:r>
        <w:rPr>
          <w:rFonts w:ascii="Times New Roman;sans-serif" w:hAnsi="Times New Roman;sans-serif"/>
          <w:b w:val="false"/>
          <w:color w:val="000000"/>
          <w:sz w:val="22"/>
        </w:rPr>
        <w:t>hereof), and (z) agrees to purchase at least such number of New Securities as are allocable hereunder to the Holder holding the fewest number of Preferred Stock and any other Derivative Securities.</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shall give notice (the “</w:t>
      </w:r>
      <w:r>
        <w:rPr>
          <w:rFonts w:ascii="Times New Roman;sans-serif" w:hAnsi="Times New Roman;sans-serif"/>
          <w:b/>
          <w:color w:val="000000"/>
          <w:sz w:val="22"/>
        </w:rPr>
        <w:t>Offer Notice</w:t>
      </w:r>
      <w:r>
        <w:rPr>
          <w:color w:val="000000"/>
        </w:rPr>
        <w:t>”</w:t>
      </w:r>
      <w:r>
        <w:rPr>
          <w:rFonts w:ascii="Times New Roman;sans-serif" w:hAnsi="Times New Roman;sans-serif"/>
          <w:b w:val="false"/>
          <w:color w:val="000000"/>
          <w:sz w:val="22"/>
        </w:rPr>
        <w:t>) to each Holder, stating (i) its bona fide intention to offer such New Securities, (ii) the number of such New Securities to be offered, and (iii) the price and terms, if any, upon which it proposes to offer such New Securities.</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By notification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Offer Notice is given, each Holder may elect to purchase or otherwise acquire, at the price and on the terms specified in the Offer Notice, up to that portion of such New Securities which equals the proportion that the Common Stock then held by such Holder (including all shares of Common Stock then issuable (directly or indirectly) upon conversion and/or exercise, as applicable, of the Preferred Stock and any other Derivative Securities then held by such Holder) bears to the total Common Stock of the Company then outstanding (assuming full conversion and/or exercise, as applicable, of all Preferred Stock and other Derivative Securities). At the expiration of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period, the Company shall promptly notify each Holder that elects to purchase or acquire all the shares available to it (each, a “</w:t>
      </w:r>
      <w:r>
        <w:rPr>
          <w:rFonts w:ascii="Times New Roman;sans-serif" w:hAnsi="Times New Roman;sans-serif"/>
          <w:b/>
          <w:color w:val="000000"/>
          <w:sz w:val="22"/>
        </w:rPr>
        <w:t>Fully Exercising Holder</w:t>
      </w:r>
      <w:r>
        <w:rPr>
          <w:color w:val="000000"/>
        </w:rPr>
        <w:t>”</w:t>
      </w:r>
      <w:r>
        <w:rPr>
          <w:rFonts w:ascii="Times New Roman;sans-serif" w:hAnsi="Times New Roman;sans-serif"/>
          <w:b w:val="false"/>
          <w:color w:val="000000"/>
          <w:sz w:val="22"/>
        </w:rPr>
        <w:t xml:space="preserve">) of any other Holder’s failure to do likewise. During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commencing after the Company has given such notice, each Fully Exercising Holder may, by giving notice to the Company, elect to purchase or acquire, in addition to the number of shares specified above, up to that portion of the New Securities for which Holders were entitled to subscribe but that were not subscribed for by the Holders which is equal to the proportion that the Common Stock issued and held, or issuable (directly or indirectly) upon conversion and/or exercise, as applicable, of Preferred Stock and any other Derivative Securities then held, by such Fully Exercising Holder bears to the Common Stock issued and held, or issuable (directly or indirectly) upon conversion and/or exercise, as applicable, of the Preferred Stock and any other Derivative Securities then held, by all Fully Exercising Holders who wish to purchase such unsubscribed shares. The closing of any sale pursuant to this </w:t>
      </w:r>
      <w:r>
        <w:rPr>
          <w:rFonts w:ascii="Times New Roman;sans-serif" w:hAnsi="Times New Roman;sans-serif"/>
          <w:b w:val="false"/>
          <w:color w:val="000000"/>
          <w:sz w:val="22"/>
          <w:u w:val="single"/>
        </w:rPr>
        <w:t>Subsection 5.1(b)</w:t>
      </w:r>
      <w:r>
        <w:rPr>
          <w:color w:val="000000"/>
        </w:rPr>
        <w:t xml:space="preserve"> </w:t>
      </w:r>
      <w:r>
        <w:rPr>
          <w:rFonts w:ascii="Times New Roman;sans-serif" w:hAnsi="Times New Roman;sans-serif"/>
          <w:b w:val="false"/>
          <w:color w:val="000000"/>
          <w:sz w:val="22"/>
        </w:rPr>
        <w:t xml:space="preserve">shall occur within the later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that the Offer Notice is given and the date of initial sale of New Securities pursuant to </w:t>
      </w:r>
      <w:r>
        <w:rPr>
          <w:rFonts w:ascii="Times New Roman;sans-serif" w:hAnsi="Times New Roman;sans-serif"/>
          <w:b w:val="false"/>
          <w:color w:val="000000"/>
          <w:sz w:val="22"/>
          <w:u w:val="single"/>
        </w:rPr>
        <w:t>Subsection 5.1(c)</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If all New Securities referred to in the Offer Notice are not elected to be purchased or acquired as provided in </w:t>
      </w:r>
      <w:r>
        <w:rPr>
          <w:rFonts w:ascii="Times New Roman;sans-serif" w:hAnsi="Times New Roman;sans-serif"/>
          <w:b w:val="false"/>
          <w:color w:val="000000"/>
          <w:sz w:val="22"/>
          <w:u w:val="single"/>
        </w:rPr>
        <w:t>Subsection 5.1(b)</w:t>
      </w:r>
      <w:r>
        <w:rPr>
          <w:rFonts w:ascii="Times New Roman;sans-serif" w:hAnsi="Times New Roman;sans-serif"/>
          <w:b w:val="false"/>
          <w:color w:val="000000"/>
          <w:sz w:val="22"/>
        </w:rPr>
        <w:t xml:space="preserve">, the Company may, during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following the expiration of the periods provided in </w:t>
      </w:r>
      <w:r>
        <w:rPr>
          <w:rFonts w:ascii="Times New Roman;sans-serif" w:hAnsi="Times New Roman;sans-serif"/>
          <w:b w:val="false"/>
          <w:color w:val="000000"/>
          <w:sz w:val="22"/>
          <w:u w:val="single"/>
        </w:rPr>
        <w:t>Subsection 5.1(b)</w:t>
      </w:r>
      <w:r>
        <w:rPr>
          <w:rFonts w:ascii="Times New Roman;sans-serif" w:hAnsi="Times New Roman;sans-serif"/>
          <w:b w:val="false"/>
          <w:color w:val="000000"/>
          <w:sz w:val="22"/>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execution thereof, the right provided hereunder shall be deemed to be revived and such New Securities shall not be offered unless first reoffered to the Holder s in accordance with this </w:t>
      </w:r>
      <w:r>
        <w:rPr>
          <w:rFonts w:ascii="Times New Roman;sans-serif" w:hAnsi="Times New Roman;sans-serif"/>
          <w:b w:val="false"/>
          <w:color w:val="000000"/>
          <w:sz w:val="22"/>
          <w:u w:val="single"/>
        </w:rPr>
        <w:t>Subsection 5.1</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right of first offer in this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shall not be applicable to (i) Exempted Securities (as defined in the Restated Certificate); (ii) shares of Common Stock issued in the IPO; and (iii) the issuance of Notes pursuant to the Purchase Agreement.</w:t>
      </w:r>
      <w:r>
        <w:br w:type="page"/>
      </w:r>
    </w:p>
    <w:p>
      <w:pPr>
        <w:pStyle w:val="TextBody"/>
        <w:spacing w:before="0" w:after="0"/>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887095"/>
                <wp:effectExtent l="0" t="0" r="0" b="0"/>
                <wp:wrapNone/>
                <wp:docPr id="314" name="Frame313"/>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xml:space="preserve">. The covenants set forth in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shall terminate and be of no further force or effect (i) immediately before the consummation of the IPO, (ii) when the Company first becomes subject to the periodic reporting requirements of Section 12(g) or 15(d) of the Exchange Act, or (iii) upon a distribution of the proceeds of a Deemed Liquidation Event, as such term is defined in the Restated Certificate, whichever event occurs first.</w:t>
      </w:r>
    </w:p>
    <w:p>
      <w:pPr>
        <w:pStyle w:val="TextBody"/>
        <w:spacing w:lineRule="auto" w:line="240" w:before="0" w:after="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Additional Covenants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If the Board deems it appropriate, the Company shall use its commercially reasonable efforts to maintain, from financially sound and reputable insurers, Directors and Officers liability insurance and term “key-person” insurance on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in an amount and on terms and conditions satisfactory to the Board, until such time as the Board determines that such insurance should be discontinued. The key-person policy shall name the Company as loss payee, and neither policy shall be cancelable by the Company without prior approval by the Board.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Employee Agreements</w:t>
      </w:r>
      <w:r>
        <w:rPr>
          <w:rFonts w:ascii="Times New Roman;sans-serif" w:hAnsi="Times New Roman;sans-serif"/>
          <w:b w:val="false"/>
          <w:color w:val="000000"/>
          <w:sz w:val="22"/>
        </w:rPr>
        <w:t xml:space="preserve">.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the form attached hereto as Exhibit A. The Company shall cause each grant of equity securities to its employees to be subject to (i) vesting of shares over a four (4) year period, with the first twenty-five percent (25%) of such shares vesting following twelve (12) months of continued employment or service, and the remaining shares vesting in equal monthly installments over the following thirty-six (36) months, subject to acceleration provisions and/or alternative vesting schedules approved by the Board, and (ii) a market stand-off provision substantially similar to that in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Without the prior approval by the Board,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 In addition, unless otherwise approved by the Board, the Company (x) shall not offer or allow any acceleration of vesting, and (y) shall retain (and not waive) a “right of first refusal” on employee transfers until the Company’s IPO and shall have the right to repurchase unvested shares at cost upon termination of employment of a holder of restricted stock (if any).</w:t>
      </w:r>
    </w:p>
    <w:p>
      <w:pPr>
        <w:pStyle w:val="TextBody"/>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Board Matters</w:t>
      </w:r>
      <w:r>
        <w:rPr>
          <w:rFonts w:ascii="Times New Roman;sans-serif" w:hAnsi="Times New Roman;sans-serif"/>
          <w:b w:val="false"/>
          <w:color w:val="000000"/>
          <w:sz w:val="22"/>
        </w:rPr>
        <w:t>. The Company shall reimburse the nonemployee directors for all reasonable out-of-pocket travel expenses incurred (consistent with the Company’s travel policy) in connection with attending meetings of the Board (or any applicable committee thereof). Each Preferred Director shall be entitled in such person’s discretion to be a member of any committee of the Board other than committees constituted under criteria of independence or disinterestedness unmet by such Preferred Director.</w:t>
      </w:r>
    </w:p>
    <w:p>
      <w:pPr>
        <w:pStyle w:val="TextBody"/>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Expenses of Counsel</w:t>
      </w:r>
      <w:r>
        <w:rPr>
          <w:rFonts w:ascii="Times New Roman;sans-serif" w:hAnsi="Times New Roman;sans-serif"/>
          <w:b w:val="false"/>
          <w:color w:val="000000"/>
          <w:sz w:val="22"/>
        </w:rPr>
        <w:t>. In the event of a transaction which is a Sale Transaction (as defined in the Note), the reasonable fees and disbursements, not to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of one counsel for some or all of the Lead Investors (“</w:t>
      </w:r>
      <w:r>
        <w:rPr>
          <w:rFonts w:ascii="Times New Roman;sans-serif" w:hAnsi="Times New Roman;sans-serif"/>
          <w:b/>
          <w:color w:val="000000"/>
          <w:sz w:val="22"/>
        </w:rPr>
        <w:t>Investor Counsel</w:t>
      </w:r>
      <w:r>
        <w:rPr>
          <w:color w:val="000000"/>
        </w:rPr>
        <w:t>”</w:t>
      </w:r>
      <w:r>
        <w:rPr>
          <w:rFonts w:ascii="Times New Roman;sans-serif" w:hAnsi="Times New Roman;sans-serif"/>
          <w:b w:val="false"/>
          <w:color w:val="000000"/>
          <w:sz w:val="22"/>
        </w:rPr>
        <w:t xml:space="preserve">), in their capacities as stockholders and/or noteholders (as applicable), shall be borne and paid by the Company. At the outset of considering a transaction which, if consummated would constitute a Sale Transaction,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Transaction. The Company shall be obligated to share (and cause the Company’s counsel and investment bankers to share) such materials when distributed to the Company’s executives and/or any one (1) or more of the other parties to such transaction(s). In the event that Investor Counsel deems it appropriate, in its reasonable discretion, to enter into a joint defense (or common interest)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w:t>
      </w:r>
      <w:r>
        <w:br w:type="page"/>
      </w:r>
    </w:p>
    <w:p>
      <w:pPr>
        <w:pStyle w:val="TextBody"/>
        <w:spacing w:before="0" w:after="0"/>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887095"/>
                <wp:effectExtent l="0" t="0" r="0" b="0"/>
                <wp:wrapNone/>
                <wp:docPr id="315" name="Frame314"/>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 Counsel and the Company’s counsel. In the event that one (1) or more of the other party or parties to such transactions require the clients of Investor Counsel to enter into a confidentiality agreement and/or joint defense (or common interest)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pStyle w:val="TextBody"/>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Indemnification Matters</w:t>
      </w:r>
      <w:r>
        <w:rPr>
          <w:rFonts w:ascii="Times New Roman;sans-serif" w:hAnsi="Times New Roman;sans-serif"/>
          <w:b w:val="false"/>
          <w:color w:val="000000"/>
          <w:sz w:val="22"/>
        </w:rPr>
        <w:t>. The Company hereby acknowledges that one or more of the Preferred Directors nominated to serve on the Board by (or with the participation of) one or more Investors may have certain rights to indemnification, advancement of expenses and/or insurance provided by one or more of the Lead Investors and certain of their Affiliates (collectively, the “</w:t>
      </w:r>
      <w:r>
        <w:rPr>
          <w:rFonts w:ascii="Times New Roman;sans-serif" w:hAnsi="Times New Roman;sans-serif"/>
          <w:b/>
          <w:color w:val="000000"/>
          <w:sz w:val="22"/>
        </w:rPr>
        <w:t>Investor Indemnitors</w:t>
      </w:r>
      <w:r>
        <w:rPr>
          <w:color w:val="000000"/>
        </w:rPr>
        <w:t>”</w:t>
      </w:r>
      <w:r>
        <w:rPr>
          <w:rFonts w:ascii="Times New Roman;sans-serif" w:hAnsi="Times New Roman;sans-serif"/>
          <w:b w:val="false"/>
          <w:color w:val="000000"/>
          <w:sz w:val="22"/>
        </w:rPr>
        <w:t>). The Company hereby agrees (a) that it is the indemnitor of first resort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its obligations 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Restated Certificate or the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w:t>
      </w:r>
      <w:r>
        <w:rPr>
          <w:rFonts w:ascii="Times New Roman;sans-serif" w:hAnsi="Times New Roman;sans-serif"/>
          <w:b w:val="false"/>
          <w:color w:val="000000"/>
          <w:sz w:val="22"/>
          <w:u w:val="single"/>
        </w:rPr>
        <w:t>Section 6.5</w:t>
      </w:r>
      <w:r>
        <w:rPr>
          <w:color w:val="000000"/>
        </w:rPr>
        <w:t xml:space="preserve"> </w:t>
      </w:r>
      <w:r>
        <w:rPr>
          <w:rFonts w:ascii="Times New Roman;sans-serif" w:hAnsi="Times New Roman;sans-serif"/>
          <w:b w:val="false"/>
          <w:color w:val="000000"/>
          <w:sz w:val="22"/>
        </w:rPr>
        <w:t xml:space="preserve">and shall have the right, power and authority to enforce the provisions of this </w:t>
      </w:r>
      <w:r>
        <w:rPr>
          <w:rFonts w:ascii="Times New Roman;sans-serif" w:hAnsi="Times New Roman;sans-serif"/>
          <w:b w:val="false"/>
          <w:color w:val="000000"/>
          <w:sz w:val="22"/>
          <w:u w:val="single"/>
        </w:rPr>
        <w:t>Section 6.5</w:t>
      </w:r>
      <w:r>
        <w:rPr>
          <w:color w:val="000000"/>
        </w:rPr>
        <w:t xml:space="preserve"> </w:t>
      </w:r>
      <w:r>
        <w:rPr>
          <w:rFonts w:ascii="Times New Roman;sans-serif" w:hAnsi="Times New Roman;sans-serif"/>
          <w:b w:val="false"/>
          <w:color w:val="000000"/>
          <w:sz w:val="22"/>
        </w:rPr>
        <w:t>as though they were a party to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Successor Indemnification</w:t>
      </w:r>
      <w:r>
        <w:rPr>
          <w:rFonts w:ascii="Times New Roman;sans-serif" w:hAnsi="Times New Roman;sans-serif"/>
          <w:b w:val="false"/>
          <w:color w:val="000000"/>
          <w:sz w:val="22"/>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Restated Certificate, or elsewhere, as the case may be.</w:t>
      </w:r>
    </w:p>
    <w:p>
      <w:pPr>
        <w:pStyle w:val="TextBody"/>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Right to Conduct Activities</w:t>
      </w:r>
      <w:r>
        <w:rPr>
          <w:rFonts w:ascii="Times New Roman;sans-serif" w:hAnsi="Times New Roman;sans-serif"/>
          <w:b w:val="false"/>
          <w:color w:val="000000"/>
          <w:sz w:val="22"/>
        </w:rPr>
        <w:t xml:space="preser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FCPA</w:t>
      </w:r>
      <w:r>
        <w:rPr>
          <w:rFonts w:ascii="Times New Roman;sans-serif" w:hAnsi="Times New Roman;sans-serif"/>
          <w:b w:val="false"/>
          <w:color w:val="000000"/>
          <w:sz w:val="22"/>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sans-serif" w:hAnsi="Times New Roman;sans-serif"/>
          <w:b/>
          <w:color w:val="000000"/>
          <w:sz w:val="22"/>
        </w:rPr>
        <w:t>FCPA</w:t>
      </w:r>
      <w:r>
        <w:rPr>
          <w:color w:val="000000"/>
        </w:rPr>
        <w:t>”</w:t>
      </w:r>
      <w:r>
        <w:rPr>
          <w:rFonts w:ascii="Times New Roman;sans-serif" w:hAnsi="Times New Roman;sans-serif"/>
          <w:b w:val="false"/>
          <w:color w:val="000000"/>
          <w:sz w:val="22"/>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Upon request, the Company agrees to provide responsive information and/or certifications concerning its compliance with applicable anti-corruption laws. The Company shall promptly notify each Holder if the Company becomes aware of any Enforcement Action (as defined in the Purchase Agreement). The Company shall, and shall cause any direct or indirect subsidiary or entity controlled by it, whether now in existence or formed in the future, to comply with the FCPA.</w:t>
      </w:r>
      <w:r>
        <w:br w:type="page"/>
      </w:r>
    </w:p>
    <w:p>
      <w:pPr>
        <w:pStyle w:val="TextBody"/>
        <w:spacing w:before="0" w:after="0"/>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887095"/>
                <wp:effectExtent l="0" t="0" r="0" b="0"/>
                <wp:wrapNone/>
                <wp:docPr id="316" name="Frame315"/>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rPr>
        <w:t>Stock Plan Amendments. At each of the closings following the Initial Closing pursuant to the Purchase Agreement, the aggregate number of shares of Common Stock reserved for issuance under the 2020 Employee, Director and Consultant Equity Incentive Plan, as amended (the “Plan”), shall be proportionally increased above 2,981,823 shares (subject to appropriate adjustment for stock splits, stock dividends, combinations, and other recapitalizations) based on the principal amount of the Notes to be issued and sold at the applicable closing, up to 4,576,988 shares (subject to appropriate adjustment for stock splits, stock dividends, combinations, and other recapitalizations) for all closings (including the Initial Closing) in the aggregate so that the number of shares of Common Stock reserved for issuance at each Closing equals (and in no event shall exceed) 14% of the fully diluted capitalization. The Company shall not create, adopt, amend, terminate or repeal the Plan or any other equity (or equity-linked) compensation plan (except for immaterial amendments without dilutive or other economic effect that are approved by the Board) without the prior written consent of the holders of a majority in voting power of the Company’s outstanding preferred stock and common stock, voting together as a single class.</w:t>
      </w:r>
    </w:p>
    <w:p>
      <w:pPr>
        <w:pStyle w:val="TextBody"/>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Termination of Covenants</w:t>
      </w:r>
      <w:r>
        <w:rPr>
          <w:rFonts w:ascii="Times New Roman;sans-serif" w:hAnsi="Times New Roman;sans-serif"/>
          <w:b w:val="false"/>
          <w:color w:val="000000"/>
          <w:sz w:val="22"/>
        </w:rPr>
        <w:t xml:space="preserve">. The covenants set forth in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except for </w:t>
      </w:r>
      <w:r>
        <w:rPr>
          <w:rFonts w:ascii="Times New Roman;sans-serif" w:hAnsi="Times New Roman;sans-serif"/>
          <w:b w:val="false"/>
          <w:color w:val="000000"/>
          <w:sz w:val="22"/>
          <w:u w:val="single"/>
        </w:rPr>
        <w:t>Subsection 6.4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6.7</w:t>
      </w:r>
      <w:r>
        <w:rPr>
          <w:rFonts w:ascii="Times New Roman;sans-serif" w:hAnsi="Times New Roman;sans-serif"/>
          <w:b w:val="false"/>
          <w:color w:val="000000"/>
          <w:sz w:val="22"/>
        </w:rPr>
        <w:t>, shall terminate and be of no further force or effect (i) immediately before the consummation of the IPO, (ii) when the Company first becomes subject to the periodic reporting requirements of Section 12(g) or 15(d) of the Exchange Act, or (iii) upon a distribution of the proceeds of a Deemed Liquidation Event, as such term is defined in the Restated Certificate, whichever event occurs first.</w:t>
      </w:r>
    </w:p>
    <w:p>
      <w:pPr>
        <w:pStyle w:val="TextBody"/>
        <w:spacing w:lineRule="auto" w:line="240" w:before="0" w:after="24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Vote to Increase Authorized Common Stock</w:t>
      </w:r>
      <w:r>
        <w:rPr>
          <w:rFonts w:ascii="Times New Roman;sans-serif" w:hAnsi="Times New Roman;sans-serif"/>
          <w:b w:val="false"/>
          <w:color w:val="000000"/>
          <w:sz w:val="22"/>
        </w:rPr>
        <w:t>. Each Investor agrees to vote or cause to be voted all Shares owned by such Investor, or over which such Investor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(or that would be outstanding upon conversion of the Notes) at any given time.</w:t>
      </w:r>
    </w:p>
    <w:p>
      <w:pPr>
        <w:pStyle w:val="TextBody"/>
        <w:spacing w:lineRule="auto" w:line="240" w:before="0" w:after="24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Drag-Along Right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Actions to be Taken</w:t>
      </w:r>
      <w:r>
        <w:rPr>
          <w:rFonts w:ascii="Times New Roman;sans-serif" w:hAnsi="Times New Roman;sans-serif"/>
          <w:b w:val="false"/>
          <w:color w:val="000000"/>
          <w:sz w:val="22"/>
        </w:rPr>
        <w:t>. In the event that (i) the Lead Investor Majority (the “</w:t>
      </w:r>
      <w:r>
        <w:rPr>
          <w:rFonts w:ascii="Times New Roman;sans-serif" w:hAnsi="Times New Roman;sans-serif"/>
          <w:b/>
          <w:color w:val="000000"/>
          <w:sz w:val="22"/>
        </w:rPr>
        <w:t>Selling Investors</w:t>
      </w:r>
      <w:r>
        <w:rPr>
          <w:color w:val="000000"/>
        </w:rPr>
        <w:t>”</w:t>
      </w:r>
      <w:r>
        <w:rPr>
          <w:rFonts w:ascii="Times New Roman;sans-serif" w:hAnsi="Times New Roman;sans-serif"/>
          <w:b w:val="false"/>
          <w:color w:val="000000"/>
          <w:sz w:val="22"/>
        </w:rPr>
        <w:t xml:space="preserve">) and (ii) the Board approve a Sale Transaction (which approval of the Selling Investors must be in writing), specifying that this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shall apply to such transaction, then, subject to satisfaction of each of the conditions set forth in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below, each Stockholder and the Company hereby agree:</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highlight w:val="white"/>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Transaction and to vote in opposition to any and all other proposals that could reasonably be expected to delay or impair the ability of the Company to consummate such Sale Transaction;</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highlight w:val="white"/>
        </w:rPr>
        <w:t>if such transaction is a transaction or series of related transactions in which a Person, or a group of related Persons, acquires from stockholders of the Company shares representing more than fifty percent (50%) of the outstanding voting power of the Company (collectively, a “</w:t>
      </w:r>
      <w:r>
        <w:rPr>
          <w:rFonts w:ascii="Times New Roman;sans-serif" w:hAnsi="Times New Roman;sans-serif"/>
          <w:b/>
          <w:color w:val="000000"/>
          <w:sz w:val="22"/>
          <w:highlight w:val="white"/>
        </w:rPr>
        <w:t>Stock Sale</w:t>
      </w:r>
      <w:r>
        <w:rPr>
          <w:color w:val="000000"/>
          <w:highlight w:val="white"/>
        </w:rPr>
        <w:t>”</w:t>
      </w:r>
      <w:r>
        <w:rPr>
          <w:rFonts w:ascii="Times New Roman;sans-serif" w:hAnsi="Times New Roman;sans-serif"/>
          <w:b w:val="false"/>
          <w:color w:val="000000"/>
          <w:sz w:val="22"/>
          <w:highlight w:val="white"/>
        </w:rPr>
        <w:t xml:space="preserv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Times New Roman;sans-serif" w:hAnsi="Times New Roman;sans-serif"/>
          <w:b w:val="false"/>
          <w:color w:val="000000"/>
          <w:sz w:val="22"/>
          <w:highlight w:val="white"/>
          <w:u w:val="single"/>
        </w:rPr>
        <w:t>Section 8.2</w:t>
      </w:r>
      <w:r>
        <w:rPr>
          <w:color w:val="000000"/>
          <w:highlight w:val="white"/>
        </w:rPr>
        <w:t xml:space="preserve"> </w:t>
      </w:r>
      <w:r>
        <w:rPr>
          <w:rFonts w:ascii="Times New Roman;sans-serif" w:hAnsi="Times New Roman;sans-serif"/>
          <w:b w:val="false"/>
          <w:color w:val="000000"/>
          <w:sz w:val="22"/>
          <w:highlight w:val="white"/>
        </w:rPr>
        <w:t>below, on the same terms and conditions as the other stockholders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highlight w:val="white"/>
        </w:rPr>
        <w:t xml:space="preserve">to execute and deliver all related documentation and take such other action in support of the Sale Transaction as shall reasonably be requested by the Company or the Selling Investors in order to carry out the terms and provision of this </w:t>
      </w:r>
      <w:r>
        <w:rPr>
          <w:rFonts w:ascii="Times New Roman;sans-serif" w:hAnsi="Times New Roman;sans-serif"/>
          <w:b w:val="false"/>
          <w:color w:val="000000"/>
          <w:sz w:val="22"/>
          <w:highlight w:val="white"/>
          <w:u w:val="single"/>
        </w:rPr>
        <w:t>Section 8</w:t>
      </w:r>
      <w:r>
        <w:rPr>
          <w:rFonts w:ascii="Times New Roman;sans-serif" w:hAnsi="Times New Roman;sans-serif"/>
          <w:b w:val="false"/>
          <w:color w:val="000000"/>
          <w:sz w:val="22"/>
          <w:highlight w:val="white"/>
        </w:rPr>
        <w:t xml:space="preserve">, including, without limitation, executing and delivering instruments of conveyance and transfer, and any purchase agreement, merger agreement, any associated indemnity agreement, or escrow agreement, any associated voting, support, or </w:t>
      </w:r>
      <w:r>
        <w:br w:type="page"/>
      </w:r>
    </w:p>
    <w:p>
      <w:pPr>
        <w:pStyle w:val="TextBody"/>
        <w:spacing w:before="0" w:after="0"/>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887095"/>
                <wp:effectExtent l="0" t="0" r="0" b="0"/>
                <wp:wrapNone/>
                <wp:docPr id="317" name="Frame316"/>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joinder agreement, consent, waiver, governmental filing, share certificates duly endorsed for transfer (free and clear of impermissible liens, claims and encumbrances), and any similar or related documents; </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highlight w:val="white"/>
        </w:rPr>
        <w:t xml:space="preserve">not to deposit, and to cause their Affiliates not to deposit, except as provided in this Agreement, any Shares owned by such party or Affiliate in a voting trust or subject any Shares to any arrangement or agreement with respect to the voting of such Shares, unless specifically requested to do so by the acquirer in connection with the Sale Transaction; </w:t>
      </w:r>
    </w:p>
    <w:p>
      <w:pPr>
        <w:pStyle w:val="TextBody"/>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highlight w:val="white"/>
        </w:rPr>
        <w:t>to refrain from (i) exercising any dissenters’ rights or rights of appraisal under applicable law at any time with respect to such Sale of the Company, or (ii) asserting any claim or commencing any suit (x) challenging the Sale Transaction or this Agreement, or (y) alleging a breach of any fiduciary duty of the Selling Investors or any affiliate or associate thereof (including, without limitation, aiding and abetting breach of fiduciary duty) in connection with the evaluation, negotiation or entry into the Sale Transaction, or the consummation of the transactions contemplated thereby;</w:t>
      </w:r>
    </w:p>
    <w:p>
      <w:pPr>
        <w:pStyle w:val="TextBody"/>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highlight w:val="white"/>
        </w:rPr>
        <w:t xml:space="preserve">if the consideration to be paid in exchange for the Shares pursuant to this </w:t>
      </w:r>
      <w:r>
        <w:rPr>
          <w:rFonts w:ascii="Times New Roman;sans-serif" w:hAnsi="Times New Roman;sans-serif"/>
          <w:b w:val="false"/>
          <w:color w:val="000000"/>
          <w:sz w:val="22"/>
          <w:highlight w:val="white"/>
          <w:u w:val="single"/>
        </w:rPr>
        <w:t>Section 8</w:t>
      </w:r>
      <w:r>
        <w:rPr>
          <w:color w:val="000000"/>
          <w:highlight w:val="white"/>
        </w:rPr>
        <w:t xml:space="preserve"> </w:t>
      </w:r>
      <w:r>
        <w:rPr>
          <w:rFonts w:ascii="Times New Roman;sans-serif" w:hAnsi="Times New Roman;sans-serif"/>
          <w:b w:val="false"/>
          <w:color w:val="000000"/>
          <w:sz w:val="22"/>
          <w:highlight w:val="white"/>
        </w:rPr>
        <w:t>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and</w:t>
      </w:r>
    </w:p>
    <w:p>
      <w:pPr>
        <w:pStyle w:val="TextBody"/>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highlight w:val="white"/>
        </w:rPr>
        <w:t>in the event that the Selling Investors, in connection with such Sale Transaction, appoint a stockholder representative (the “</w:t>
      </w:r>
      <w:r>
        <w:rPr>
          <w:rFonts w:ascii="Times New Roman;sans-serif" w:hAnsi="Times New Roman;sans-serif"/>
          <w:b/>
          <w:color w:val="000000"/>
          <w:sz w:val="22"/>
          <w:highlight w:val="white"/>
        </w:rPr>
        <w:t>Stockholder Representative</w:t>
      </w:r>
      <w:r>
        <w:rPr>
          <w:color w:val="000000"/>
          <w:highlight w:val="white"/>
        </w:rPr>
        <w:t>”</w:t>
      </w:r>
      <w:r>
        <w:rPr>
          <w:rFonts w:ascii="Times New Roman;sans-serif" w:hAnsi="Times New Roman;sans-serif"/>
          <w:b w:val="false"/>
          <w:color w:val="000000"/>
          <w:sz w:val="22"/>
          <w:highlight w:val="white"/>
        </w:rPr>
        <w:t>) with respect to matters affecting the Stockholder under the applicable definitive transaction agreements following consummation of such Sale Transaction,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Transaction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within the scope of the Stockholder Representative’s authority, in connection with its service as the Stockholder Representative, absent fraud, bad faith, gross negligence or willful misconduct.</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Conditions</w:t>
      </w:r>
      <w:r>
        <w:rPr>
          <w:rFonts w:ascii="Times New Roman;sans-serif" w:hAnsi="Times New Roman;sans-serif"/>
          <w:b w:val="false"/>
          <w:color w:val="000000"/>
          <w:sz w:val="22"/>
        </w:rPr>
        <w:t xml:space="preserve">. Notwithstanding anything to the contrary set forth herein, a Stockholder will not be required to comply with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above in connection with any proposed Sale Transaction (the “</w:t>
      </w:r>
      <w:r>
        <w:rPr>
          <w:rFonts w:ascii="Times New Roman;sans-serif" w:hAnsi="Times New Roman;sans-serif"/>
          <w:b/>
          <w:color w:val="000000"/>
          <w:sz w:val="22"/>
        </w:rPr>
        <w:t>Proposed Sale</w:t>
      </w:r>
      <w:r>
        <w:rPr>
          <w:color w:val="000000"/>
        </w:rPr>
        <w:t>”</w:t>
      </w:r>
      <w:r>
        <w:rPr>
          <w:rFonts w:ascii="Times New Roman;sans-serif" w:hAnsi="Times New Roman;sans-serif"/>
          <w:b w:val="false"/>
          <w:color w:val="000000"/>
          <w:sz w:val="22"/>
        </w:rPr>
        <w:t>), unless:</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highlight w:val="white"/>
        </w:rPr>
        <w:t xml:space="preserve">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(subject to customary limitations) against the Stockholder in accordance with their respective terms; and (iv) neither the execution and delivery of documents to be entered into by the Stockholder in connection with the transaction, nor the performance of the Stockholder obligations thereunder, will cause </w:t>
      </w:r>
      <w:r>
        <w:br w:type="page"/>
      </w:r>
    </w:p>
    <w:p>
      <w:pPr>
        <w:pStyle w:val="TextBody"/>
        <w:spacing w:before="0" w:after="0"/>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887095"/>
                <wp:effectExtent l="0" t="0" r="0" b="0"/>
                <wp:wrapNone/>
                <wp:docPr id="318" name="Frame317"/>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breach or violation of the terms of any agreement to which the Stockholder is a party, or any law or judgment, order or decree of any court or governmental agency that applies to the Stockholder;</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highlight w:val="white"/>
        </w:rPr>
        <w:t>such Stockholder is not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 or any release of claims other than a release in customary form of claims arising solely in such Stockholder’s capacity as a stockholder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highlight w:val="white"/>
        </w:rPr>
        <w:t>such Stockholder and its Affiliates are not required to amend, extend or terminate any contractual or other relationship with the Company, the acquirer or their respective Affiliates, except that the Stockholder may be required to agree to terminate the investment-related documents between or among such Stockholder, the Company and/or other stockholders of the Company;</w:t>
      </w:r>
    </w:p>
    <w:p>
      <w:pPr>
        <w:pStyle w:val="TextBody"/>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highlight w:val="white"/>
        </w:rPr>
        <w:t>the Stockholder is not liable for the breach of any representation, warranty or covenant made by any other Person in connection with the Proposed Sale, other than the Company (except to the extent that funds may be paid out of an escrow established to cover breach of representations, warranties and covenants of the Company as well as breach by any stockholder of any of identical representations, warranties and covenants provided by all stockholders);</w:t>
      </w:r>
    </w:p>
    <w:p>
      <w:pPr>
        <w:pStyle w:val="TextBody"/>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highlight w:val="white"/>
        </w:rPr>
        <w:t>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pStyle w:val="TextBody"/>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highlight w:val="white"/>
        </w:rPr>
        <w:t xml:space="preserve">upon the consummation of the Proposed Sale (i) each holder of each class or series of the capital stock of the Company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waived pursuant to the terms of the Restated Certificate and as may be required by law,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Restated Certificate in effect immediately prior to the Proposed Sale; </w:t>
      </w:r>
      <w:r>
        <w:rPr>
          <w:rFonts w:ascii="Times New Roman;sans-serif" w:hAnsi="Times New Roman;sans-serif"/>
          <w:b w:val="false"/>
          <w:color w:val="000000"/>
          <w:sz w:val="22"/>
          <w:highlight w:val="white"/>
          <w:u w:val="single"/>
        </w:rPr>
        <w:t>provided</w:t>
      </w:r>
      <w:r>
        <w:rPr>
          <w:rFonts w:ascii="Times New Roman;sans-serif" w:hAnsi="Times New Roman;sans-serif"/>
          <w:b w:val="false"/>
          <w:i/>
          <w:color w:val="000000"/>
          <w:sz w:val="22"/>
          <w:highlight w:val="white"/>
        </w:rPr>
        <w:t xml:space="preserve">, </w:t>
      </w:r>
      <w:r>
        <w:rPr>
          <w:rFonts w:ascii="Times New Roman;sans-serif" w:hAnsi="Times New Roman;sans-serif"/>
          <w:b w:val="false"/>
          <w:color w:val="000000"/>
          <w:sz w:val="22"/>
          <w:highlight w:val="white"/>
          <w:u w:val="single"/>
        </w:rPr>
        <w:t>however</w:t>
      </w:r>
      <w:r>
        <w:rPr>
          <w:rFonts w:ascii="Times New Roman;sans-serif" w:hAnsi="Times New Roman;sans-serif"/>
          <w:b w:val="false"/>
          <w:i/>
          <w:color w:val="000000"/>
          <w:sz w:val="22"/>
          <w:highlight w:val="white"/>
        </w:rPr>
        <w:t>,</w:t>
      </w:r>
      <w:r>
        <w:rPr>
          <w:color w:val="000000"/>
          <w:highlight w:val="white"/>
        </w:rPr>
        <w:t xml:space="preserve"> </w:t>
      </w:r>
      <w:r>
        <w:rPr>
          <w:rFonts w:ascii="Times New Roman;sans-serif" w:hAnsi="Times New Roman;sans-serif"/>
          <w:b w:val="false"/>
          <w:color w:val="000000"/>
          <w:sz w:val="22"/>
          <w:highlight w:val="white"/>
        </w:rPr>
        <w:t xml:space="preserve">that, notwithstanding the foregoing provisions of this </w:t>
      </w:r>
      <w:r>
        <w:rPr>
          <w:rFonts w:ascii="Times New Roman;sans-serif" w:hAnsi="Times New Roman;sans-serif"/>
          <w:b w:val="false"/>
          <w:color w:val="000000"/>
          <w:sz w:val="22"/>
          <w:highlight w:val="white"/>
          <w:u w:val="single"/>
        </w:rPr>
        <w:t>Section 8.2(f)</w:t>
      </w:r>
      <w:r>
        <w:rPr>
          <w:rFonts w:ascii="Times New Roman;sans-serif" w:hAnsi="Times New Roman;sans-serif"/>
          <w:b w:val="false"/>
          <w:color w:val="000000"/>
          <w:sz w:val="22"/>
          <w:highlight w:val="white"/>
        </w:rPr>
        <w:t xml:space="preserve">, if the consideration to be paid in exchange for the Shares held by a Stockholder pursuant to this </w:t>
      </w:r>
      <w:r>
        <w:rPr>
          <w:rFonts w:ascii="Times New Roman;sans-serif" w:hAnsi="Times New Roman;sans-serif"/>
          <w:b w:val="false"/>
          <w:color w:val="000000"/>
          <w:sz w:val="22"/>
          <w:highlight w:val="white"/>
          <w:u w:val="single"/>
        </w:rPr>
        <w:t>Section 8.2(f)</w:t>
      </w:r>
      <w:r>
        <w:rPr>
          <w:color w:val="000000"/>
          <w:highlight w:val="white"/>
        </w:rPr>
        <w:t xml:space="preserve"> </w:t>
      </w:r>
      <w:r>
        <w:rPr>
          <w:rFonts w:ascii="Times New Roman;sans-serif" w:hAnsi="Times New Roman;sans-serif"/>
          <w:b w:val="false"/>
          <w:color w:val="000000"/>
          <w:sz w:val="22"/>
          <w:highlight w:val="white"/>
        </w:rPr>
        <w:t>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held by the Stockholder,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held by the Stockholder; and</w:t>
      </w:r>
    </w:p>
    <w:p>
      <w:pPr>
        <w:pStyle w:val="TextBody"/>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highlight w:val="white"/>
        </w:rPr>
        <w:t xml:space="preserve">subject to </w:t>
      </w:r>
      <w:r>
        <w:rPr>
          <w:rFonts w:ascii="Times New Roman;sans-serif" w:hAnsi="Times New Roman;sans-serif"/>
          <w:b w:val="false"/>
          <w:color w:val="000000"/>
          <w:sz w:val="22"/>
          <w:highlight w:val="white"/>
          <w:u w:val="single"/>
        </w:rPr>
        <w:t>clause (f)</w:t>
      </w:r>
      <w:r>
        <w:rPr>
          <w:color w:val="000000"/>
          <w:highlight w:val="white"/>
        </w:rPr>
        <w:t xml:space="preserve"> </w:t>
      </w:r>
      <w:r>
        <w:rPr>
          <w:rFonts w:ascii="Times New Roman;sans-serif" w:hAnsi="Times New Roman;sans-serif"/>
          <w:b w:val="false"/>
          <w:color w:val="000000"/>
          <w:sz w:val="22"/>
          <w:highlight w:val="white"/>
        </w:rPr>
        <w:t xml:space="preserve">above requiring the same form of consideration to be available to the holders of any single class or series of capital stock, if any holders of any capital stock of </w:t>
      </w:r>
      <w:r>
        <w:br w:type="page"/>
      </w:r>
    </w:p>
    <w:p>
      <w:pPr>
        <w:pStyle w:val="TextBody"/>
        <w:spacing w:before="0" w:after="0"/>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887095"/>
                <wp:effectExtent l="0" t="0" r="0" b="0"/>
                <wp:wrapNone/>
                <wp:docPr id="319" name="Frame318"/>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highlight w:val="white"/>
        </w:rPr>
        <w:t xml:space="preserve">the Company are given an option as to the form and amount of consideration to be received as a result of the Proposed Sale, all holders of such capital stock will be given the same option; </w:t>
      </w:r>
      <w:r>
        <w:rPr>
          <w:rFonts w:ascii="Times New Roman;sans-serif" w:hAnsi="Times New Roman;sans-serif"/>
          <w:b w:val="false"/>
          <w:color w:val="000000"/>
          <w:sz w:val="22"/>
          <w:highlight w:val="white"/>
          <w:u w:val="single"/>
        </w:rPr>
        <w:t>provided</w:t>
      </w:r>
      <w:r>
        <w:rPr>
          <w:rFonts w:ascii="Times New Roman;sans-serif" w:hAnsi="Times New Roman;sans-serif"/>
          <w:b w:val="false"/>
          <w:i/>
          <w:color w:val="000000"/>
          <w:sz w:val="22"/>
          <w:highlight w:val="white"/>
        </w:rPr>
        <w:t xml:space="preserve">, </w:t>
      </w:r>
      <w:r>
        <w:rPr>
          <w:rFonts w:ascii="Times New Roman;sans-serif" w:hAnsi="Times New Roman;sans-serif"/>
          <w:b w:val="false"/>
          <w:color w:val="000000"/>
          <w:sz w:val="22"/>
          <w:highlight w:val="white"/>
          <w:u w:val="single"/>
        </w:rPr>
        <w:t>however</w:t>
      </w:r>
      <w:r>
        <w:rPr>
          <w:rFonts w:ascii="Times New Roman;sans-serif" w:hAnsi="Times New Roman;sans-serif"/>
          <w:b w:val="false"/>
          <w:color w:val="000000"/>
          <w:sz w:val="22"/>
          <w:highlight w:val="white"/>
        </w:rPr>
        <w:t xml:space="preserve">, that nothing in this </w:t>
      </w:r>
      <w:r>
        <w:rPr>
          <w:rFonts w:ascii="Times New Roman;sans-serif" w:hAnsi="Times New Roman;sans-serif"/>
          <w:b w:val="false"/>
          <w:color w:val="000000"/>
          <w:sz w:val="22"/>
          <w:highlight w:val="white"/>
          <w:u w:val="single"/>
        </w:rPr>
        <w:t>Section 8.2(g)</w:t>
      </w:r>
      <w:r>
        <w:rPr>
          <w:color w:val="000000"/>
          <w:highlight w:val="white"/>
        </w:rPr>
        <w:t xml:space="preserve"> </w:t>
      </w:r>
      <w:r>
        <w:rPr>
          <w:rFonts w:ascii="Times New Roman;sans-serif" w:hAnsi="Times New Roman;sans-serif"/>
          <w:b w:val="false"/>
          <w:color w:val="000000"/>
          <w:sz w:val="22"/>
          <w:highlight w:val="white"/>
        </w:rPr>
        <w:t>shall entitle any holder to receive any form of consideration that such holder would be ineligible to receive as a result of such holder’s failure to satisfy any condition, requirement or limitation that is generally applicable to the Company’s stockholders.</w:t>
      </w:r>
    </w:p>
    <w:p>
      <w:pPr>
        <w:pStyle w:val="TextBody"/>
        <w:spacing w:lineRule="auto" w:line="240" w:before="0" w:after="24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Restrictions on Sales of Control of the Company</w:t>
      </w:r>
      <w:r>
        <w:rPr>
          <w:rFonts w:ascii="Times New Roman;sans-serif" w:hAnsi="Times New Roman;sans-serif"/>
          <w:b w:val="false"/>
          <w:color w:val="000000"/>
          <w:sz w:val="22"/>
        </w:rPr>
        <w:t>. No Stockholder shall be a party to any Stock Sale unless (a) all holders of Preferred Stock are allowed to participate in such transaction(s) and (b) the consideration received pursuant to such transaction(s) is allocated among the parties thereto in the manner specified in the Restated Certificate in effect immediately prior to the Stock Sale (as if such transaction(s) were a Deemed Liquidation Event), unless the holders of at least the requisite percentage required to waive treatment of the transaction(s) as a Deemed Liquidation Event pursuant to the terms of the Restated Certificate elect to allocate the consideration differently by written notice given to the Company at least 10 days prior to the effective date of any such transaction or series of related transactions.</w:t>
      </w:r>
    </w:p>
    <w:p>
      <w:pPr>
        <w:pStyle w:val="TextBody"/>
        <w:spacing w:lineRule="auto" w:line="240" w:before="0" w:after="24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Covenants of the Company</w:t>
      </w:r>
      <w:r>
        <w:rPr>
          <w:rFonts w:ascii="Times New Roman;sans-serif" w:hAnsi="Times New Roman;sans-serif"/>
          <w:b w:val="false"/>
          <w:color w:val="000000"/>
          <w:sz w:val="22"/>
        </w:rPr>
        <w:t>. The Company agrees to use its best efforts, within the requirements of applicable law, to ensure that the rights granted under Sections 3, 7, 8 and 9 of this Agreement (collectively, the “</w:t>
      </w:r>
      <w:r>
        <w:rPr>
          <w:rFonts w:ascii="Times New Roman;sans-serif" w:hAnsi="Times New Roman;sans-serif"/>
          <w:b/>
          <w:color w:val="000000"/>
          <w:sz w:val="22"/>
        </w:rPr>
        <w:t>VA Provisions</w:t>
      </w:r>
      <w:r>
        <w:rPr>
          <w:color w:val="000000"/>
        </w:rPr>
        <w:t>”</w:t>
      </w:r>
      <w:r>
        <w:rPr>
          <w:rFonts w:ascii="Times New Roman;sans-serif" w:hAnsi="Times New Roman;sans-serif"/>
          <w:b w:val="false"/>
          <w:color w:val="000000"/>
          <w:sz w:val="22"/>
        </w:rPr>
        <w:t>) are effective and that the parties enjoy the benefits of the provisions of such sections of this Agreement. Such actions include, without limitation, the use of the Company’s best efforts to cause the nomination and election of the directors as provided in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Irrevocable Proxy and Power of Attorney</w:t>
      </w:r>
      <w:r>
        <w:rPr>
          <w:rFonts w:ascii="Times New Roman;sans-serif" w:hAnsi="Times New Roman;sans-serif"/>
          <w:b w:val="false"/>
          <w:color w:val="000000"/>
          <w:sz w:val="22"/>
        </w:rPr>
        <w:t xml:space="preserve">. Each party to this Agreement hereby constitutes and appoints as the proxies of the party and hereby grants a power of attorney to the Chief Executive Officer of the Company, and a designee of the Selling Investors, and each of them, with full power of substitution, with respect to the matters set forth herein, including, without limitation, votes regarding the size and composition of the Board pursuant to </w:t>
      </w:r>
      <w:r>
        <w:rPr>
          <w:rFonts w:ascii="Times New Roman;sans-serif" w:hAnsi="Times New Roman;sans-serif"/>
          <w:b w:val="false"/>
          <w:color w:val="000000"/>
          <w:sz w:val="22"/>
          <w:u w:val="single"/>
        </w:rPr>
        <w:t>Section 3 hereof</w:t>
      </w:r>
      <w:r>
        <w:rPr>
          <w:rFonts w:ascii="Times New Roman;sans-serif" w:hAnsi="Times New Roman;sans-serif"/>
          <w:b w:val="false"/>
          <w:color w:val="000000"/>
          <w:sz w:val="22"/>
        </w:rPr>
        <w:t xml:space="preserve">, votes to increase authorized shares pursuant to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hereof and votes regarding any Sale Transaction pursuant to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hereof, and hereby authorizes each of them to represent and vote, if and only if the party (i) fails to vote, or (ii) attempts to vote (whether by proxy, in person or by written consent), in a manner which is inconsistent with the terms of this Agreement, any of such party’s Shares in favor of the election of persons as members of the Board determined pursuant to and in accordance with the terms and provisions of this Agreement or the increase of authorized shares or approval of any Sale Transaction pursuant to and in accordance with the terms and provisions of this Agreement or to take any action reasonably necessary to effect the VA Provisions. The power of attorney granted hereunder shall authorize the Chief Executive Officer of the Company, and a designee of the Selling Investors, and each of them, to execute and deliver the documentation referred to in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 xml:space="preserve">on behalf of any party failing to do so within five (5) business days of a request by the Company. Each of the proxy and power of attorney granted pursuant to this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 xml:space="preserve">is given in consideration of the agreements and covenants of the Company and the parties in connection with the transactions contemplated by this Agreement and, as such, each is coupled with an interest and shall be irrevocable unless and until all of the VA Provisions terminate or expire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hereof. Each party hereto hereby revokes any and all previous proxies or powers of attorney with respect to the Shares and shall not hereafter, unless and until all of the VA Provisions terminate or expire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r>
        <w:br w:type="page"/>
      </w:r>
    </w:p>
    <w:p>
      <w:pPr>
        <w:pStyle w:val="TextBody"/>
        <w:spacing w:before="0" w:after="0"/>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887095"/>
                <wp:effectExtent l="0" t="0" r="0" b="0"/>
                <wp:wrapNone/>
                <wp:docPr id="320" name="Frame319"/>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Term of VA Provisions</w:t>
      </w:r>
      <w:r>
        <w:rPr>
          <w:rFonts w:ascii="Times New Roman;sans-serif" w:hAnsi="Times New Roman;sans-serif"/>
          <w:b w:val="false"/>
          <w:color w:val="000000"/>
          <w:sz w:val="22"/>
        </w:rPr>
        <w:t xml:space="preserve">. The VA Provisions shall be effective as of the date hereof and shall continue in effect until and shall terminate upon the earliest to occur of (a) 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and (b) the consummation of a Sale Transaction and distribution of proceeds to or escrow for the benefit of the Stockholders in accordance with the Restated Certificate,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provisions of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hereof will continue after the closing of any Sale Transaction to the extent necessary to enforce the provisions of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with respect to such Sale Transaction.</w:t>
      </w:r>
    </w:p>
    <w:p>
      <w:pPr>
        <w:pStyle w:val="TextBody"/>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(iii) after such transfer, holds at least 100,000 shares of Registrable Securities (subject to appropriate adjustment for stock splits, stock dividends, combinations, and other recapitalizations); or (iv) is a Permitted Transferee;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Notwithstanding anything in the contrary contained in this </w:t>
      </w:r>
      <w:r>
        <w:rPr>
          <w:rFonts w:ascii="Times New Roman;sans-serif" w:hAnsi="Times New Roman;sans-serif"/>
          <w:b w:val="false"/>
          <w:color w:val="000000"/>
          <w:sz w:val="22"/>
          <w:u w:val="single"/>
        </w:rPr>
        <w:t>Subsection 12.1</w:t>
      </w:r>
      <w:r>
        <w:rPr>
          <w:rFonts w:ascii="Times New Roman;sans-serif" w:hAnsi="Times New Roman;sans-serif"/>
          <w:b w:val="false"/>
          <w:color w:val="000000"/>
          <w:sz w:val="22"/>
        </w:rPr>
        <w:t>, a Holder shall be permitted to make any such transfer that is required in order for such Holder to comply with laws or regulations applicable to it (including those that have been established in accordance with the UCITS (Undertakings for Collective Investment in Transferable Securities) Directive).</w:t>
      </w:r>
    </w:p>
    <w:p>
      <w:pPr>
        <w:pStyle w:val="TextBody"/>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shall be governed by the internal law of the State of Delaware, regardless of the laws that might otherwise govern under applicable principles of conflicts of law.</w:t>
      </w:r>
    </w:p>
    <w:p>
      <w:pPr>
        <w:pStyle w:val="TextBody"/>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2"/>
        </w:rPr>
        <w:t>e.g.</w:t>
      </w:r>
      <w:r>
        <w:rPr>
          <w:rFonts w:ascii="Times New Roman;sans-serif" w:hAnsi="Times New Roman;sans-serif"/>
          <w:b w:val="false"/>
          <w:color w:val="000000"/>
          <w:sz w:val="22"/>
        </w:rPr>
        <w:t>, www.docusign.com) or other transmission method and any counterpart so delivered shall be deemed to have been duly and validly delivered and be valid and effective for all purposes.</w:t>
      </w:r>
    </w:p>
    <w:p>
      <w:pPr>
        <w:pStyle w:val="TextBody"/>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Titles and Subtitles</w:t>
      </w:r>
      <w:r>
        <w:rPr>
          <w:rFonts w:ascii="Times New Roman;sans-serif" w:hAnsi="Times New Roman;sans-serif"/>
          <w:b w:val="false"/>
          <w:color w:val="000000"/>
          <w:sz w:val="22"/>
        </w:rPr>
        <w:t>. The titles and subtitles used in this Agreement are for convenience only and are not to be considered in construing or interpreting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w:t>
      </w:r>
      <w:r>
        <w:br w:type="page"/>
      </w:r>
    </w:p>
    <w:p>
      <w:pPr>
        <w:pStyle w:val="TextBody"/>
        <w:spacing w:before="0" w:after="0"/>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887095"/>
                <wp:effectExtent l="0" t="0" r="0" b="0"/>
                <wp:wrapNone/>
                <wp:docPr id="321" name="Frame320"/>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2"/>
        </w:rPr>
        <w:t xml:space="preserve">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Schedule B</w:t>
      </w:r>
      <w:r>
        <w:rPr>
          <w:color w:val="000000"/>
        </w:rPr>
        <w:t xml:space="preserve"> </w:t>
      </w:r>
      <w:r>
        <w:rPr>
          <w:rFonts w:ascii="Times New Roman;sans-serif" w:hAnsi="Times New Roman;sans-serif"/>
          <w:b w:val="false"/>
          <w:color w:val="000000"/>
          <w:sz w:val="22"/>
        </w:rPr>
        <w:t xml:space="preserve">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sans-serif" w:hAnsi="Times New Roman;sans-serif"/>
          <w:b w:val="false"/>
          <w:color w:val="000000"/>
          <w:sz w:val="22"/>
          <w:u w:val="single"/>
        </w:rPr>
        <w:t>Subsection 12.5</w:t>
      </w:r>
      <w:r>
        <w:rPr>
          <w:rFonts w:ascii="Times New Roman;sans-serif" w:hAnsi="Times New Roman;sans-serif"/>
          <w:b w:val="false"/>
          <w:color w:val="000000"/>
          <w:sz w:val="22"/>
        </w:rPr>
        <w:t xml:space="preserve">. If notice is given to the Company, a copy shall also be sent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Amendments and Waivers</w:t>
      </w:r>
      <w:r>
        <w:rPr>
          <w:rFonts w:ascii="Times New Roman;sans-serif" w:hAnsi="Times New Roman;sans-serif"/>
          <w:b w:val="false"/>
          <w:color w:val="000000"/>
          <w:sz w:val="22"/>
        </w:rPr>
        <w:t xml:space="preserve">. Any term of this Agreement may be amended and the observance of any term of this Agreement may be waived (either generally or in a particular instance, and either retroactively or prospectively) only with the written consent of the Company, the holders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Preferred Stock, voting together as a single class on an as converted basis, then outstanding,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(x) the Company may in its sole discretion waive compliance with </w:t>
      </w:r>
      <w:r>
        <w:rPr>
          <w:rFonts w:ascii="Times New Roman;sans-serif" w:hAnsi="Times New Roman;sans-serif"/>
          <w:b w:val="false"/>
          <w:color w:val="000000"/>
          <w:sz w:val="22"/>
          <w:u w:val="single"/>
        </w:rPr>
        <w:t>Subsection 2.12(c)</w:t>
      </w:r>
      <w:r>
        <w:rPr>
          <w:color w:val="000000"/>
        </w:rPr>
        <w:t xml:space="preserve"> </w:t>
      </w:r>
      <w:r>
        <w:rPr>
          <w:rFonts w:ascii="Times New Roman;sans-serif" w:hAnsi="Times New Roman;sans-serif"/>
          <w:b w:val="false"/>
          <w:color w:val="000000"/>
          <w:sz w:val="22"/>
        </w:rPr>
        <w:t xml:space="preserve">(and the Company’s failure to object promptly in writing after notification of a proposed assignment allegedly in violation of </w:t>
      </w:r>
      <w:r>
        <w:rPr>
          <w:rFonts w:ascii="Times New Roman;sans-serif" w:hAnsi="Times New Roman;sans-serif"/>
          <w:b w:val="false"/>
          <w:color w:val="000000"/>
          <w:sz w:val="22"/>
          <w:u w:val="single"/>
        </w:rPr>
        <w:t>Subsection 2.12(c)</w:t>
      </w:r>
      <w:r>
        <w:rPr>
          <w:color w:val="000000"/>
        </w:rPr>
        <w:t xml:space="preserve"> </w:t>
      </w:r>
      <w:r>
        <w:rPr>
          <w:rFonts w:ascii="Times New Roman;sans-serif" w:hAnsi="Times New Roman;sans-serif"/>
          <w:b w:val="false"/>
          <w:color w:val="000000"/>
          <w:sz w:val="22"/>
        </w:rPr>
        <w:t xml:space="preserve">shall be deemed to be a waiver); (xi) any provision hereof may be waived by any waiving party on such party’s own behalf, without the consent of any other party; (xii)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 xml:space="preserve">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sans-serif" w:hAnsi="Times New Roman;sans-serif"/>
          <w:b w:val="false"/>
          <w:color w:val="000000"/>
          <w:sz w:val="22"/>
          <w:u w:val="single"/>
        </w:rPr>
        <w:t>Subsection 12.6</w:t>
      </w:r>
      <w:r>
        <w:rPr>
          <w:color w:val="000000"/>
        </w:rPr>
        <w:t xml:space="preserve"> </w:t>
      </w:r>
      <w:r>
        <w:rPr>
          <w:rFonts w:ascii="Times New Roman;sans-serif" w:hAnsi="Times New Roman;sans-serif"/>
          <w:b w:val="false"/>
          <w:color w:val="000000"/>
          <w:sz w:val="22"/>
        </w:rPr>
        <w:t>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pStyle w:val="TextBody"/>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Aggregation of Stock</w:t>
      </w:r>
      <w:r>
        <w:rPr>
          <w:rFonts w:ascii="Times New Roman;sans-serif" w:hAnsi="Times New Roman;sans-serif"/>
          <w:b w:val="false"/>
          <w:color w:val="000000"/>
          <w:sz w:val="22"/>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 For the avoidance of doubt, all shares of capital stock held or acquired by AXA IM, AXA Opportunities Fund and any of their Affiliates shall be aggregated together for the purpose of determining the availability of any rights under this Agreement.</w:t>
      </w:r>
    </w:p>
    <w:p>
      <w:pPr>
        <w:pStyle w:val="TextBody"/>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Additional Holders</w:t>
      </w:r>
      <w:r>
        <w:rPr>
          <w:rFonts w:ascii="Times New Roman;sans-serif" w:hAnsi="Times New Roman;sans-serif"/>
          <w:b w:val="false"/>
          <w:color w:val="000000"/>
          <w:sz w:val="22"/>
        </w:rPr>
        <w:t xml:space="preserve">. </w:t>
      </w:r>
    </w:p>
    <w:p>
      <w:pPr>
        <w:pStyle w:val="TextBody"/>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pStyle w:val="TextBody"/>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anything to the contrary contained herein, if the Company issues additional Notes after the date hereof, any purchaser of such Notes may become a party to this Agreement by executing and delivering an additional counterpart signature page to this Agreement, </w:t>
      </w:r>
      <w:r>
        <w:br w:type="page"/>
      </w:r>
    </w:p>
    <w:p>
      <w:pPr>
        <w:pStyle w:val="TextBody"/>
        <w:spacing w:before="0" w:after="0"/>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887095"/>
                <wp:effectExtent l="0" t="0" r="0" b="0"/>
                <wp:wrapNone/>
                <wp:docPr id="322" name="Frame321"/>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thereafter shall be deemed a “Noteholder” for all purposes hereunder. No action or consent by the Investors or Noteholders shall be required for such joinder to this Agreement by such additional Noteholder, so long as such additional Noteholder has agreed in writing to be bound by all of the obligations as a “Noteholder” hereunder</w:t>
      </w:r>
    </w:p>
    <w:p>
      <w:pPr>
        <w:pStyle w:val="TextBody"/>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the event that after the date of this Agreement, the Company enters into an agreement with any Person to issue shares of capital stock to such Person (other than to a purchaser of Preferred Stock described in Section 12.9(a) above or to a purchaser of Notes described in Section 12.9(b) above), following which such Person shall hold Shares constituting one percent (1%) or more of the then outstanding capital stock of the Company (treating for this purpose all shares of Common Stock issuable upon exercise of or conversion of outstanding options, warrants or convertible securities, as if exercised and/or converted or exchanged), then, the Company shall cause such Person (each such Person, a “</w:t>
      </w:r>
      <w:r>
        <w:rPr>
          <w:rFonts w:ascii="Times New Roman;sans-serif" w:hAnsi="Times New Roman;sans-serif"/>
          <w:b/>
          <w:color w:val="000000"/>
          <w:sz w:val="22"/>
        </w:rPr>
        <w:t>Key Holder</w:t>
      </w:r>
      <w:r>
        <w:rPr>
          <w:color w:val="000000"/>
        </w:rPr>
        <w:t>”</w:t>
      </w:r>
      <w:r>
        <w:rPr>
          <w:rFonts w:ascii="Times New Roman;sans-serif" w:hAnsi="Times New Roman;sans-serif"/>
          <w:b w:val="false"/>
          <w:color w:val="000000"/>
          <w:sz w:val="22"/>
        </w:rPr>
        <w:t>), as a condition precedent to entering into such agreement, to become bound by the VA Provisions by executing an instrument, in a form approved by the Board, agreeing to be bound by and subject to the terms of the VA Provisions as a Key Holder and Stockholder and thereafter such person shall be deemed a Key Holder and Stockholder for all purposes under the VA Provisions.</w:t>
      </w:r>
    </w:p>
    <w:p>
      <w:pPr>
        <w:pStyle w:val="TextBody"/>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Notwithstanding the foregoing, however, each Investor and Noteholder (a) acknowledges receipt of a copy of the relevant provisions of the Note and of the Purchase Agreement, and (b) in the event of a Maturity Conversion (as defined in the Note), agrees to execute and deliver such amendments and/or restatements (in each case, whether one or more) of this Agreement, and to take such other and further actions (including, without limitation, to vote, or cause to be voted, all Shares and Notes owned by such Person, or over which such Person has voting control, from time to time and at all times, and in whatever manner), as the Lead Investor Majority may reasonably request in order to effectuate the provisions of clauses (iii), (iv) and (v) of Section 4(e) of the Note.</w:t>
      </w:r>
    </w:p>
    <w:p>
      <w:pPr>
        <w:pStyle w:val="TextBody"/>
        <w:spacing w:lineRule="auto" w:line="240" w:before="0" w:after="240"/>
        <w:ind w:left="0" w:right="0" w:firstLine="1440"/>
        <w:jc w:val="both"/>
        <w:rPr/>
      </w:pPr>
      <w:r>
        <w:rPr>
          <w:rFonts w:ascii="Times New Roman;sans-serif" w:hAnsi="Times New Roman;sans-serif"/>
          <w:b w:val="false"/>
          <w:color w:val="000000"/>
          <w:sz w:val="22"/>
        </w:rPr>
        <w:t>1.11</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will bear its own costs in respect of any disputes arising under this Agreement. Each of the parties to this Agreement consents to personal jurisdiction for any equitable action sought in the U.S. District Court for the District of Delaware or any court of the State of Delaware having subject matter jurisdiction.</w:t>
      </w:r>
    </w:p>
    <w:p>
      <w:pPr>
        <w:pStyle w:val="TextBody"/>
        <w:spacing w:lineRule="auto" w:line="240" w:before="0" w:after="240"/>
        <w:ind w:left="0" w:right="0" w:firstLine="144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Delays or Omissions</w:t>
      </w:r>
      <w:r>
        <w:rPr>
          <w:rFonts w:ascii="Times New Roman;sans-serif" w:hAnsi="Times New Roman;sans-serif"/>
          <w:b w:val="false"/>
          <w:color w:val="000000"/>
          <w:sz w:val="22"/>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887095"/>
                <wp:effectExtent l="0" t="0" r="0" b="0"/>
                <wp:wrapNone/>
                <wp:docPr id="323" name="Frame322"/>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VEDANTA BIOSCIENCES, INC.</w:t>
      </w:r>
    </w:p>
    <w:p>
      <w:pPr>
        <w:pStyle w:val="TextBody"/>
        <w:spacing w:lineRule="auto" w:line="240" w:before="0" w:after="24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highlight w:val="yellow"/>
        </w:rPr>
        <w:br/>
      </w:r>
      <w:r>
        <w:rPr>
          <w:rFonts w:ascii="Times New Roman;sans-serif" w:hAnsi="Times New Roman;sans-serif"/>
          <w:b w:val="false"/>
          <w:color w:val="000000"/>
          <w:sz w:val="22"/>
        </w:rP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324" name="Frame3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 xml:space="preserve">/s/ </w:t>
      </w:r>
      <w:r>
        <w:rPr>
          <w:rFonts w:ascii="Times New Roman;sans-serif" w:hAnsi="Times New Roman;sans-serif"/>
          <w:b/>
          <w:color w:val="000000"/>
          <w:sz w:val="22"/>
          <w:highlight w:val="white"/>
          <w:u w:val="single"/>
        </w:rPr>
        <w:t>[</w:t>
      </w:r>
      <w:r>
        <w:rPr>
          <w:rFonts w:ascii="Times New Roman;sans-serif" w:hAnsi="Times New Roman;sans-serif"/>
          <w:b w:val="false"/>
          <w:color w:val="000000"/>
          <w:sz w:val="22"/>
          <w:highlight w:val="white"/>
          <w:u w:val="single"/>
        </w:rPr>
        <w:t>***</w:t>
      </w:r>
      <w:r>
        <w:rPr>
          <w:rFonts w:ascii="Times New Roman;sans-serif" w:hAnsi="Times New Roman;sans-serif"/>
          <w:b/>
          <w:color w:val="000000"/>
          <w:sz w:val="22"/>
          <w:highlight w:val="white"/>
          <w:u w:val="single"/>
        </w:rPr>
        <w:t>]</w:t>
      </w:r>
      <w:r>
        <w:rPr>
          <w:color w:val="000000"/>
          <w:highlight w:val="white"/>
          <w:u w:val="single"/>
        </w:rPr>
        <w:t>        </w:t>
      </w:r>
    </w:p>
    <w:p>
      <w:pPr>
        <w:pStyle w:val="TextBody"/>
        <w:spacing w:lineRule="auto" w:line="240" w:before="0" w:after="0"/>
        <w:rPr/>
      </w:pPr>
      <w:r>
        <w:rPr>
          <w:rFonts w:ascii="Times New Roman;sans-serif" w:hAnsi="Times New Roman;sans-serif"/>
          <w:b w:val="false"/>
          <w:color w:val="000000"/>
          <w:sz w:val="22"/>
          <w:highlight w:val="white"/>
        </w:rPr>
        <w:t xml:space="preserve">Name: </w:t>
      </w:r>
      <w:r>
        <w:rPr>
          <w:rFonts w:ascii="Times New Roman;sans-serif" w:hAnsi="Times New Roman;sans-serif"/>
          <w:b/>
          <w:color w:val="000000"/>
          <w:sz w:val="22"/>
          <w:highlight w:val="white"/>
        </w:rPr>
        <w:t>[</w:t>
      </w:r>
      <w:r>
        <w:rPr>
          <w:rFonts w:ascii="Times New Roman;sans-serif" w:hAnsi="Times New Roman;sans-serif"/>
          <w:b w:val="false"/>
          <w:color w:val="000000"/>
          <w:sz w:val="22"/>
          <w:highlight w:val="white"/>
        </w:rPr>
        <w:t>***</w:t>
      </w: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 xml:space="preserve">Title: </w:t>
      </w:r>
      <w:r>
        <w:rPr>
          <w:rFonts w:ascii="Times New Roman;sans-serif" w:hAnsi="Times New Roman;sans-serif"/>
          <w:b/>
          <w:color w:val="000000"/>
          <w:sz w:val="22"/>
          <w:highlight w:val="white"/>
        </w:rPr>
        <w:t>[</w:t>
      </w:r>
      <w:r>
        <w:rPr>
          <w:rFonts w:ascii="Times New Roman;sans-serif" w:hAnsi="Times New Roman;sans-serif"/>
          <w:b w:val="false"/>
          <w:color w:val="000000"/>
          <w:sz w:val="22"/>
          <w:highlight w:val="white"/>
        </w:rPr>
        <w:t>***</w:t>
      </w:r>
      <w:r>
        <w:rPr>
          <w:rFonts w:ascii="Times New Roman;sans-serif" w:hAnsi="Times New Roman;sans-serif"/>
          <w:b/>
          <w:color w:val="000000"/>
          <w:sz w:val="22"/>
          <w:highlight w:val="white"/>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325" name="Frame3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 xml:space="preserve">/s/ </w:t>
      </w:r>
      <w:r>
        <w:rPr>
          <w:rFonts w:ascii="Times New Roman;sans-serif" w:hAnsi="Times New Roman;sans-serif"/>
          <w:b/>
          <w:color w:val="000000"/>
          <w:sz w:val="22"/>
          <w:highlight w:val="white"/>
          <w:u w:val="single"/>
        </w:rPr>
        <w:t>[</w:t>
      </w:r>
      <w:r>
        <w:rPr>
          <w:rFonts w:ascii="Times New Roman;sans-serif" w:hAnsi="Times New Roman;sans-serif"/>
          <w:b w:val="false"/>
          <w:color w:val="000000"/>
          <w:sz w:val="22"/>
          <w:highlight w:val="white"/>
          <w:u w:val="single"/>
        </w:rPr>
        <w:t>***</w:t>
      </w:r>
      <w:r>
        <w:rPr>
          <w:rFonts w:ascii="Times New Roman;sans-serif" w:hAnsi="Times New Roman;sans-serif"/>
          <w:b/>
          <w:color w:val="000000"/>
          <w:sz w:val="22"/>
          <w:highlight w:val="white"/>
          <w:u w:val="single"/>
        </w:rPr>
        <w:t>]</w:t>
      </w:r>
      <w:r>
        <w:rPr>
          <w:color w:val="000000"/>
          <w:highlight w:val="white"/>
          <w:u w:val="single"/>
        </w:rPr>
        <w:t>        </w:t>
      </w:r>
    </w:p>
    <w:p>
      <w:pPr>
        <w:pStyle w:val="TextBody"/>
        <w:spacing w:lineRule="auto" w:line="240" w:before="0" w:after="0"/>
        <w:rPr/>
      </w:pPr>
      <w:r>
        <w:rPr>
          <w:rFonts w:ascii="Times New Roman;sans-serif" w:hAnsi="Times New Roman;sans-serif"/>
          <w:b w:val="false"/>
          <w:color w:val="000000"/>
          <w:sz w:val="22"/>
          <w:highlight w:val="white"/>
        </w:rPr>
        <w:t xml:space="preserve">Name: </w:t>
      </w:r>
      <w:r>
        <w:rPr>
          <w:rFonts w:ascii="Times New Roman;sans-serif" w:hAnsi="Times New Roman;sans-serif"/>
          <w:b/>
          <w:color w:val="000000"/>
          <w:sz w:val="22"/>
          <w:highlight w:val="white"/>
        </w:rPr>
        <w:t>[</w:t>
      </w:r>
      <w:r>
        <w:rPr>
          <w:rFonts w:ascii="Times New Roman;sans-serif" w:hAnsi="Times New Roman;sans-serif"/>
          <w:b w:val="false"/>
          <w:color w:val="000000"/>
          <w:sz w:val="22"/>
          <w:highlight w:val="white"/>
        </w:rPr>
        <w:t>***</w:t>
      </w: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 xml:space="preserve">Title: </w:t>
      </w:r>
      <w:r>
        <w:rPr>
          <w:rFonts w:ascii="Times New Roman;sans-serif" w:hAnsi="Times New Roman;sans-serif"/>
          <w:b/>
          <w:color w:val="000000"/>
          <w:sz w:val="22"/>
          <w:highlight w:val="white"/>
        </w:rPr>
        <w:t>[</w:t>
      </w:r>
      <w:r>
        <w:rPr>
          <w:rFonts w:ascii="Times New Roman;sans-serif" w:hAnsi="Times New Roman;sans-serif"/>
          <w:b w:val="false"/>
          <w:color w:val="000000"/>
          <w:sz w:val="22"/>
          <w:highlight w:val="white"/>
        </w:rPr>
        <w:t>***</w:t>
      </w:r>
      <w:r>
        <w:rPr>
          <w:rFonts w:ascii="Times New Roman;sans-serif" w:hAnsi="Times New Roman;sans-serif"/>
          <w:b/>
          <w:color w:val="000000"/>
          <w:sz w:val="22"/>
          <w:highlight w:val="white"/>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326" name="Frame3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327" name="Frame3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spacing w:lineRule="auto" w:line="240" w:before="0" w:after="240"/>
        <w:rPr/>
      </w:pPr>
      <w:r>
        <w:rPr>
          <w:rFonts w:ascii="Times New Roman;sans-serif" w:hAnsi="Times New Roman;sans-serif"/>
          <w:b w:val="false"/>
          <w:color w:val="000000"/>
          <w:sz w:val="22"/>
        </w:rP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328" name="Frame3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PURETECH HEALTH LLC</w:t>
      </w:r>
    </w:p>
    <w:p>
      <w:pPr>
        <w:pStyle w:val="TextBody"/>
        <w:spacing w:lineRule="auto" w:line="240" w:before="0" w:after="240"/>
        <w:rPr/>
      </w:pPr>
      <w:r>
        <w:rPr>
          <w:rFonts w:ascii="Times New Roman;sans-serif" w:hAnsi="Times New Roman;sans-serif"/>
          <w:b w:val="false"/>
          <w:color w:val="000000"/>
          <w:sz w:val="22"/>
        </w:rPr>
        <w:t>By:/s/ Bharatt Chowrira</w:t>
      </w:r>
      <w:r>
        <w:rPr>
          <w:color w:val="000000"/>
          <w:u w:val="single"/>
        </w:rPr>
        <w:t>    </w:t>
      </w:r>
      <w:r>
        <w:rPr>
          <w:rFonts w:ascii="Times New Roman;sans-serif" w:hAnsi="Times New Roman;sans-serif"/>
          <w:b w:val="false"/>
          <w:color w:val="000000"/>
          <w:sz w:val="22"/>
        </w:rPr>
        <w:br/>
        <w:t>Name: Bharatt Chowrira</w:t>
        <w:br/>
        <w:t xml:space="preserve">Title: President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329" name="Frame3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330" name="Frame3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60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br/>
        <w:t>Address: [***]</w:t>
      </w:r>
    </w:p>
    <w:p>
      <w:pPr>
        <w:pStyle w:val="TextBody"/>
        <w:spacing w:lineRule="auto" w:line="240" w:before="0" w:after="600"/>
        <w:rPr/>
      </w:pPr>
      <w:r>
        <w:rPr>
          <w:rFonts w:ascii="Times New Roman;sans-serif" w:hAnsi="Times New Roman;sans-serif"/>
          <w:b/>
          <w:color w:val="000000"/>
          <w:sz w:val="22"/>
        </w:rPr>
        <w:t>[***]</w:t>
        <w:br/>
      </w:r>
      <w:r>
        <w:rPr>
          <w:rFonts w:ascii="Times New Roman;sans-serif" w:hAnsi="Times New Roman;sans-serif"/>
          <w:b w:val="false"/>
          <w:color w:val="000000"/>
          <w:sz w:val="22"/>
        </w:rPr>
        <w:t>By: [***]</w:t>
      </w:r>
    </w:p>
    <w:p>
      <w:pPr>
        <w:pStyle w:val="TextBody"/>
        <w:spacing w:lineRule="auto" w:line="240" w:before="0" w:after="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br/>
        <w:t>Address: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331" name="Frame3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4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332" name="Frame3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4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333" name="Frame3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4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334" name="Frame3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260"/>
                <wp:effectExtent l="0" t="0" r="0" b="0"/>
                <wp:wrapNone/>
                <wp:docPr id="335" name="Frame3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60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By:    [***]</w:t>
      </w:r>
    </w:p>
    <w:p>
      <w:pPr>
        <w:pStyle w:val="TextBody"/>
        <w:spacing w:lineRule="auto" w:line="240" w:before="0" w:after="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spacing w:lineRule="auto" w:line="240" w:before="0" w:after="24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4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4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336" name="Frame3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highlight w:val="white"/>
        </w:rPr>
        <w:t xml:space="preserve">By: </w:t>
      </w:r>
      <w:r>
        <w:rPr>
          <w:rFonts w:ascii="Times New Roman;sans-serif" w:hAnsi="Times New Roman;sans-serif"/>
          <w:b w:val="false"/>
          <w:color w:val="000000"/>
          <w:sz w:val="22"/>
          <w:highlight w:val="white"/>
          <w:u w:val="single"/>
        </w:rPr>
        <w:t>/s/ [***]        </w:t>
      </w:r>
    </w:p>
    <w:p>
      <w:pPr>
        <w:pStyle w:val="TextBody"/>
        <w:spacing w:lineRule="auto" w:line="240" w:before="0" w:after="0"/>
        <w:rPr/>
      </w:pPr>
      <w:r>
        <w:rPr>
          <w:rFonts w:ascii="Times New Roman;sans-serif" w:hAnsi="Times New Roman;sans-serif"/>
          <w:b w:val="false"/>
          <w:color w:val="000000"/>
          <w:sz w:val="22"/>
          <w:highlight w:val="white"/>
        </w:rPr>
        <w:t>Name: [***]</w:t>
      </w:r>
      <w:r>
        <w:rPr>
          <w:rFonts w:ascii="Times New Roman;sans-serif" w:hAnsi="Times New Roman;sans-serif"/>
          <w:b w:val="false"/>
          <w:color w:val="000000"/>
          <w:sz w:val="22"/>
          <w:highlight w:val="white"/>
          <w:u w:val="single"/>
        </w:rPr>
        <w:br/>
      </w: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lineRule="auto" w:line="240" w:before="0" w:after="0"/>
        <w:ind w:left="0" w:right="0" w:hanging="108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Address: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337" name="Frame3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By: [***]</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highlight w:val="white"/>
        </w:rPr>
        <w:t xml:space="preserve">By: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338" name="Frame3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highlight w:val="white"/>
        </w:rPr>
        <w:t xml:space="preserve">By: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339" name="Frame3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highlight w:val="white"/>
        </w:rPr>
        <w:t xml:space="preserve">By: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260"/>
                <wp:effectExtent l="0" t="0" r="0" b="0"/>
                <wp:wrapNone/>
                <wp:docPr id="340" name="Frame3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Its: [***]</w:t>
      </w:r>
    </w:p>
    <w:p>
      <w:pPr>
        <w:pStyle w:val="TextBody"/>
        <w:spacing w:lineRule="auto" w:line="240" w:before="0" w:after="480"/>
        <w:ind w:left="0" w:right="0" w:hanging="900"/>
        <w:rPr>
          <w:rFonts w:ascii="Times New Roman;sans-serif" w:hAnsi="Times New Roman;sans-serif"/>
          <w:b w:val="false"/>
          <w:color w:val="000000"/>
          <w:sz w:val="22"/>
        </w:rPr>
      </w:pPr>
      <w:r>
        <w:rPr>
          <w:rFonts w:ascii="Times New Roman;sans-serif" w:hAnsi="Times New Roman;sans-serif"/>
          <w:b w:val="false"/>
          <w:color w:val="000000"/>
          <w:sz w:val="22"/>
        </w:rPr>
        <w:t>Address: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260"/>
                <wp:effectExtent l="0" t="0" r="0" b="0"/>
                <wp:wrapNone/>
                <wp:docPr id="341" name="Frame3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272727"/>
          <w:sz w:val="22"/>
        </w:rPr>
      </w:pPr>
      <w:r>
        <w:rPr>
          <w:rFonts w:ascii="Times New Roman;sans-serif" w:hAnsi="Times New Roman;sans-serif"/>
          <w:b/>
          <w:color w:val="272727"/>
          <w:sz w:val="22"/>
        </w:rPr>
        <w:t>[***]</w:t>
      </w:r>
    </w:p>
    <w:p>
      <w:pPr>
        <w:pStyle w:val="TextBody"/>
        <w:spacing w:lineRule="auto" w:line="240"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75260"/>
                <wp:effectExtent l="0" t="0" r="0" b="0"/>
                <wp:wrapNone/>
                <wp:docPr id="342" name="Frame3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260"/>
                <wp:effectExtent l="0" t="0" r="0" b="0"/>
                <wp:wrapNone/>
                <wp:docPr id="343" name="Frame3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75260"/>
                <wp:effectExtent l="0" t="0" r="0" b="0"/>
                <wp:wrapNone/>
                <wp:docPr id="344" name="Frame3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lineRule="auto" w:line="240" w:before="0" w:after="240"/>
        <w:rPr/>
      </w:pPr>
      <w:r>
        <w:rPr>
          <w:rFonts w:ascii="Times New Roman;sans-serif" w:hAnsi="Times New Roman;sans-serif"/>
          <w:b w:val="false"/>
          <w:color w:val="000000"/>
          <w:sz w:val="22"/>
          <w:highlight w:val="white"/>
        </w:rPr>
        <w:t>Email: [***</w:t>
      </w:r>
      <w:r>
        <w:rPr>
          <w:rFonts w:ascii="Times New Roman;sans-serif" w:hAnsi="Times New Roman;sans-serif"/>
          <w:b/>
          <w:color w:val="000000"/>
          <w:sz w:val="22"/>
          <w:highlight w:val="white"/>
        </w:rPr>
        <w:t>]</w:t>
      </w:r>
    </w:p>
    <w:p>
      <w:pPr>
        <w:pStyle w:val="TextBody"/>
        <w:spacing w:before="0" w:after="480"/>
        <w:ind w:left="0" w:right="0" w:hanging="90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75260"/>
                <wp:effectExtent l="0" t="0" r="0" b="0"/>
                <wp:wrapNone/>
                <wp:docPr id="345" name="Frame3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 xml:space="preserve">[***] </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75260"/>
                <wp:effectExtent l="0" t="0" r="0" b="0"/>
                <wp:wrapNone/>
                <wp:docPr id="346" name="Frame3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062355"/>
                <wp:effectExtent l="0" t="0" r="0" b="0"/>
                <wp:wrapNone/>
                <wp:docPr id="347" name="Frame346"/>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062355"/>
                <wp:effectExtent l="0" t="0" r="0" b="0"/>
                <wp:wrapNone/>
                <wp:docPr id="348" name="Frame347"/>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062355"/>
                <wp:effectExtent l="0" t="0" r="0" b="0"/>
                <wp:wrapNone/>
                <wp:docPr id="349" name="Frame348"/>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062355"/>
                <wp:effectExtent l="0" t="0" r="0" b="0"/>
                <wp:wrapNone/>
                <wp:docPr id="350" name="Frame349"/>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062355"/>
                <wp:effectExtent l="0" t="0" r="0" b="0"/>
                <wp:wrapNone/>
                <wp:docPr id="351" name="Frame350"/>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062355"/>
                <wp:effectExtent l="0" t="0" r="0" b="0"/>
                <wp:wrapNone/>
                <wp:docPr id="352" name="Frame351"/>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062355"/>
                <wp:effectExtent l="0" t="0" r="0" b="0"/>
                <wp:wrapNone/>
                <wp:docPr id="353" name="Frame352"/>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Title: [***]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062355"/>
                <wp:effectExtent l="0" t="0" r="0" b="0"/>
                <wp:wrapNone/>
                <wp:docPr id="354" name="Frame353"/>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062355"/>
                <wp:effectExtent l="0" t="0" r="0" b="0"/>
                <wp:wrapNone/>
                <wp:docPr id="355" name="Frame354"/>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Title: [***] </w:t>
      </w:r>
    </w:p>
    <w:p>
      <w:pPr>
        <w:pStyle w:val="TextBody"/>
        <w:spacing w:before="0" w:after="0"/>
        <w:rPr/>
      </w:pPr>
      <w:r>
        <w:rPr/>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062355"/>
                <wp:effectExtent l="0" t="0" r="0" b="0"/>
                <wp:wrapNone/>
                <wp:docPr id="356" name="Frame355"/>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Title: [***] </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062355"/>
                <wp:effectExtent l="0" t="0" r="0" b="0"/>
                <wp:wrapNone/>
                <wp:docPr id="357" name="Frame356"/>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Name: [***]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062355"/>
                <wp:effectExtent l="0" t="0" r="0" b="0"/>
                <wp:wrapNone/>
                <wp:docPr id="358" name="Frame357"/>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0"/>
        <w:rPr/>
      </w:pPr>
      <w:r>
        <w:rPr/>
      </w:r>
    </w:p>
    <w:p>
      <w:pPr>
        <w:pStyle w:val="TextBody"/>
        <w:spacing w:before="0" w:after="240"/>
        <w:jc w:val="center"/>
        <w:rPr/>
      </w:pPr>
      <w:r>
        <w:rPr/>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062355"/>
                <wp:effectExtent l="0" t="0" r="0" b="0"/>
                <wp:wrapNone/>
                <wp:docPr id="359" name="Frame358"/>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Title: [***] </w:t>
      </w:r>
    </w:p>
    <w:p>
      <w:pPr>
        <w:pStyle w:val="TextBody"/>
        <w:spacing w:before="0" w:after="0"/>
        <w:rPr/>
      </w:pPr>
      <w:r>
        <w:rPr/>
      </w:r>
    </w:p>
    <w:p>
      <w:pPr>
        <w:pStyle w:val="TextBody"/>
        <w:spacing w:lineRule="auto" w:line="240" w:before="0" w:after="480"/>
        <w:rPr>
          <w:rFonts w:ascii="Times New Roman;sans-serif" w:hAnsi="Times New Roman;sans-serif"/>
          <w:b/>
          <w:color w:val="000000"/>
          <w:sz w:val="22"/>
          <w:highlight w:val="white"/>
        </w:rPr>
      </w:pPr>
      <w:r>
        <w:rPr>
          <w:rFonts w:ascii="Times New Roman;sans-serif" w:hAnsi="Times New Roman;sans-serif"/>
          <w:b/>
          <w:color w:val="000000"/>
          <w:sz w:val="22"/>
          <w:highlight w:val="white"/>
        </w:rPr>
        <w:t>[***]</w:t>
      </w:r>
    </w:p>
    <w:p>
      <w:pPr>
        <w:pStyle w:val="TextBody"/>
        <w:spacing w:lineRule="auto" w:line="240" w:before="0" w:after="0"/>
        <w:rPr/>
      </w:pPr>
      <w:r>
        <w:rPr>
          <w:rFonts w:ascii="Times New Roman;sans-serif" w:hAnsi="Times New Roman;sans-serif"/>
          <w:b w:val="false"/>
          <w:color w:val="000000"/>
          <w:sz w:val="22"/>
          <w:highlight w:val="white"/>
        </w:rPr>
        <w:t>By:</w:t>
      </w:r>
      <w:r>
        <w:rPr>
          <w:color w:val="000000"/>
          <w:highlight w:val="white"/>
          <w:u w:val="single"/>
        </w:rPr>
        <w:t xml:space="preserve"> </w:t>
      </w:r>
      <w:r>
        <w:rPr>
          <w:rFonts w:ascii="Times New Roman;sans-serif" w:hAnsi="Times New Roman;sans-serif"/>
          <w:b w:val="false"/>
          <w:color w:val="000000"/>
          <w:sz w:val="22"/>
          <w:highlight w:val="white"/>
          <w:u w:val="single"/>
        </w:rPr>
        <w:t>/s/ [***]        </w:t>
      </w:r>
    </w:p>
    <w:p>
      <w:pPr>
        <w:pStyle w:val="TextBody"/>
        <w:spacing w:lineRule="auto" w:line="240" w:before="0" w:after="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Name: [***]</w:t>
      </w:r>
    </w:p>
    <w:p>
      <w:pPr>
        <w:pStyle w:val="TextBody"/>
        <w:spacing w:lineRule="auto" w:line="240" w:before="0" w:after="24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Title: [***]</w:t>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062355"/>
                <wp:effectExtent l="0" t="0" r="0" b="0"/>
                <wp:wrapNone/>
                <wp:docPr id="360" name="Frame359"/>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SCHEDULE A</w:t>
        <w:br/>
        <w:t>Investors</w:t>
      </w:r>
    </w:p>
    <w:p>
      <w:pPr>
        <w:pStyle w:val="TextBody"/>
        <w:spacing w:lineRule="auto" w:line="240" w:before="0" w:after="480"/>
        <w:rPr>
          <w:rFonts w:ascii="Times New Roman;sans-serif" w:hAnsi="Times New Roman;sans-serif"/>
          <w:b/>
          <w:color w:val="000000"/>
          <w:sz w:val="22"/>
        </w:rPr>
      </w:pPr>
      <w:r>
        <w:rPr>
          <w:rFonts w:ascii="Times New Roman;sans-serif" w:hAnsi="Times New Roman;sans-serif"/>
          <w:b/>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062355"/>
                <wp:effectExtent l="0" t="0" r="0" b="0"/>
                <wp:wrapNone/>
                <wp:docPr id="361" name="Frame360"/>
                <a:graphic xmlns:a="http://schemas.openxmlformats.org/drawingml/2006/main">
                  <a:graphicData uri="http://schemas.microsoft.com/office/word/2010/wordprocessingShape">
                    <wps:wsp>
                      <wps:cNvSpPr txBox="1"/>
                      <wps:spPr>
                        <a:xfrm>
                          <a:off x="0" y="0"/>
                          <a:ext cx="6480175" cy="1062355"/>
                        </a:xfrm>
                        <a:prstGeom prst="rect"/>
                      </wps:spPr>
                      <wps:txbx>
                        <w:txbxContent>
                          <w:p>
                            <w:pPr>
                              <w:pStyle w:val="TextBody"/>
                              <w:spacing w:before="0" w:after="0"/>
                              <w:rPr/>
                            </w:pPr>
                            <w:r>
                              <w:rPr/>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SCHEDULE B</w:t>
        <w:br/>
        <w:t>Noteholders</w:t>
      </w:r>
    </w:p>
    <w:p>
      <w:pPr>
        <w:pStyle w:val="TextBody"/>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887095"/>
                <wp:effectExtent l="0" t="0" r="0" b="0"/>
                <wp:wrapNone/>
                <wp:docPr id="362" name="Frame361"/>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br/>
        <w:t>Form of Noncompetition and Nonsolicitation Agreement</w:t>
      </w:r>
    </w:p>
    <w:p>
      <w:pPr>
        <w:pStyle w:val="TextBody"/>
        <w:spacing w:lineRule="auto" w:line="240" w:before="0" w:after="240"/>
        <w:jc w:val="center"/>
        <w:rPr/>
      </w:pP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spacing w:before="0" w:after="24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w:t>
      </w:r>
      <w:r>
        <w:rPr>
          <w:rFonts w:ascii="Times New Roman;sans-serif" w:hAnsi="Times New Roman;sans-serif"/>
          <w:b/>
          <w:color w:val="000000"/>
          <w:sz w:val="24"/>
          <w:highlight w:val="white"/>
        </w:rPr>
        <w:t>xhibit 4.37</w:t>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887095"/>
                <wp:effectExtent l="0" t="0" r="0" b="0"/>
                <wp:wrapNone/>
                <wp:docPr id="363" name="Frame362"/>
                <a:graphic xmlns:a="http://schemas.openxmlformats.org/drawingml/2006/main">
                  <a:graphicData uri="http://schemas.microsoft.com/office/word/2010/wordprocessingShape">
                    <wps:wsp>
                      <wps:cNvSpPr txBox="1"/>
                      <wps:spPr>
                        <a:xfrm>
                          <a:off x="0" y="0"/>
                          <a:ext cx="6480175" cy="887095"/>
                        </a:xfrm>
                        <a:prstGeom prst="rect"/>
                      </wps:spPr>
                      <wps:txbx>
                        <w:txbxContent>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bl>
                      <w:tblPr>
                        <w:tblW w:w="1905" w:type="dxa"/>
                        <w:jc w:val="left"/>
                        <w:tblInd w:w="0" w:type="dxa"/>
                        <w:tblCellMar>
                          <w:top w:w="28" w:type="dxa"/>
                          <w:left w:w="28" w:type="dxa"/>
                          <w:bottom w:w="28" w:type="dxa"/>
                          <w:right w:w="28" w:type="dxa"/>
                        </w:tblCellMar>
                      </w:tblPr>
                      <w:tblGrid>
                        <w:gridCol w:w="609"/>
                        <w:gridCol w:w="536"/>
                        <w:gridCol w:w="760"/>
                      </w:tblGrid>
                      <w:tr>
                        <w:trPr/>
                        <w:tc>
                          <w:tcPr>
                            <w:tcW w:w="6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spacing w:before="0" w:after="0"/>
        <w:jc w:val="right"/>
        <w:rPr/>
      </w:pPr>
      <w:r>
        <w:rPr/>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spacing w:before="0" w:after="0"/>
        <w:jc w:val="right"/>
        <w:rPr/>
      </w:pPr>
      <w:r>
        <w:rPr/>
      </w:r>
    </w:p>
    <w:p>
      <w:pPr>
        <w:pStyle w:val="TextBody"/>
        <w:spacing w:before="0" w:after="0"/>
        <w:rPr/>
      </w:pPr>
      <w:r>
        <w:rPr/>
      </w:r>
    </w:p>
    <w:p>
      <w:pPr>
        <w:pStyle w:val="TextBody"/>
        <w:spacing w:before="0" w:after="480"/>
        <w:jc w:val="center"/>
        <w:rPr/>
      </w:pPr>
      <w:r>
        <w:rPr/>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Royalty Purchase Agreement</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By and Between</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PureTech Health LLC, as the Seller, and </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Solely for purposes of Article 4 and Section 10.13, PureTech Health PLC, as the Seller Parent, on the one hand </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Royalty Pharma Investments 2019 ICAV, as the Buyer, on the other hand </w:t>
      </w:r>
    </w:p>
    <w:p>
      <w:pPr>
        <w:pStyle w:val="TextBody"/>
        <w:spacing w:lineRule="auto" w:line="240" w:before="0" w:after="240"/>
        <w:rPr>
          <w:color w:val="000000"/>
        </w:rPr>
      </w:pPr>
      <w:r>
        <w:rPr>
          <w:color w:val="000000"/>
        </w:rPr>
        <w:t>                        </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March 22, 2023</w:t>
      </w:r>
    </w:p>
    <w:p>
      <w:pPr>
        <w:pStyle w:val="TextBody"/>
        <w:spacing w:before="0" w:after="24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w:t>
      </w:r>
      <w:r>
        <w:rPr>
          <w:rFonts w:ascii="Times New Roman;sans-serif" w:hAnsi="Times New Roman;sans-serif"/>
          <w:b w:val="false"/>
          <w:color w:val="000000"/>
          <w:sz w:val="24"/>
        </w:rPr>
        <w:t>able of Contents</w:t>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260"/>
                <wp:effectExtent l="0" t="0" r="0" b="0"/>
                <wp:wrapNone/>
                <wp:docPr id="364" name="Frame3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3.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spacing w:before="0" w:after="0"/>
        <w:rPr/>
      </w:pPr>
      <w:r>
        <w:rPr/>
      </w:r>
    </w:p>
    <w:tbl>
      <w:tblPr>
        <w:tblW w:w="9900" w:type="dxa"/>
        <w:jc w:val="left"/>
        <w:tblInd w:w="0" w:type="dxa"/>
        <w:tblCellMar>
          <w:top w:w="28" w:type="dxa"/>
          <w:left w:w="28" w:type="dxa"/>
          <w:bottom w:w="28" w:type="dxa"/>
          <w:right w:w="28" w:type="dxa"/>
        </w:tblCellMar>
      </w:tblPr>
      <w:tblGrid>
        <w:gridCol w:w="3445"/>
        <w:gridCol w:w="3027"/>
        <w:gridCol w:w="3037"/>
        <w:gridCol w:w="114"/>
        <w:gridCol w:w="114"/>
        <w:gridCol w:w="163"/>
      </w:tblGrid>
      <w:tr>
        <w:trPr/>
        <w:tc>
          <w:tcPr>
            <w:tcW w:w="3445" w:type="dxa"/>
            <w:tcBorders/>
            <w:shd w:fill="auto" w:val="clear"/>
            <w:vAlign w:val="center"/>
          </w:tcPr>
          <w:p>
            <w:pPr>
              <w:pStyle w:val="TableContents"/>
              <w:spacing w:before="0" w:after="283"/>
              <w:rPr>
                <w:sz w:val="4"/>
                <w:szCs w:val="4"/>
              </w:rPr>
            </w:pPr>
            <w:r>
              <w:rPr>
                <w:sz w:val="4"/>
                <w:szCs w:val="4"/>
              </w:rPr>
            </w:r>
          </w:p>
        </w:tc>
        <w:tc>
          <w:tcPr>
            <w:tcW w:w="3027" w:type="dxa"/>
            <w:tcBorders/>
            <w:shd w:fill="auto" w:val="clear"/>
            <w:vAlign w:val="center"/>
          </w:tcPr>
          <w:p>
            <w:pPr>
              <w:pStyle w:val="TableContents"/>
              <w:spacing w:before="0" w:after="283"/>
              <w:rPr>
                <w:sz w:val="4"/>
                <w:szCs w:val="4"/>
              </w:rPr>
            </w:pPr>
            <w:r>
              <w:rPr>
                <w:sz w:val="4"/>
                <w:szCs w:val="4"/>
              </w:rPr>
            </w:r>
          </w:p>
        </w:tc>
        <w:tc>
          <w:tcPr>
            <w:tcW w:w="303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1 DEFINED TERMS AND RULES OF CONSTRUCTION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1.1</w:t>
              </w:r>
            </w:hyperlink>
            <w:hyperlink w:anchor="i0e62069d8f70492bba7e8f1d81d2ca0a_7">
              <w:r>
                <w:rPr>
                  <w:rStyle w:val="InternetLink"/>
                </w:rPr>
                <w:t>    </w:t>
              </w:r>
            </w:hyperlink>
            <w:hyperlink w:anchor="i0e62069d8f70492bba7e8f1d81d2ca0a_7">
              <w:r>
                <w:rPr>
                  <w:rStyle w:val="InternetLink"/>
                </w:rPr>
                <w:t>Definitions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1.2</w:t>
              </w:r>
            </w:hyperlink>
            <w:hyperlink w:anchor="i0e62069d8f70492bba7e8f1d81d2ca0a_7">
              <w:r>
                <w:rPr>
                  <w:rStyle w:val="InternetLink"/>
                </w:rPr>
                <w:t>    </w:t>
              </w:r>
            </w:hyperlink>
            <w:hyperlink w:anchor="i0e62069d8f70492bba7e8f1d81d2ca0a_7">
              <w:r>
                <w:rPr>
                  <w:rStyle w:val="InternetLink"/>
                </w:rPr>
                <w:t>Certain Interpretations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9</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1.3</w:t>
              </w:r>
            </w:hyperlink>
            <w:hyperlink w:anchor="i0e62069d8f70492bba7e8f1d81d2ca0a_7">
              <w:r>
                <w:rPr>
                  <w:rStyle w:val="InternetLink"/>
                </w:rPr>
                <w:t>    </w:t>
              </w:r>
            </w:hyperlink>
            <w:hyperlink w:anchor="i0e62069d8f70492bba7e8f1d81d2ca0a_7">
              <w:r>
                <w:rPr>
                  <w:rStyle w:val="InternetLink"/>
                </w:rPr>
                <w:t>Headings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2 PURCHASE, SALE AND ASSIGNMENT OF THE PURCHASED ROYALTY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2.1</w:t>
              </w:r>
            </w:hyperlink>
            <w:hyperlink w:anchor="i0e62069d8f70492bba7e8f1d81d2ca0a_7">
              <w:r>
                <w:rPr>
                  <w:rStyle w:val="InternetLink"/>
                </w:rPr>
                <w:t>    </w:t>
              </w:r>
            </w:hyperlink>
            <w:hyperlink w:anchor="i0e62069d8f70492bba7e8f1d81d2ca0a_7">
              <w:r>
                <w:rPr>
                  <w:rStyle w:val="InternetLink"/>
                </w:rPr>
                <w:t>Closing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2.2</w:t>
              </w:r>
            </w:hyperlink>
            <w:hyperlink w:anchor="i0e62069d8f70492bba7e8f1d81d2ca0a_7">
              <w:r>
                <w:rPr>
                  <w:rStyle w:val="InternetLink"/>
                </w:rPr>
                <w:t>    </w:t>
              </w:r>
            </w:hyperlink>
            <w:hyperlink w:anchor="i0e62069d8f70492bba7e8f1d81d2ca0a_7">
              <w:r>
                <w:rPr>
                  <w:rStyle w:val="InternetLink"/>
                </w:rPr>
                <w:t>No Assumed Obligations; Excluded Assets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12</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2.3</w:t>
              </w:r>
            </w:hyperlink>
            <w:hyperlink w:anchor="i0e62069d8f70492bba7e8f1d81d2ca0a_7">
              <w:r>
                <w:rPr>
                  <w:rStyle w:val="InternetLink"/>
                </w:rPr>
                <w:t>    </w:t>
              </w:r>
            </w:hyperlink>
            <w:hyperlink w:anchor="i0e62069d8f70492bba7e8f1d81d2ca0a_7">
              <w:r>
                <w:rPr>
                  <w:rStyle w:val="InternetLink"/>
                </w:rPr>
                <w:t>True Sale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12</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3 CLOSING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3.1</w:t>
              </w:r>
            </w:hyperlink>
            <w:hyperlink w:anchor="i0e62069d8f70492bba7e8f1d81d2ca0a_7">
              <w:r>
                <w:rPr>
                  <w:rStyle w:val="InternetLink"/>
                </w:rPr>
                <w:t>    </w:t>
              </w:r>
            </w:hyperlink>
            <w:hyperlink w:anchor="i0e62069d8f70492bba7e8f1d81d2ca0a_7">
              <w:r>
                <w:rPr>
                  <w:rStyle w:val="InternetLink"/>
                </w:rPr>
                <w:t>Closing; Payment of Purchase Price.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3.2</w:t>
              </w:r>
            </w:hyperlink>
            <w:hyperlink w:anchor="i0e62069d8f70492bba7e8f1d81d2ca0a_7">
              <w:r>
                <w:rPr>
                  <w:rStyle w:val="InternetLink"/>
                </w:rPr>
                <w:t>    </w:t>
              </w:r>
            </w:hyperlink>
            <w:hyperlink w:anchor="i0e62069d8f70492bba7e8f1d81d2ca0a_7">
              <w:r>
                <w:rPr>
                  <w:rStyle w:val="InternetLink"/>
                </w:rPr>
                <w:t>Bill of Sale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3.3</w:t>
              </w:r>
            </w:hyperlink>
            <w:hyperlink w:anchor="i0e62069d8f70492bba7e8f1d81d2ca0a_7">
              <w:r>
                <w:rPr>
                  <w:rStyle w:val="InternetLink"/>
                </w:rPr>
                <w:t>    </w:t>
              </w:r>
            </w:hyperlink>
            <w:hyperlink w:anchor="i0e62069d8f70492bba7e8f1d81d2ca0a_7">
              <w:r>
                <w:rPr>
                  <w:rStyle w:val="InternetLink"/>
                </w:rPr>
                <w:t>Licensee Instruction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3.4</w:t>
              </w:r>
            </w:hyperlink>
            <w:hyperlink w:anchor="i0e62069d8f70492bba7e8f1d81d2ca0a_7">
              <w:r>
                <w:rPr>
                  <w:rStyle w:val="InternetLink"/>
                </w:rPr>
                <w:t>    </w:t>
              </w:r>
            </w:hyperlink>
            <w:hyperlink w:anchor="i0e62069d8f70492bba7e8f1d81d2ca0a_7">
              <w:r>
                <w:rPr>
                  <w:rStyle w:val="InternetLink"/>
                </w:rPr>
                <w:t>Bilateral Common Interest and Joint Privilege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3.5</w:t>
              </w:r>
            </w:hyperlink>
            <w:hyperlink w:anchor="i0e62069d8f70492bba7e8f1d81d2ca0a_7">
              <w:r>
                <w:rPr>
                  <w:rStyle w:val="InternetLink"/>
                </w:rPr>
                <w:t>    </w:t>
              </w:r>
            </w:hyperlink>
            <w:hyperlink w:anchor="i0e62069d8f70492bba7e8f1d81d2ca0a_7">
              <w:r>
                <w:rPr>
                  <w:rStyle w:val="InternetLink"/>
                </w:rPr>
                <w:t>Escrow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3.6</w:t>
              </w:r>
            </w:hyperlink>
            <w:hyperlink w:anchor="i0e62069d8f70492bba7e8f1d81d2ca0a_7">
              <w:r>
                <w:rPr>
                  <w:rStyle w:val="InternetLink"/>
                </w:rPr>
                <w:t>    </w:t>
              </w:r>
            </w:hyperlink>
            <w:hyperlink w:anchor="i0e62069d8f70492bba7e8f1d81d2ca0a_7">
              <w:r>
                <w:rPr>
                  <w:rStyle w:val="InternetLink"/>
                </w:rPr>
                <w:t>Form W-9</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3.7</w:t>
              </w:r>
            </w:hyperlink>
            <w:hyperlink w:anchor="i0e62069d8f70492bba7e8f1d81d2ca0a_7">
              <w:r>
                <w:rPr>
                  <w:rStyle w:val="InternetLink"/>
                </w:rPr>
                <w:t>    </w:t>
              </w:r>
            </w:hyperlink>
            <w:hyperlink w:anchor="i0e62069d8f70492bba7e8f1d81d2ca0a_7">
              <w:r>
                <w:rPr>
                  <w:rStyle w:val="InternetLink"/>
                </w:rPr>
                <w:t>Form W-8BEN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3.8</w:t>
              </w:r>
            </w:hyperlink>
            <w:hyperlink w:anchor="i0e62069d8f70492bba7e8f1d81d2ca0a_7">
              <w:r>
                <w:rPr>
                  <w:rStyle w:val="InternetLink"/>
                </w:rPr>
                <w:t>    </w:t>
              </w:r>
            </w:hyperlink>
            <w:hyperlink w:anchor="i0e62069d8f70492bba7e8f1d81d2ca0a_7">
              <w:r>
                <w:rPr>
                  <w:rStyle w:val="InternetLink"/>
                </w:rPr>
                <w:t>Additional Documents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4 SELLER’S AND SELLER PARENT’S REPRESENTATIONS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w:t>
              </w:r>
            </w:hyperlink>
            <w:hyperlink w:anchor="i0e62069d8f70492bba7e8f1d81d2ca0a_7">
              <w:r>
                <w:rPr>
                  <w:rStyle w:val="InternetLink"/>
                </w:rPr>
                <w:t>    </w:t>
              </w:r>
            </w:hyperlink>
            <w:hyperlink w:anchor="i0e62069d8f70492bba7e8f1d81d2ca0a_7">
              <w:r>
                <w:rPr>
                  <w:rStyle w:val="InternetLink"/>
                </w:rPr>
                <w:t>Existence; Good Standing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4.2</w:t>
              </w:r>
            </w:hyperlink>
            <w:hyperlink w:anchor="i0e62069d8f70492bba7e8f1d81d2ca0a_7">
              <w:r>
                <w:rPr>
                  <w:rStyle w:val="InternetLink"/>
                </w:rPr>
                <w:t>    </w:t>
              </w:r>
            </w:hyperlink>
            <w:hyperlink w:anchor="i0e62069d8f70492bba7e8f1d81d2ca0a_7">
              <w:r>
                <w:rPr>
                  <w:rStyle w:val="InternetLink"/>
                </w:rPr>
                <w:t>Authorization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4.3</w:t>
              </w:r>
            </w:hyperlink>
            <w:hyperlink w:anchor="i0e62069d8f70492bba7e8f1d81d2ca0a_7">
              <w:r>
                <w:rPr>
                  <w:rStyle w:val="InternetLink"/>
                </w:rPr>
                <w:t>    </w:t>
              </w:r>
            </w:hyperlink>
            <w:hyperlink w:anchor="i0e62069d8f70492bba7e8f1d81d2ca0a_7">
              <w:r>
                <w:rPr>
                  <w:rStyle w:val="InternetLink"/>
                </w:rPr>
                <w:t>Enforceability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4.4</w:t>
              </w:r>
            </w:hyperlink>
            <w:hyperlink w:anchor="i0e62069d8f70492bba7e8f1d81d2ca0a_7">
              <w:r>
                <w:rPr>
                  <w:rStyle w:val="InternetLink"/>
                </w:rPr>
                <w:t>    </w:t>
              </w:r>
            </w:hyperlink>
            <w:hyperlink w:anchor="i0e62069d8f70492bba7e8f1d81d2ca0a_7">
              <w:r>
                <w:rPr>
                  <w:rStyle w:val="InternetLink"/>
                </w:rPr>
                <w:t>No Conflicts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4.5</w:t>
              </w:r>
            </w:hyperlink>
            <w:hyperlink w:anchor="i0e62069d8f70492bba7e8f1d81d2ca0a_7">
              <w:r>
                <w:rPr>
                  <w:rStyle w:val="InternetLink"/>
                </w:rPr>
                <w:t>    </w:t>
              </w:r>
            </w:hyperlink>
            <w:hyperlink w:anchor="i0e62069d8f70492bba7e8f1d81d2ca0a_7">
              <w:r>
                <w:rPr>
                  <w:rStyle w:val="InternetLink"/>
                </w:rPr>
                <w:t>Consents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4.6</w:t>
              </w:r>
            </w:hyperlink>
            <w:hyperlink w:anchor="i0e62069d8f70492bba7e8f1d81d2ca0a_7">
              <w:r>
                <w:rPr>
                  <w:rStyle w:val="InternetLink"/>
                </w:rPr>
                <w:t>    </w:t>
              </w:r>
            </w:hyperlink>
            <w:hyperlink w:anchor="i0e62069d8f70492bba7e8f1d81d2ca0a_7">
              <w:r>
                <w:rPr>
                  <w:rStyle w:val="InternetLink"/>
                </w:rPr>
                <w:t>No Litigation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4.7</w:t>
              </w:r>
            </w:hyperlink>
            <w:hyperlink w:anchor="i0e62069d8f70492bba7e8f1d81d2ca0a_7">
              <w:r>
                <w:rPr>
                  <w:rStyle w:val="InternetLink"/>
                </w:rPr>
                <w:t>    </w:t>
              </w:r>
            </w:hyperlink>
            <w:hyperlink w:anchor="i0e62069d8f70492bba7e8f1d81d2ca0a_7">
              <w:r>
                <w:rPr>
                  <w:rStyle w:val="InternetLink"/>
                </w:rPr>
                <w:t>Compliance with Laws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4.8</w:t>
              </w:r>
            </w:hyperlink>
            <w:hyperlink w:anchor="i0e62069d8f70492bba7e8f1d81d2ca0a_7">
              <w:r>
                <w:rPr>
                  <w:rStyle w:val="InternetLink"/>
                </w:rPr>
                <w:t>    </w:t>
              </w:r>
            </w:hyperlink>
            <w:hyperlink w:anchor="i0e62069d8f70492bba7e8f1d81d2ca0a_7">
              <w:r>
                <w:rPr>
                  <w:rStyle w:val="InternetLink"/>
                </w:rPr>
                <w:t>No Undisclosed Events or Circumstances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4.9</w:t>
              </w:r>
            </w:hyperlink>
            <w:hyperlink w:anchor="i0e62069d8f70492bba7e8f1d81d2ca0a_7">
              <w:r>
                <w:rPr>
                  <w:rStyle w:val="InternetLink"/>
                </w:rPr>
                <w:t>    </w:t>
              </w:r>
            </w:hyperlink>
            <w:hyperlink w:anchor="i0e62069d8f70492bba7e8f1d81d2ca0a_7">
              <w:r>
                <w:rPr>
                  <w:rStyle w:val="InternetLink"/>
                </w:rPr>
                <w:t>License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4.10</w:t>
              </w:r>
            </w:hyperlink>
            <w:hyperlink w:anchor="i0e62069d8f70492bba7e8f1d81d2ca0a_7">
              <w:r>
                <w:rPr>
                  <w:rStyle w:val="InternetLink"/>
                </w:rPr>
                <w:t>    </w:t>
              </w:r>
            </w:hyperlink>
            <w:hyperlink w:anchor="i0e62069d8f70492bba7e8f1d81d2ca0a_7">
              <w:r>
                <w:rPr>
                  <w:rStyle w:val="InternetLink"/>
                </w:rPr>
                <w:t>Title to Purchased Royalty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18</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4.11</w:t>
              </w:r>
            </w:hyperlink>
            <w:hyperlink w:anchor="i0e62069d8f70492bba7e8f1d81d2ca0a_7">
              <w:r>
                <w:rPr>
                  <w:rStyle w:val="InternetLink"/>
                </w:rPr>
                <w:t>    </w:t>
              </w:r>
            </w:hyperlink>
            <w:hyperlink w:anchor="i0e62069d8f70492bba7e8f1d81d2ca0a_7">
              <w:r>
                <w:rPr>
                  <w:rStyle w:val="InternetLink"/>
                </w:rPr>
                <w:t>Intellectual Property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18</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4.12</w:t>
              </w:r>
            </w:hyperlink>
            <w:hyperlink w:anchor="i0e62069d8f70492bba7e8f1d81d2ca0a_7">
              <w:r>
                <w:rPr>
                  <w:rStyle w:val="InternetLink"/>
                </w:rPr>
                <w:t>    </w:t>
              </w:r>
            </w:hyperlink>
            <w:hyperlink w:anchor="i0e62069d8f70492bba7e8f1d81d2ca0a_7">
              <w:r>
                <w:rPr>
                  <w:rStyle w:val="InternetLink"/>
                </w:rPr>
                <w:t>UCC Representation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19</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4.13</w:t>
              </w:r>
            </w:hyperlink>
            <w:hyperlink w:anchor="i0e62069d8f70492bba7e8f1d81d2ca0a_7">
              <w:r>
                <w:rPr>
                  <w:rStyle w:val="InternetLink"/>
                </w:rPr>
                <w:t>    </w:t>
              </w:r>
            </w:hyperlink>
            <w:hyperlink w:anchor="i0e62069d8f70492bba7e8f1d81d2ca0a_7">
              <w:r>
                <w:rPr>
                  <w:rStyle w:val="InternetLink"/>
                </w:rPr>
                <w:t>Brokers’ Fees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19</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4.14</w:t>
              </w:r>
            </w:hyperlink>
            <w:hyperlink w:anchor="i0e62069d8f70492bba7e8f1d81d2ca0a_7">
              <w:r>
                <w:rPr>
                  <w:rStyle w:val="InternetLink"/>
                </w:rPr>
                <w:t>    </w:t>
              </w:r>
            </w:hyperlink>
            <w:hyperlink w:anchor="i0e62069d8f70492bba7e8f1d81d2ca0a_7">
              <w:r>
                <w:rPr>
                  <w:rStyle w:val="InternetLink"/>
                </w:rPr>
                <w:t>Taxes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4.15</w:t>
              </w:r>
            </w:hyperlink>
            <w:hyperlink w:anchor="i0e62069d8f70492bba7e8f1d81d2ca0a_7">
              <w:r>
                <w:rPr>
                  <w:rStyle w:val="InternetLink"/>
                </w:rPr>
                <w:t>    </w:t>
              </w:r>
            </w:hyperlink>
            <w:hyperlink w:anchor="i0e62069d8f70492bba7e8f1d81d2ca0a_7">
              <w:r>
                <w:rPr>
                  <w:rStyle w:val="InternetLink"/>
                </w:rPr>
                <w:t>No Implied Representations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5 BUYER’S REPRESENTATIONS AND WARRANTIES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5.1</w:t>
              </w:r>
            </w:hyperlink>
            <w:hyperlink w:anchor="i0e62069d8f70492bba7e8f1d81d2ca0a_7">
              <w:r>
                <w:rPr>
                  <w:rStyle w:val="InternetLink"/>
                </w:rPr>
                <w:t>    </w:t>
              </w:r>
            </w:hyperlink>
            <w:hyperlink w:anchor="i0e62069d8f70492bba7e8f1d81d2ca0a_7">
              <w:r>
                <w:rPr>
                  <w:rStyle w:val="InternetLink"/>
                </w:rPr>
                <w:t>Existence; Good Standing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5.2</w:t>
              </w:r>
            </w:hyperlink>
            <w:hyperlink w:anchor="i0e62069d8f70492bba7e8f1d81d2ca0a_7">
              <w:r>
                <w:rPr>
                  <w:rStyle w:val="InternetLink"/>
                </w:rPr>
                <w:t>    </w:t>
              </w:r>
            </w:hyperlink>
            <w:hyperlink w:anchor="i0e62069d8f70492bba7e8f1d81d2ca0a_7">
              <w:r>
                <w:rPr>
                  <w:rStyle w:val="InternetLink"/>
                </w:rPr>
                <w:t>Authorization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bl>
    <w:p>
      <w:pPr>
        <w:pStyle w:val="TextBody"/>
        <w:spacing w:lineRule="auto" w:line="240" w:before="0" w:after="0"/>
        <w:jc w:val="center"/>
        <w:rPr>
          <w:rFonts w:ascii="Times New Roman;sans-serif" w:hAnsi="Times New Roman;sans-serif"/>
          <w:b w:val="false"/>
          <w:color w:val="000000"/>
          <w:sz w:val="24"/>
        </w:rPr>
      </w:pPr>
      <w:r>
        <w:br w:type="page"/>
      </w:r>
      <w:r>
        <w:rPr>
          <w:rFonts w:ascii="Times New Roman;sans-serif" w:hAnsi="Times New Roman;sans-serif"/>
          <w:b w:val="false"/>
          <w:color w:val="000000"/>
          <w:sz w:val="24"/>
        </w:rPr>
        <w:t>T</w:t>
      </w:r>
      <w:r>
        <w:rPr>
          <w:rFonts w:ascii="Times New Roman;sans-serif" w:hAnsi="Times New Roman;sans-serif"/>
          <w:b w:val="false"/>
          <w:color w:val="000000"/>
          <w:sz w:val="24"/>
        </w:rPr>
        <w:t>able of Contents</w:t>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628650"/>
                <wp:effectExtent l="0" t="0" r="0" b="0"/>
                <wp:wrapNone/>
                <wp:docPr id="365" name="Frame36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83.8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spacing w:before="0" w:after="0"/>
        <w:rPr/>
      </w:pPr>
      <w:r>
        <w:rPr/>
      </w:r>
    </w:p>
    <w:tbl>
      <w:tblPr>
        <w:tblW w:w="7155" w:type="dxa"/>
        <w:jc w:val="left"/>
        <w:tblInd w:w="0" w:type="dxa"/>
        <w:tblCellMar>
          <w:top w:w="28" w:type="dxa"/>
          <w:left w:w="28" w:type="dxa"/>
          <w:bottom w:w="28" w:type="dxa"/>
          <w:right w:w="28" w:type="dxa"/>
        </w:tblCellMar>
      </w:tblPr>
      <w:tblGrid>
        <w:gridCol w:w="2452"/>
        <w:gridCol w:w="2153"/>
        <w:gridCol w:w="2159"/>
        <w:gridCol w:w="114"/>
        <w:gridCol w:w="114"/>
        <w:gridCol w:w="163"/>
      </w:tblGrid>
      <w:tr>
        <w:trPr/>
        <w:tc>
          <w:tcPr>
            <w:tcW w:w="2452"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21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5.3</w:t>
              </w:r>
            </w:hyperlink>
            <w:hyperlink w:anchor="i0e62069d8f70492bba7e8f1d81d2ca0a_7">
              <w:r>
                <w:rPr>
                  <w:rStyle w:val="InternetLink"/>
                </w:rPr>
                <w:t>    </w:t>
              </w:r>
            </w:hyperlink>
            <w:hyperlink w:anchor="i0e62069d8f70492bba7e8f1d81d2ca0a_7">
              <w:r>
                <w:rPr>
                  <w:rStyle w:val="InternetLink"/>
                </w:rPr>
                <w:t>Enforceability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20</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5.4</w:t>
              </w:r>
            </w:hyperlink>
            <w:hyperlink w:anchor="i0e62069d8f70492bba7e8f1d81d2ca0a_7">
              <w:r>
                <w:rPr>
                  <w:rStyle w:val="InternetLink"/>
                </w:rPr>
                <w:t>    </w:t>
              </w:r>
            </w:hyperlink>
            <w:hyperlink w:anchor="i0e62069d8f70492bba7e8f1d81d2ca0a_7">
              <w:r>
                <w:rPr>
                  <w:rStyle w:val="InternetLink"/>
                </w:rPr>
                <w:t>No Conflicts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5.5</w:t>
              </w:r>
            </w:hyperlink>
            <w:hyperlink w:anchor="i0e62069d8f70492bba7e8f1d81d2ca0a_7">
              <w:r>
                <w:rPr>
                  <w:rStyle w:val="InternetLink"/>
                </w:rPr>
                <w:t>    </w:t>
              </w:r>
            </w:hyperlink>
            <w:hyperlink w:anchor="i0e62069d8f70492bba7e8f1d81d2ca0a_7">
              <w:r>
                <w:rPr>
                  <w:rStyle w:val="InternetLink"/>
                </w:rPr>
                <w:t>Consents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5.6</w:t>
              </w:r>
            </w:hyperlink>
            <w:hyperlink w:anchor="i0e62069d8f70492bba7e8f1d81d2ca0a_7">
              <w:r>
                <w:rPr>
                  <w:rStyle w:val="InternetLink"/>
                </w:rPr>
                <w:t>    </w:t>
              </w:r>
            </w:hyperlink>
            <w:hyperlink w:anchor="i0e62069d8f70492bba7e8f1d81d2ca0a_7">
              <w:r>
                <w:rPr>
                  <w:rStyle w:val="InternetLink"/>
                </w:rPr>
                <w:t>No Litigation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5.7</w:t>
              </w:r>
            </w:hyperlink>
            <w:hyperlink w:anchor="i0e62069d8f70492bba7e8f1d81d2ca0a_7">
              <w:r>
                <w:rPr>
                  <w:rStyle w:val="InternetLink"/>
                </w:rPr>
                <w:t>    </w:t>
              </w:r>
            </w:hyperlink>
            <w:hyperlink w:anchor="i0e62069d8f70492bba7e8f1d81d2ca0a_7">
              <w:r>
                <w:rPr>
                  <w:rStyle w:val="InternetLink"/>
                </w:rPr>
                <w:t>Financing</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5.8</w:t>
              </w:r>
            </w:hyperlink>
            <w:hyperlink w:anchor="i0e62069d8f70492bba7e8f1d81d2ca0a_7">
              <w:r>
                <w:rPr>
                  <w:rStyle w:val="InternetLink"/>
                </w:rPr>
                <w:t>    </w:t>
              </w:r>
            </w:hyperlink>
            <w:hyperlink w:anchor="i0e62069d8f70492bba7e8f1d81d2ca0a_7">
              <w:r>
                <w:rPr>
                  <w:rStyle w:val="InternetLink"/>
                </w:rPr>
                <w:t>Brokers’ Fees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Article 6</w:t>
              </w:r>
            </w:hyperlink>
            <w:hyperlink w:anchor="i0e62069d8f70492bba7e8f1d81d2ca0a_7">
              <w:r>
                <w:rPr>
                  <w:rStyle w:val="InternetLink"/>
                </w:rPr>
                <w:t>    </w:t>
              </w:r>
            </w:hyperlink>
            <w:hyperlink w:anchor="i0e62069d8f70492bba7e8f1d81d2ca0a_7">
              <w:r>
                <w:rPr>
                  <w:rStyle w:val="InternetLink"/>
                </w:rPr>
                <w:t xml:space="preserve"> COVENANTS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w:t>
              </w:r>
            </w:hyperlink>
            <w:hyperlink w:anchor="i0e62069d8f70492bba7e8f1d81d2ca0a_7">
              <w:r>
                <w:rPr>
                  <w:rStyle w:val="InternetLink"/>
                </w:rPr>
                <w:t>    </w:t>
              </w:r>
            </w:hyperlink>
            <w:hyperlink w:anchor="i0e62069d8f70492bba7e8f1d81d2ca0a_7">
              <w:r>
                <w:rPr>
                  <w:rStyle w:val="InternetLink"/>
                </w:rPr>
                <w:t>Disclosures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6.2</w:t>
              </w:r>
            </w:hyperlink>
            <w:hyperlink w:anchor="i0e62069d8f70492bba7e8f1d81d2ca0a_7">
              <w:r>
                <w:rPr>
                  <w:rStyle w:val="InternetLink"/>
                </w:rPr>
                <w:t>    </w:t>
              </w:r>
            </w:hyperlink>
            <w:hyperlink w:anchor="i0e62069d8f70492bba7e8f1d81d2ca0a_7">
              <w:r>
                <w:rPr>
                  <w:rStyle w:val="InternetLink"/>
                </w:rPr>
                <w:t>Payments Received In Error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6.3</w:t>
              </w:r>
            </w:hyperlink>
            <w:hyperlink w:anchor="i0e62069d8f70492bba7e8f1d81d2ca0a_7">
              <w:r>
                <w:rPr>
                  <w:rStyle w:val="InternetLink"/>
                </w:rPr>
                <w:t>    </w:t>
              </w:r>
            </w:hyperlink>
            <w:hyperlink w:anchor="i0e62069d8f70492bba7e8f1d81d2ca0a_7">
              <w:r>
                <w:rPr>
                  <w:rStyle w:val="InternetLink"/>
                </w:rPr>
                <w:t>Royalty Reduction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6.4</w:t>
              </w:r>
            </w:hyperlink>
            <w:hyperlink w:anchor="i0e62069d8f70492bba7e8f1d81d2ca0a_7">
              <w:r>
                <w:rPr>
                  <w:rStyle w:val="InternetLink"/>
                </w:rPr>
                <w:t>    </w:t>
              </w:r>
            </w:hyperlink>
            <w:hyperlink w:anchor="i0e62069d8f70492bba7e8f1d81d2ca0a_7">
              <w:r>
                <w:rPr>
                  <w:rStyle w:val="InternetLink"/>
                </w:rPr>
                <w:t>Interest on Overdue Payments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6.5</w:t>
              </w:r>
            </w:hyperlink>
            <w:hyperlink w:anchor="i0e62069d8f70492bba7e8f1d81d2ca0a_7">
              <w:r>
                <w:rPr>
                  <w:rStyle w:val="InternetLink"/>
                </w:rPr>
                <w:t>    </w:t>
              </w:r>
            </w:hyperlink>
            <w:hyperlink w:anchor="i0e62069d8f70492bba7e8f1d81d2ca0a_7">
              <w:r>
                <w:rPr>
                  <w:rStyle w:val="InternetLink"/>
                </w:rPr>
                <w:t>Royalty Reports; Communications with Licensee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6.6</w:t>
              </w:r>
            </w:hyperlink>
            <w:hyperlink w:anchor="i0e62069d8f70492bba7e8f1d81d2ca0a_7">
              <w:r>
                <w:rPr>
                  <w:rStyle w:val="InternetLink"/>
                </w:rPr>
                <w:t>    </w:t>
              </w:r>
            </w:hyperlink>
            <w:hyperlink w:anchor="i0e62069d8f70492bba7e8f1d81d2ca0a_7">
              <w:r>
                <w:rPr>
                  <w:rStyle w:val="InternetLink"/>
                </w:rPr>
                <w:t>Inspections and Audits of Licensee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23</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6.7</w:t>
              </w:r>
            </w:hyperlink>
            <w:hyperlink w:anchor="i0e62069d8f70492bba7e8f1d81d2ca0a_7">
              <w:r>
                <w:rPr>
                  <w:rStyle w:val="InternetLink"/>
                </w:rPr>
                <w:t>    </w:t>
              </w:r>
            </w:hyperlink>
            <w:hyperlink w:anchor="i0e62069d8f70492bba7e8f1d81d2ca0a_7">
              <w:r>
                <w:rPr>
                  <w:rStyle w:val="InternetLink"/>
                </w:rPr>
                <w:t>Amendment of License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6.8</w:t>
              </w:r>
            </w:hyperlink>
            <w:hyperlink w:anchor="i0e62069d8f70492bba7e8f1d81d2ca0a_7">
              <w:r>
                <w:rPr>
                  <w:rStyle w:val="InternetLink"/>
                </w:rPr>
                <w:t>    </w:t>
              </w:r>
            </w:hyperlink>
            <w:hyperlink w:anchor="i0e62069d8f70492bba7e8f1d81d2ca0a_7">
              <w:r>
                <w:rPr>
                  <w:rStyle w:val="InternetLink"/>
                </w:rPr>
                <w:t>Assignment of License Agreement and Licensed Patents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6.9</w:t>
              </w:r>
            </w:hyperlink>
            <w:hyperlink w:anchor="i0e62069d8f70492bba7e8f1d81d2ca0a_7">
              <w:r>
                <w:rPr>
                  <w:rStyle w:val="InternetLink"/>
                </w:rPr>
                <w:t>    </w:t>
              </w:r>
            </w:hyperlink>
            <w:hyperlink w:anchor="i0e62069d8f70492bba7e8f1d81d2ca0a_7">
              <w:r>
                <w:rPr>
                  <w:rStyle w:val="InternetLink"/>
                </w:rPr>
                <w:t>Maintenance of License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25</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6.10</w:t>
              </w:r>
            </w:hyperlink>
            <w:hyperlink w:anchor="i0e62069d8f70492bba7e8f1d81d2ca0a_7">
              <w:r>
                <w:rPr>
                  <w:rStyle w:val="InternetLink"/>
                </w:rPr>
                <w:t>    </w:t>
              </w:r>
            </w:hyperlink>
            <w:hyperlink w:anchor="i0e62069d8f70492bba7e8f1d81d2ca0a_7">
              <w:r>
                <w:rPr>
                  <w:rStyle w:val="InternetLink"/>
                </w:rPr>
                <w:t>Enforcement of License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25</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6.11</w:t>
              </w:r>
            </w:hyperlink>
            <w:hyperlink w:anchor="i0e62069d8f70492bba7e8f1d81d2ca0a_7">
              <w:r>
                <w:rPr>
                  <w:rStyle w:val="InternetLink"/>
                </w:rPr>
                <w:t>    </w:t>
              </w:r>
            </w:hyperlink>
            <w:hyperlink w:anchor="i0e62069d8f70492bba7e8f1d81d2ca0a_7">
              <w:r>
                <w:rPr>
                  <w:rStyle w:val="InternetLink"/>
                </w:rPr>
                <w:t>Termination of License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26</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6.12</w:t>
              </w:r>
            </w:hyperlink>
            <w:hyperlink w:anchor="i0e62069d8f70492bba7e8f1d81d2ca0a_7">
              <w:r>
                <w:rPr>
                  <w:rStyle w:val="InternetLink"/>
                </w:rPr>
                <w:t>    </w:t>
              </w:r>
            </w:hyperlink>
            <w:hyperlink w:anchor="i0e62069d8f70492bba7e8f1d81d2ca0a_7">
              <w:r>
                <w:rPr>
                  <w:rStyle w:val="InternetLink"/>
                </w:rPr>
                <w:t>New Arrangements.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26</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6.13</w:t>
              </w:r>
            </w:hyperlink>
            <w:hyperlink w:anchor="i0e62069d8f70492bba7e8f1d81d2ca0a_7">
              <w:r>
                <w:rPr>
                  <w:rStyle w:val="InternetLink"/>
                </w:rPr>
                <w:t>    </w:t>
              </w:r>
            </w:hyperlink>
            <w:hyperlink w:anchor="i0e62069d8f70492bba7e8f1d81d2ca0a_7">
              <w:r>
                <w:rPr>
                  <w:rStyle w:val="InternetLink"/>
                </w:rPr>
                <w:t>No Impairment of the Purchased Royalty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27</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6.14</w:t>
              </w:r>
            </w:hyperlink>
            <w:hyperlink w:anchor="i0e62069d8f70492bba7e8f1d81d2ca0a_7">
              <w:r>
                <w:rPr>
                  <w:rStyle w:val="InternetLink"/>
                </w:rPr>
                <w:t>    </w:t>
              </w:r>
            </w:hyperlink>
            <w:hyperlink w:anchor="i0e62069d8f70492bba7e8f1d81d2ca0a_7">
              <w:r>
                <w:rPr>
                  <w:rStyle w:val="InternetLink"/>
                </w:rPr>
                <w:t>Enforcement; Defense; Prosecution and Maintenance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27</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6.15</w:t>
              </w:r>
            </w:hyperlink>
            <w:hyperlink w:anchor="i0e62069d8f70492bba7e8f1d81d2ca0a_7">
              <w:r>
                <w:rPr>
                  <w:rStyle w:val="InternetLink"/>
                </w:rPr>
                <w:t>    </w:t>
              </w:r>
            </w:hyperlink>
            <w:hyperlink w:anchor="i0e62069d8f70492bba7e8f1d81d2ca0a_7">
              <w:r>
                <w:rPr>
                  <w:rStyle w:val="InternetLink"/>
                </w:rPr>
                <w:t>Further Assurances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29</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6.16</w:t>
              </w:r>
            </w:hyperlink>
            <w:hyperlink w:anchor="i0e62069d8f70492bba7e8f1d81d2ca0a_7">
              <w:r>
                <w:rPr>
                  <w:rStyle w:val="InternetLink"/>
                </w:rPr>
                <w:t>    </w:t>
              </w:r>
            </w:hyperlink>
            <w:hyperlink w:anchor="i0e62069d8f70492bba7e8f1d81d2ca0a_7">
              <w:r>
                <w:rPr>
                  <w:rStyle w:val="InternetLink"/>
                </w:rPr>
                <w:t>Tax Matters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29</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6.17</w:t>
              </w:r>
            </w:hyperlink>
            <w:hyperlink w:anchor="i0e62069d8f70492bba7e8f1d81d2ca0a_7">
              <w:r>
                <w:rPr>
                  <w:rStyle w:val="InternetLink"/>
                </w:rPr>
                <w:t>    </w:t>
              </w:r>
            </w:hyperlink>
            <w:hyperlink w:anchor="i0e62069d8f70492bba7e8f1d81d2ca0a_7">
              <w:r>
                <w:rPr>
                  <w:rStyle w:val="InternetLink"/>
                </w:rPr>
                <w:t>Seller Monetization Transaction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7 CONFIDENTIALITY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7.1</w:t>
              </w:r>
            </w:hyperlink>
            <w:hyperlink w:anchor="i0e62069d8f70492bba7e8f1d81d2ca0a_7">
              <w:r>
                <w:rPr>
                  <w:rStyle w:val="InternetLink"/>
                </w:rPr>
                <w:t>    </w:t>
              </w:r>
            </w:hyperlink>
            <w:hyperlink w:anchor="i0e62069d8f70492bba7e8f1d81d2ca0a_7">
              <w:r>
                <w:rPr>
                  <w:rStyle w:val="InternetLink"/>
                </w:rPr>
                <w:t>Confidentiality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7.2</w:t>
              </w:r>
            </w:hyperlink>
            <w:hyperlink w:anchor="i0e62069d8f70492bba7e8f1d81d2ca0a_7">
              <w:r>
                <w:rPr>
                  <w:rStyle w:val="InternetLink"/>
                </w:rPr>
                <w:t>    </w:t>
              </w:r>
            </w:hyperlink>
            <w:hyperlink w:anchor="i0e62069d8f70492bba7e8f1d81d2ca0a_7">
              <w:r>
                <w:rPr>
                  <w:rStyle w:val="InternetLink"/>
                </w:rPr>
                <w:t>Authorized Disclosure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31</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7.3</w:t>
              </w:r>
            </w:hyperlink>
            <w:hyperlink w:anchor="i0e62069d8f70492bba7e8f1d81d2ca0a_7">
              <w:r>
                <w:rPr>
                  <w:rStyle w:val="InternetLink"/>
                </w:rPr>
                <w:t>    </w:t>
              </w:r>
            </w:hyperlink>
            <w:hyperlink w:anchor="i0e62069d8f70492bba7e8f1d81d2ca0a_7">
              <w:r>
                <w:rPr>
                  <w:rStyle w:val="InternetLink"/>
                </w:rPr>
                <w:t>Termination of Confidentiality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8 INDEMNIFICATION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8.1</w:t>
              </w:r>
            </w:hyperlink>
            <w:hyperlink w:anchor="i0e62069d8f70492bba7e8f1d81d2ca0a_7">
              <w:r>
                <w:rPr>
                  <w:rStyle w:val="InternetLink"/>
                </w:rPr>
                <w:t>    </w:t>
              </w:r>
            </w:hyperlink>
            <w:hyperlink w:anchor="i0e62069d8f70492bba7e8f1d81d2ca0a_7">
              <w:r>
                <w:rPr>
                  <w:rStyle w:val="InternetLink"/>
                </w:rPr>
                <w:t>General Indemnity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8.2</w:t>
              </w:r>
            </w:hyperlink>
            <w:hyperlink w:anchor="i0e62069d8f70492bba7e8f1d81d2ca0a_7">
              <w:r>
                <w:rPr>
                  <w:rStyle w:val="InternetLink"/>
                </w:rPr>
                <w:t>    </w:t>
              </w:r>
            </w:hyperlink>
            <w:hyperlink w:anchor="i0e62069d8f70492bba7e8f1d81d2ca0a_7">
              <w:r>
                <w:rPr>
                  <w:rStyle w:val="InternetLink"/>
                </w:rPr>
                <w:t>Notice of Claims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8.3</w:t>
              </w:r>
            </w:hyperlink>
            <w:hyperlink w:anchor="i0e62069d8f70492bba7e8f1d81d2ca0a_7">
              <w:r>
                <w:rPr>
                  <w:rStyle w:val="InternetLink"/>
                </w:rPr>
                <w:t>    </w:t>
              </w:r>
            </w:hyperlink>
            <w:hyperlink w:anchor="i0e62069d8f70492bba7e8f1d81d2ca0a_7">
              <w:r>
                <w:rPr>
                  <w:rStyle w:val="InternetLink"/>
                </w:rPr>
                <w:t>Limitations on Liability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8.4</w:t>
              </w:r>
            </w:hyperlink>
            <w:hyperlink w:anchor="i0e62069d8f70492bba7e8f1d81d2ca0a_7">
              <w:r>
                <w:rPr>
                  <w:rStyle w:val="InternetLink"/>
                </w:rPr>
                <w:t>    </w:t>
              </w:r>
            </w:hyperlink>
            <w:hyperlink w:anchor="i0e62069d8f70492bba7e8f1d81d2ca0a_7">
              <w:r>
                <w:rPr>
                  <w:rStyle w:val="InternetLink"/>
                </w:rPr>
                <w:t>Third Party Claims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8.5</w:t>
              </w:r>
            </w:hyperlink>
            <w:hyperlink w:anchor="i0e62069d8f70492bba7e8f1d81d2ca0a_7">
              <w:r>
                <w:rPr>
                  <w:rStyle w:val="InternetLink"/>
                </w:rPr>
                <w:t>    </w:t>
              </w:r>
            </w:hyperlink>
            <w:hyperlink w:anchor="i0e62069d8f70492bba7e8f1d81d2ca0a_7">
              <w:r>
                <w:rPr>
                  <w:rStyle w:val="InternetLink"/>
                </w:rPr>
                <w:t>Exclusive Remedy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8.6</w:t>
              </w:r>
            </w:hyperlink>
            <w:hyperlink w:anchor="i0e62069d8f70492bba7e8f1d81d2ca0a_7">
              <w:r>
                <w:rPr>
                  <w:rStyle w:val="InternetLink"/>
                </w:rPr>
                <w:t>    </w:t>
              </w:r>
            </w:hyperlink>
            <w:hyperlink w:anchor="i0e62069d8f70492bba7e8f1d81d2ca0a_7">
              <w:r>
                <w:rPr>
                  <w:rStyle w:val="InternetLink"/>
                </w:rPr>
                <w:t>Tax Treatment of Indemnification Payments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9 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9.1</w:t>
              </w:r>
            </w:hyperlink>
            <w:hyperlink w:anchor="i0e62069d8f70492bba7e8f1d81d2ca0a_7">
              <w:r>
                <w:rPr>
                  <w:rStyle w:val="InternetLink"/>
                </w:rPr>
                <w:t>    </w:t>
              </w:r>
            </w:hyperlink>
            <w:hyperlink w:anchor="i0e62069d8f70492bba7e8f1d81d2ca0a_7">
              <w:r>
                <w:rPr>
                  <w:rStyle w:val="InternetLink"/>
                </w:rPr>
                <w:t>Grounds for 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9.2</w:t>
              </w:r>
            </w:hyperlink>
            <w:hyperlink w:anchor="i0e62069d8f70492bba7e8f1d81d2ca0a_7">
              <w:r>
                <w:rPr>
                  <w:rStyle w:val="InternetLink"/>
                </w:rPr>
                <w:t>    </w:t>
              </w:r>
            </w:hyperlink>
            <w:hyperlink w:anchor="i0e62069d8f70492bba7e8f1d81d2ca0a_7">
              <w:r>
                <w:rPr>
                  <w:rStyle w:val="InternetLink"/>
                </w:rPr>
                <w:t>Automatic Termination</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34</w:t>
              </w:r>
            </w:hyperlink>
          </w:p>
        </w:tc>
      </w:tr>
    </w:tbl>
    <w:p>
      <w:pPr>
        <w:pStyle w:val="TextBody"/>
        <w:spacing w:lineRule="auto" w:line="240" w:before="0" w:after="0"/>
        <w:jc w:val="center"/>
        <w:rPr>
          <w:rFonts w:ascii="Times New Roman;sans-serif" w:hAnsi="Times New Roman;sans-serif"/>
          <w:b w:val="false"/>
          <w:color w:val="000000"/>
          <w:sz w:val="24"/>
        </w:rPr>
      </w:pPr>
      <w:r>
        <w:br w:type="page"/>
      </w:r>
      <w:r>
        <w:rPr>
          <w:rFonts w:ascii="Times New Roman;sans-serif" w:hAnsi="Times New Roman;sans-serif"/>
          <w:b w:val="false"/>
          <w:color w:val="000000"/>
          <w:sz w:val="24"/>
        </w:rPr>
        <w:t>T</w:t>
      </w:r>
      <w:r>
        <w:rPr>
          <w:rFonts w:ascii="Times New Roman;sans-serif" w:hAnsi="Times New Roman;sans-serif"/>
          <w:b w:val="false"/>
          <w:color w:val="000000"/>
          <w:sz w:val="24"/>
        </w:rPr>
        <w:t>able of Contents</w:t>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628650"/>
                <wp:effectExtent l="0" t="0" r="0" b="0"/>
                <wp:wrapNone/>
                <wp:docPr id="366" name="Frame36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83.85pt;mso-position-horizontal:left;mso-position-horizontal-relative:text">
                <v:textbo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spacing w:before="0" w:after="0"/>
        <w:rPr/>
      </w:pPr>
      <w:r>
        <w:rPr/>
      </w:r>
    </w:p>
    <w:tbl>
      <w:tblPr>
        <w:tblW w:w="4666" w:type="dxa"/>
        <w:jc w:val="left"/>
        <w:tblInd w:w="0" w:type="dxa"/>
        <w:tblCellMar>
          <w:top w:w="28" w:type="dxa"/>
          <w:left w:w="28" w:type="dxa"/>
          <w:bottom w:w="28" w:type="dxa"/>
          <w:right w:w="28" w:type="dxa"/>
        </w:tblCellMar>
      </w:tblPr>
      <w:tblGrid>
        <w:gridCol w:w="1547"/>
        <w:gridCol w:w="1362"/>
        <w:gridCol w:w="1366"/>
        <w:gridCol w:w="114"/>
        <w:gridCol w:w="114"/>
        <w:gridCol w:w="163"/>
      </w:tblGrid>
      <w:tr>
        <w:trPr/>
        <w:tc>
          <w:tcPr>
            <w:tcW w:w="154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9.3</w:t>
              </w:r>
            </w:hyperlink>
            <w:hyperlink w:anchor="i0e62069d8f70492bba7e8f1d81d2ca0a_7">
              <w:r>
                <w:rPr>
                  <w:rStyle w:val="InternetLink"/>
                </w:rPr>
                <w:t>    </w:t>
              </w:r>
            </w:hyperlink>
            <w:hyperlink w:anchor="i0e62069d8f70492bba7e8f1d81d2ca0a_7">
              <w:r>
                <w:rPr>
                  <w:rStyle w:val="InternetLink"/>
                </w:rPr>
                <w:t>Survival</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color w:val="0000FF"/>
                  <w:sz w:val="24"/>
                  <w:u w:val="single"/>
                </w:rPr>
                <w:t>Article 10 MISCELLANEOUS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10.1</w:t>
              </w:r>
            </w:hyperlink>
            <w:hyperlink w:anchor="i0e62069d8f70492bba7e8f1d81d2ca0a_7">
              <w:r>
                <w:rPr>
                  <w:rStyle w:val="InternetLink"/>
                </w:rPr>
                <w:t>    </w:t>
              </w:r>
            </w:hyperlink>
            <w:hyperlink w:anchor="i0e62069d8f70492bba7e8f1d81d2ca0a_7">
              <w:r>
                <w:rPr>
                  <w:rStyle w:val="InternetLink"/>
                </w:rPr>
                <w:t>Notices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10.2</w:t>
              </w:r>
            </w:hyperlink>
            <w:hyperlink w:anchor="i0e62069d8f70492bba7e8f1d81d2ca0a_7">
              <w:r>
                <w:rPr>
                  <w:rStyle w:val="InternetLink"/>
                </w:rPr>
                <w:t>    </w:t>
              </w:r>
            </w:hyperlink>
            <w:hyperlink w:anchor="i0e62069d8f70492bba7e8f1d81d2ca0a_7">
              <w:r>
                <w:rPr>
                  <w:rStyle w:val="InternetLink"/>
                </w:rPr>
                <w:t>Expenses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10.3</w:t>
              </w:r>
            </w:hyperlink>
            <w:hyperlink w:anchor="i0e62069d8f70492bba7e8f1d81d2ca0a_7">
              <w:r>
                <w:rPr>
                  <w:rStyle w:val="InternetLink"/>
                </w:rPr>
                <w:t>    </w:t>
              </w:r>
            </w:hyperlink>
            <w:hyperlink w:anchor="i0e62069d8f70492bba7e8f1d81d2ca0a_7">
              <w:r>
                <w:rPr>
                  <w:rStyle w:val="InternetLink"/>
                </w:rPr>
                <w:t>Assignment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10.4</w:t>
              </w:r>
            </w:hyperlink>
            <w:hyperlink w:anchor="i0e62069d8f70492bba7e8f1d81d2ca0a_7">
              <w:r>
                <w:rPr>
                  <w:rStyle w:val="InternetLink"/>
                </w:rPr>
                <w:t>    </w:t>
              </w:r>
            </w:hyperlink>
            <w:hyperlink w:anchor="i0e62069d8f70492bba7e8f1d81d2ca0a_7">
              <w:r>
                <w:rPr>
                  <w:rStyle w:val="InternetLink"/>
                </w:rPr>
                <w:t>Amendment and Waiver</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10.5</w:t>
              </w:r>
            </w:hyperlink>
            <w:hyperlink w:anchor="i0e62069d8f70492bba7e8f1d81d2ca0a_7">
              <w:r>
                <w:rPr>
                  <w:rStyle w:val="InternetLink"/>
                </w:rPr>
                <w:t>    </w:t>
              </w:r>
            </w:hyperlink>
            <w:hyperlink w:anchor="i0e62069d8f70492bba7e8f1d81d2ca0a_7">
              <w:r>
                <w:rPr>
                  <w:rStyle w:val="InternetLink"/>
                </w:rPr>
                <w:t>Entire Agreement</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10.6</w:t>
              </w:r>
            </w:hyperlink>
            <w:hyperlink w:anchor="i0e62069d8f70492bba7e8f1d81d2ca0a_7">
              <w:r>
                <w:rPr>
                  <w:rStyle w:val="InternetLink"/>
                </w:rPr>
                <w:t>    </w:t>
              </w:r>
            </w:hyperlink>
            <w:hyperlink w:anchor="i0e62069d8f70492bba7e8f1d81d2ca0a_7">
              <w:r>
                <w:rPr>
                  <w:rStyle w:val="InternetLink"/>
                </w:rPr>
                <w:t>No Third Party Beneficiaries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10.7</w:t>
              </w:r>
            </w:hyperlink>
            <w:hyperlink w:anchor="i0e62069d8f70492bba7e8f1d81d2ca0a_7">
              <w:r>
                <w:rPr>
                  <w:rStyle w:val="InternetLink"/>
                </w:rPr>
                <w:t>    </w:t>
              </w:r>
            </w:hyperlink>
            <w:hyperlink w:anchor="i0e62069d8f70492bba7e8f1d81d2ca0a_7">
              <w:r>
                <w:rPr>
                  <w:rStyle w:val="InternetLink"/>
                </w:rPr>
                <w:t>Governing Law</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10.8</w:t>
              </w:r>
            </w:hyperlink>
            <w:hyperlink w:anchor="i0e62069d8f70492bba7e8f1d81d2ca0a_7">
              <w:r>
                <w:rPr>
                  <w:rStyle w:val="InternetLink"/>
                </w:rPr>
                <w:t>    </w:t>
              </w:r>
            </w:hyperlink>
            <w:hyperlink w:anchor="i0e62069d8f70492bba7e8f1d81d2ca0a_7">
              <w:r>
                <w:rPr>
                  <w:rStyle w:val="InternetLink"/>
                </w:rPr>
                <w:t>JURISDICTION; VENUE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10.9</w:t>
              </w:r>
            </w:hyperlink>
            <w:hyperlink w:anchor="i0e62069d8f70492bba7e8f1d81d2ca0a_7">
              <w:r>
                <w:rPr>
                  <w:rStyle w:val="InternetLink"/>
                </w:rPr>
                <w:t>    </w:t>
              </w:r>
            </w:hyperlink>
            <w:hyperlink w:anchor="i0e62069d8f70492bba7e8f1d81d2ca0a_7">
              <w:r>
                <w:rPr>
                  <w:rStyle w:val="InternetLink"/>
                </w:rPr>
                <w:t>Severability</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10.10</w:t>
              </w:r>
            </w:hyperlink>
            <w:hyperlink w:anchor="i0e62069d8f70492bba7e8f1d81d2ca0a_7">
              <w:r>
                <w:rPr>
                  <w:rStyle w:val="InternetLink"/>
                </w:rPr>
                <w:t>    </w:t>
              </w:r>
            </w:hyperlink>
            <w:hyperlink w:anchor="i0e62069d8f70492bba7e8f1d81d2ca0a_7">
              <w:r>
                <w:rPr>
                  <w:rStyle w:val="InternetLink"/>
                </w:rPr>
                <w:t>Specific Performance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10.11</w:t>
              </w:r>
            </w:hyperlink>
            <w:hyperlink w:anchor="i0e62069d8f70492bba7e8f1d81d2ca0a_7">
              <w:r>
                <w:rPr>
                  <w:rStyle w:val="InternetLink"/>
                </w:rPr>
                <w:t>    </w:t>
              </w:r>
            </w:hyperlink>
            <w:hyperlink w:anchor="i0e62069d8f70492bba7e8f1d81d2ca0a_7">
              <w:r>
                <w:rPr>
                  <w:rStyle w:val="InternetLink"/>
                </w:rPr>
                <w:t>Counterparts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10.12</w:t>
              </w:r>
            </w:hyperlink>
            <w:hyperlink w:anchor="i0e62069d8f70492bba7e8f1d81d2ca0a_7">
              <w:r>
                <w:rPr>
                  <w:rStyle w:val="InternetLink"/>
                </w:rPr>
                <w:t>    </w:t>
              </w:r>
            </w:hyperlink>
            <w:hyperlink w:anchor="i0e62069d8f70492bba7e8f1d81d2ca0a_7">
              <w:r>
                <w:rPr>
                  <w:rStyle w:val="InternetLink"/>
                </w:rPr>
                <w:t>Relationships of the Parties</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39</w:t>
              </w:r>
            </w:hyperlink>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Pr>
                <w:t>Section 10.13</w:t>
              </w:r>
            </w:hyperlink>
            <w:hyperlink w:anchor="i0e62069d8f70492bba7e8f1d81d2ca0a_7">
              <w:r>
                <w:rPr>
                  <w:rStyle w:val="InternetLink"/>
                </w:rPr>
                <w:t>    </w:t>
              </w:r>
            </w:hyperlink>
            <w:hyperlink w:anchor="i0e62069d8f70492bba7e8f1d81d2ca0a_7">
              <w:r>
                <w:rPr>
                  <w:rStyle w:val="InternetLink"/>
                </w:rPr>
                <w:t>Seller Parent Guarantee</w:t>
              </w:r>
            </w:hyperlink>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e62069d8f70492bba7e8f1d81d2ca0a_7">
              <w:r>
                <w:rPr>
                  <w:rStyle w:val="InternetLink"/>
                  <w:rFonts w:ascii="Times New Roman;sans-serif" w:hAnsi="Times New Roman;sans-serif"/>
                  <w:b w:val="false"/>
                  <w:strike w:val="false"/>
                  <w:dstrike w:val="false"/>
                  <w:color w:val="000000"/>
                  <w:sz w:val="24"/>
                  <w:u w:val="none"/>
                  <w:effect w:val="none"/>
                </w:rPr>
                <w:t>39</w:t>
              </w:r>
            </w:hyperlink>
          </w:p>
        </w:tc>
      </w:tr>
    </w:tbl>
    <w:p>
      <w:pPr>
        <w:pStyle w:val="TextBody"/>
        <w:spacing w:lineRule="auto" w:line="240" w:before="480" w:after="283"/>
        <w:rPr>
          <w:rFonts w:ascii="Times New Roman;sans-serif" w:hAnsi="Times New Roman;sans-serif"/>
          <w:b/>
          <w:color w:val="000000"/>
          <w:sz w:val="24"/>
          <w:u w:val="single"/>
        </w:rPr>
      </w:pPr>
      <w:r>
        <w:rPr>
          <w:rFonts w:ascii="Times New Roman;sans-serif" w:hAnsi="Times New Roman;sans-serif"/>
          <w:b/>
          <w:color w:val="000000"/>
          <w:sz w:val="24"/>
          <w:u w:val="single"/>
        </w:rPr>
        <w:t>Index of Exhibits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A:        Seller’s Wire Transfer Instructions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B:        Form of Bill of Sale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C:        Form of Licensee Instruction Letter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D-1:        Form of Bilateral Common Interest and Joint Privilege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D-2:        Form of Trilateral Common Interest and Joint Privilege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E:        Form of Escrow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F:        License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G:        Form of Assumption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H:        Additional Covenants</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628650"/>
                <wp:effectExtent l="0" t="0" r="0" b="0"/>
                <wp:wrapNone/>
                <wp:docPr id="367" name="Frame36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ROYALTY PURCHASE AGREEMENT</w:t>
      </w:r>
    </w:p>
    <w:p>
      <w:pPr>
        <w:pStyle w:val="TextBody"/>
        <w:spacing w:lineRule="auto" w:line="240" w:before="0" w:after="240"/>
        <w:ind w:left="0" w:right="0" w:firstLine="720"/>
        <w:rPr/>
      </w:pPr>
      <w:r>
        <w:rPr>
          <w:rFonts w:ascii="Times New Roman;sans-serif" w:hAnsi="Times New Roman;sans-serif"/>
          <w:b w:val="false"/>
          <w:color w:val="000000"/>
          <w:sz w:val="24"/>
        </w:rPr>
        <w:t>This ROYALTY PURCHASE AGREEMENT, dated as of March 22, 2023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by and between PureTech Health LLC, a Delaware limited liability company</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and solely for purposes of Article 4 and Section 10.13, PureTech Health PLC, a company incorporated under the laws of England and Wales (the “</w:t>
      </w:r>
      <w:r>
        <w:rPr>
          <w:rFonts w:ascii="Times New Roman;sans-serif" w:hAnsi="Times New Roman;sans-serif"/>
          <w:b w:val="false"/>
          <w:color w:val="000000"/>
          <w:sz w:val="24"/>
          <w:u w:val="single"/>
        </w:rPr>
        <w:t>Seller Parent</w:t>
      </w:r>
      <w:r>
        <w:rPr>
          <w:color w:val="000000"/>
        </w:rPr>
        <w:t>”</w:t>
      </w:r>
      <w:r>
        <w:rPr>
          <w:rFonts w:ascii="Times New Roman;sans-serif" w:hAnsi="Times New Roman;sans-serif"/>
          <w:b w:val="false"/>
          <w:color w:val="000000"/>
          <w:sz w:val="24"/>
        </w:rPr>
        <w:t>), on the one hand; and Royalty Pharma Investments 2019 ICAV, an Irish collective asset-management vehicle (the “</w:t>
      </w:r>
      <w:r>
        <w:rPr>
          <w:rFonts w:ascii="Times New Roman;sans-serif" w:hAnsi="Times New Roman;sans-serif"/>
          <w:b w:val="false"/>
          <w:color w:val="000000"/>
          <w:sz w:val="24"/>
          <w:u w:val="single"/>
        </w:rPr>
        <w:t>Buyer</w:t>
      </w:r>
      <w:r>
        <w:rPr>
          <w:color w:val="000000"/>
        </w:rPr>
        <w:t>”</w:t>
      </w:r>
      <w:r>
        <w:rPr>
          <w:rFonts w:ascii="Times New Roman;sans-serif" w:hAnsi="Times New Roman;sans-serif"/>
          <w:b w:val="false"/>
          <w:color w:val="000000"/>
          <w:sz w:val="24"/>
        </w:rPr>
        <w:t>), on the other hand. Unless otherwise defined in this Agreement, capitalized terms have the meanings ascribed to them in Section 1.1 below.</w:t>
      </w:r>
    </w:p>
    <w:p>
      <w:pPr>
        <w:pStyle w:val="TextBody"/>
        <w:spacing w:lineRule="auto" w:line="240" w:before="0" w:after="240"/>
        <w:jc w:val="center"/>
        <w:rPr/>
      </w:pPr>
      <w:r>
        <w:rPr>
          <w:rFonts w:ascii="Times New Roman;sans-serif" w:hAnsi="Times New Roman;sans-serif"/>
          <w:b w:val="false"/>
          <w:color w:val="000000"/>
          <w:sz w:val="24"/>
          <w:u w:val="single"/>
        </w:rPr>
        <w:t>RECITALS</w:t>
      </w:r>
      <w:r>
        <w:rPr>
          <w:rFonts w:ascii="Times New Roman;sans-serif" w:hAnsi="Times New Roman;sans-serif"/>
          <w:b w:val="false"/>
          <w:color w:val="000000"/>
          <w:sz w:val="24"/>
        </w:rPr>
        <w: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pursuant to the License Agreement, the Seller granted to Licensee a license with respect to the Licensed Patents to exploit the Licensed Products, and Licensee, in partial consideration thereof, agreed to pay specified royalties to the Seller with respect to Net Sales of the Licensed Products;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Buyer desires to purchase the Purchased Royalty from the Seller, and the Seller desires to sell the Purchased Royalty to the Buyer.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spacing w:lineRule="auto" w:line="556" w:before="0" w:after="0"/>
        <w:jc w:val="center"/>
        <w:rPr/>
      </w:pPr>
      <w:r>
        <w:rPr>
          <w:rFonts w:ascii="Times New Roman;sans-serif" w:hAnsi="Times New Roman;sans-serif"/>
          <w:b w:val="false"/>
          <w:color w:val="010000"/>
          <w:sz w:val="24"/>
        </w:rPr>
        <w:t>Article 1</w:t>
      </w:r>
      <w:r>
        <w:rPr>
          <w:color w:val="000000"/>
        </w:rPr>
        <w:t xml:space="preserve">     </w:t>
      </w:r>
      <w:r>
        <w:rPr>
          <w:rFonts w:ascii="Times New Roman;sans-serif" w:hAnsi="Times New Roman;sans-serif"/>
          <w:b w:val="false"/>
          <w:color w:val="000000"/>
          <w:sz w:val="24"/>
        </w:rPr>
        <w:br/>
        <w:t>DEFINED TERMS AND RULES OF CONSTRUCTION</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used in this Agreement, the following terms shall have the following meanings: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Additional Purchase Price Payment</w:t>
      </w:r>
      <w:r>
        <w:rPr>
          <w:color w:val="000000"/>
        </w:rPr>
        <w:t xml:space="preserve">” </w:t>
      </w:r>
      <w:r>
        <w:rPr>
          <w:rFonts w:ascii="Times New Roman;sans-serif" w:hAnsi="Times New Roman;sans-serif"/>
          <w:b w:val="false"/>
          <w:color w:val="000000"/>
          <w:sz w:val="24"/>
        </w:rPr>
        <w:t>is defined in Section 2.1(b).</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particular Person, any other Person directly or indirectly, and whether by contract or otherwise, controlling, controlled by or under common control with such Person. For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at least fifty percent (50%) of the voting securities of such entity, or by contract or otherwise. For the avoidance of doubt, Licensee shall not be considered an “Affiliate” of the Seller.</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is defined in the preamble.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Applicable Percentage</w:t>
      </w:r>
      <w:r>
        <w:rPr>
          <w:color w:val="000000"/>
        </w:rPr>
        <w:t xml:space="preserve">” </w:t>
      </w:r>
      <w:r>
        <w:rPr>
          <w:rFonts w:ascii="Times New Roman;sans-serif" w:hAnsi="Times New Roman;sans-serif"/>
          <w:b w:val="false"/>
          <w:color w:val="000000"/>
          <w:sz w:val="24"/>
        </w:rPr>
        <w:t>means, on a calendar year-by-calendar year basis, 100%, until the portion of aggregate Purchased Royalties received by the Buyer with respect to Net Sales of Licensed Products occurring during such calendar year equals at least $60,000,000, and thereafter 33.33% with respect to Net Sales of Licensed Products occurring during such calendar year after the occurrence of the Net Sales which resulted in such $60,000,000 in Purchased Royalties received by the Buyer.</w:t>
      </w:r>
      <w:r>
        <w:br w:type="page"/>
      </w:r>
    </w:p>
    <w:p>
      <w:pPr>
        <w:pStyle w:val="TextBody"/>
        <w:spacing w:before="0" w:after="0"/>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260"/>
                <wp:effectExtent l="0" t="0" r="0" b="0"/>
                <wp:wrapNone/>
                <wp:docPr id="368" name="Frame3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Bankruptcy Laws</w:t>
      </w:r>
      <w:r>
        <w:rPr>
          <w:color w:val="000000"/>
        </w:rPr>
        <w:t xml:space="preserve">” </w:t>
      </w:r>
      <w:r>
        <w:rPr>
          <w:rFonts w:ascii="Times New Roman;sans-serif" w:hAnsi="Times New Roman;sans-serif"/>
          <w:b w:val="false"/>
          <w:color w:val="000000"/>
          <w:sz w:val="24"/>
        </w:rPr>
        <w:t>means, collectively, bankruptcy, insolvency, reorganization, moratorium, fraudulent conveyance, fraudulent transfer or other similar laws affecting the enforcement of creditors’ rights generally.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Bilateral Common Interest and Joint Privilege Agreement</w:t>
      </w:r>
      <w:r>
        <w:rPr>
          <w:color w:val="000000"/>
        </w:rPr>
        <w:t xml:space="preserve">” </w:t>
      </w:r>
      <w:r>
        <w:rPr>
          <w:rFonts w:ascii="Times New Roman;sans-serif" w:hAnsi="Times New Roman;sans-serif"/>
          <w:b w:val="false"/>
          <w:color w:val="000000"/>
          <w:sz w:val="24"/>
        </w:rPr>
        <w:t xml:space="preserve">means that certain common interest and joint privilege agreement, dated as of the Closing Date, executed by the Seller and the Buyer, substantially in the form attached hereto as </w:t>
      </w:r>
      <w:r>
        <w:rPr>
          <w:rFonts w:ascii="Times New Roman;sans-serif" w:hAnsi="Times New Roman;sans-serif"/>
          <w:b w:val="false"/>
          <w:color w:val="000000"/>
          <w:sz w:val="24"/>
          <w:u w:val="single"/>
        </w:rPr>
        <w:t>Exhibit D-1</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Bill of Sale</w:t>
      </w:r>
      <w:r>
        <w:rPr>
          <w:color w:val="000000"/>
        </w:rPr>
        <w:t xml:space="preserve">” </w:t>
      </w:r>
      <w:r>
        <w:rPr>
          <w:rFonts w:ascii="Times New Roman;sans-serif" w:hAnsi="Times New Roman;sans-serif"/>
          <w:b w:val="false"/>
          <w:color w:val="000000"/>
          <w:sz w:val="24"/>
        </w:rPr>
        <w:t>is defined in Section 3.2.</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(i) a Saturday or Sunday or (ii) a day on which banking institutions located in New York or Massachusetts are permitted or required by applicable law or regulation to remain closed.</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Buyer</w:t>
      </w:r>
      <w:r>
        <w:rPr>
          <w:color w:val="000000"/>
        </w:rPr>
        <w:t xml:space="preserve">” </w:t>
      </w:r>
      <w:r>
        <w:rPr>
          <w:rFonts w:ascii="Times New Roman;sans-serif" w:hAnsi="Times New Roman;sans-serif"/>
          <w:b w:val="false"/>
          <w:color w:val="000000"/>
          <w:sz w:val="24"/>
        </w:rPr>
        <w:t>is defined in the preamble.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Buyer Indemnified Parties</w:t>
      </w:r>
      <w:r>
        <w:rPr>
          <w:color w:val="000000"/>
        </w:rPr>
        <w:t xml:space="preserve">” </w:t>
      </w:r>
      <w:r>
        <w:rPr>
          <w:rFonts w:ascii="Times New Roman;sans-serif" w:hAnsi="Times New Roman;sans-serif"/>
          <w:b w:val="false"/>
          <w:color w:val="000000"/>
          <w:sz w:val="24"/>
        </w:rPr>
        <w:t>is defined in Section 8.1(a).</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is defined in Section 3.1.</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the date on which the Closing occurs.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is defined in Section 7.1.</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Contracts</w:t>
      </w:r>
      <w:r>
        <w:rPr>
          <w:color w:val="000000"/>
        </w:rPr>
        <w:t xml:space="preserve">” </w:t>
      </w:r>
      <w:r>
        <w:rPr>
          <w:rFonts w:ascii="Times New Roman;sans-serif" w:hAnsi="Times New Roman;sans-serif"/>
          <w:b w:val="false"/>
          <w:color w:val="000000"/>
          <w:sz w:val="24"/>
        </w:rPr>
        <w:t>is defined in Section 4.9(a).</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Credit Event</w:t>
      </w:r>
      <w:r>
        <w:rPr>
          <w:color w:val="000000"/>
        </w:rPr>
        <w:t xml:space="preserve">” </w:t>
      </w:r>
      <w:r>
        <w:rPr>
          <w:rFonts w:ascii="Times New Roman;sans-serif" w:hAnsi="Times New Roman;sans-serif"/>
          <w:b w:val="false"/>
          <w:color w:val="000000"/>
          <w:sz w:val="24"/>
        </w:rPr>
        <w:t>means any insolvency, bankruptcy, receivership, assignment for the benefit of creditors, similar proceeding, or financial distress of Licensee, as a result of which Licensee fails to pay, or is delayed in paying, all or a portion of the Royalty.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Disclosing Party</w:t>
      </w:r>
      <w:r>
        <w:rPr>
          <w:color w:val="000000"/>
        </w:rPr>
        <w:t xml:space="preserve">” </w:t>
      </w:r>
      <w:r>
        <w:rPr>
          <w:rFonts w:ascii="Times New Roman;sans-serif" w:hAnsi="Times New Roman;sans-serif"/>
          <w:b w:val="false"/>
          <w:color w:val="000000"/>
          <w:sz w:val="24"/>
        </w:rPr>
        <w:t>is defined in Section 7.1.</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Disclosure Schedule</w:t>
      </w:r>
      <w:r>
        <w:rPr>
          <w:color w:val="000000"/>
        </w:rPr>
        <w:t xml:space="preserve">” </w:t>
      </w:r>
      <w:r>
        <w:rPr>
          <w:rFonts w:ascii="Times New Roman;sans-serif" w:hAnsi="Times New Roman;sans-serif"/>
          <w:b w:val="false"/>
          <w:color w:val="000000"/>
          <w:sz w:val="24"/>
        </w:rPr>
        <w:t>means the Disclosure Schedule, dated as of the date hereof, delivered to the Buyer by the Seller concurrently with the execution of this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Eli Lilly Agreement</w:t>
      </w:r>
      <w:r>
        <w:rPr>
          <w:color w:val="000000"/>
        </w:rPr>
        <w:t xml:space="preserve">” </w:t>
      </w:r>
      <w:r>
        <w:rPr>
          <w:rFonts w:ascii="Times New Roman;sans-serif" w:hAnsi="Times New Roman;sans-serif"/>
          <w:b w:val="false"/>
          <w:color w:val="000000"/>
          <w:sz w:val="24"/>
        </w:rPr>
        <w:t>means that certain License Agreement by and between Eli Lilly and Company and Licensee dated May 9, 2012.</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Escrow Account</w:t>
      </w:r>
      <w:r>
        <w:rPr>
          <w:color w:val="000000"/>
        </w:rPr>
        <w:t xml:space="preserve">” </w:t>
      </w:r>
      <w:r>
        <w:rPr>
          <w:rFonts w:ascii="Times New Roman;sans-serif" w:hAnsi="Times New Roman;sans-serif"/>
          <w:b w:val="false"/>
          <w:color w:val="000000"/>
          <w:sz w:val="24"/>
        </w:rPr>
        <w:t>means the escrow account created pursuant to the Escrow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Escrow Agent</w:t>
      </w:r>
      <w:r>
        <w:rPr>
          <w:color w:val="000000"/>
        </w:rPr>
        <w:t xml:space="preserve">” </w:t>
      </w:r>
      <w:r>
        <w:rPr>
          <w:rFonts w:ascii="Times New Roman;sans-serif" w:hAnsi="Times New Roman;sans-serif"/>
          <w:b w:val="false"/>
          <w:color w:val="000000"/>
          <w:sz w:val="24"/>
        </w:rPr>
        <w:t>means US. Bank National Association, as escrow agent.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Escrow Agreement</w:t>
      </w:r>
      <w:r>
        <w:rPr>
          <w:color w:val="000000"/>
        </w:rPr>
        <w:t xml:space="preserve">” </w:t>
      </w:r>
      <w:r>
        <w:rPr>
          <w:rFonts w:ascii="Times New Roman;sans-serif" w:hAnsi="Times New Roman;sans-serif"/>
          <w:b w:val="false"/>
          <w:color w:val="000000"/>
          <w:sz w:val="24"/>
        </w:rPr>
        <w:t xml:space="preserve">means that certain escrow agreement, dated as of the Closing Date, executed by the Seller, the Buyer and the Escrow Agent, substantially in the form attached hereto as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Existing Confidentiality Agreement</w:t>
      </w:r>
      <w:r>
        <w:rPr>
          <w:color w:val="000000"/>
        </w:rPr>
        <w:t xml:space="preserve">” </w:t>
      </w:r>
      <w:r>
        <w:rPr>
          <w:rFonts w:ascii="Times New Roman;sans-serif" w:hAnsi="Times New Roman;sans-serif"/>
          <w:b w:val="false"/>
          <w:color w:val="000000"/>
          <w:sz w:val="24"/>
        </w:rPr>
        <w:t>is defined in Section 7.3.</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FDA</w:t>
      </w:r>
      <w:r>
        <w:rPr>
          <w:color w:val="000000"/>
        </w:rPr>
        <w:t xml:space="preserve">” </w:t>
      </w:r>
      <w:r>
        <w:rPr>
          <w:rFonts w:ascii="Times New Roman;sans-serif" w:hAnsi="Times New Roman;sans-serif"/>
          <w:b w:val="false"/>
          <w:color w:val="000000"/>
          <w:sz w:val="24"/>
        </w:rPr>
        <w:t xml:space="preserve">means the U.S. Food and Drug Administration, or a successor federal agency thereto in the United States.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FDA Approval of an NDA</w:t>
      </w:r>
      <w:r>
        <w:rPr>
          <w:color w:val="000000"/>
        </w:rPr>
        <w:t xml:space="preserve">” </w:t>
      </w:r>
      <w:r>
        <w:rPr>
          <w:rFonts w:ascii="Times New Roman;sans-serif" w:hAnsi="Times New Roman;sans-serif"/>
          <w:b w:val="false"/>
          <w:color w:val="000000"/>
          <w:sz w:val="24"/>
        </w:rPr>
        <w:t xml:space="preserve">means the FDA’s approval of an NDA, including all licenses, registrations, and pricing or reimbursement approvals, that are necessary for the sale and marketing of a pharmaceutical product in the United States. </w:t>
      </w:r>
      <w:r>
        <w:br w:type="page"/>
      </w:r>
    </w:p>
    <w:p>
      <w:pPr>
        <w:pStyle w:val="TextBody"/>
        <w:spacing w:before="0" w:after="0"/>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260"/>
                <wp:effectExtent l="0" t="0" r="0" b="0"/>
                <wp:wrapNone/>
                <wp:docPr id="369" name="Frame3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FDA Approval of an NDA or sNDA</w:t>
      </w:r>
      <w:r>
        <w:rPr>
          <w:color w:val="000000"/>
        </w:rPr>
        <w:t xml:space="preserve">” </w:t>
      </w:r>
      <w:r>
        <w:rPr>
          <w:rFonts w:ascii="Times New Roman;sans-serif" w:hAnsi="Times New Roman;sans-serif"/>
          <w:b w:val="false"/>
          <w:color w:val="000000"/>
          <w:sz w:val="24"/>
        </w:rPr>
        <w:t xml:space="preserve">means the FDA’s approval of an NDA or sNDA, including all licenses, registrations, and pricing or reimbursement approvals, that are necessary for the sale and marketing of a pharmaceutical product in the United States.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First Commercial Sale</w:t>
      </w:r>
      <w:r>
        <w:rPr>
          <w:color w:val="000000"/>
        </w:rPr>
        <w:t xml:space="preserve">” </w:t>
      </w:r>
      <w:r>
        <w:rPr>
          <w:rFonts w:ascii="Times New Roman;sans-serif" w:hAnsi="Times New Roman;sans-serif"/>
          <w:b w:val="false"/>
          <w:color w:val="000000"/>
          <w:sz w:val="24"/>
        </w:rPr>
        <w:t>means the first commercial sale in an arms’ length transaction of KarXT to a Third Party by Licensee or any of its Affiliates or (sub)licensees in any country worldwide following receipt of applicable regulatory approval of KarXT in such country. For clarity, First Commercial Sale shall not include any distribution or other sale solely for patient assistance, named patient use, compassionate use, or test marketing programs or non-registrational studies or similar programs or studies where KarXT is supplied without charge or at the actual manufacturing cost thereof (without allocation of indirect costs or any markup).</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Guaranteed Obligations</w:t>
      </w:r>
      <w:r>
        <w:rPr>
          <w:color w:val="000000"/>
        </w:rPr>
        <w:t xml:space="preserve">” </w:t>
      </w:r>
      <w:r>
        <w:rPr>
          <w:rFonts w:ascii="Times New Roman;sans-serif" w:hAnsi="Times New Roman;sans-serif"/>
          <w:b w:val="false"/>
          <w:color w:val="000000"/>
          <w:sz w:val="24"/>
        </w:rPr>
        <w:t>is defined in Section 10.13.</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Governmental Entity</w:t>
      </w:r>
      <w:r>
        <w:rPr>
          <w:color w:val="000000"/>
        </w:rPr>
        <w:t xml:space="preserve">” </w:t>
      </w:r>
      <w:r>
        <w:rPr>
          <w:rFonts w:ascii="Times New Roman;sans-serif" w:hAnsi="Times New Roman;sans-serif"/>
          <w:b w:val="false"/>
          <w:color w:val="000000"/>
          <w:sz w:val="24"/>
        </w:rPr>
        <w:t>means any: (i) nation, principality, republic, state, commonwealth, province, territory, county, municipality, district or other jurisdiction of any nature; (ii) federal, state, local, municipal, foreign or other government; (iii)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(iv) multi-national organization or body; or (v) individual, body or other entity exercising, or entitled to exercise, any executive, legislative, judicial, administrative, regulatory, police, military or taxing authority or power of any nature.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In-License</w:t>
      </w:r>
      <w:r>
        <w:rPr>
          <w:color w:val="000000"/>
        </w:rPr>
        <w:t xml:space="preserve">” </w:t>
      </w:r>
      <w:r>
        <w:rPr>
          <w:rFonts w:ascii="Times New Roman;sans-serif" w:hAnsi="Times New Roman;sans-serif"/>
          <w:b w:val="false"/>
          <w:color w:val="000000"/>
          <w:sz w:val="24"/>
        </w:rPr>
        <w:t>means an agreement with a Third Party pursuant to which such Third Party grants a license to the counterparty under such Third Party’s intellectual property.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Indemnified Party</w:t>
      </w:r>
      <w:r>
        <w:rPr>
          <w:color w:val="000000"/>
        </w:rPr>
        <w:t xml:space="preserve">” </w:t>
      </w:r>
      <w:r>
        <w:rPr>
          <w:rFonts w:ascii="Times New Roman;sans-serif" w:hAnsi="Times New Roman;sans-serif"/>
          <w:b w:val="false"/>
          <w:color w:val="000000"/>
          <w:sz w:val="24"/>
        </w:rPr>
        <w:t>is defined in Section 8.2.</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Indemnifying Party</w:t>
      </w:r>
      <w:r>
        <w:rPr>
          <w:color w:val="000000"/>
        </w:rPr>
        <w:t xml:space="preserve">” </w:t>
      </w:r>
      <w:r>
        <w:rPr>
          <w:rFonts w:ascii="Times New Roman;sans-serif" w:hAnsi="Times New Roman;sans-serif"/>
          <w:b w:val="false"/>
          <w:color w:val="000000"/>
          <w:sz w:val="24"/>
        </w:rPr>
        <w:t>is defined in Section 8.2.</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Initial Purchase Price</w:t>
      </w:r>
      <w:r>
        <w:rPr>
          <w:color w:val="000000"/>
        </w:rPr>
        <w:t xml:space="preserve">” </w:t>
      </w:r>
      <w:r>
        <w:rPr>
          <w:rFonts w:ascii="Times New Roman;sans-serif" w:hAnsi="Times New Roman;sans-serif"/>
          <w:b w:val="false"/>
          <w:color w:val="000000"/>
          <w:sz w:val="24"/>
        </w:rPr>
        <w:t>means $100,000,000.</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Judgment</w:t>
      </w:r>
      <w:r>
        <w:rPr>
          <w:color w:val="000000"/>
        </w:rPr>
        <w:t xml:space="preserve">” </w:t>
      </w:r>
      <w:r>
        <w:rPr>
          <w:rFonts w:ascii="Times New Roman;sans-serif" w:hAnsi="Times New Roman;sans-serif"/>
          <w:b w:val="false"/>
          <w:color w:val="000000"/>
          <w:sz w:val="24"/>
        </w:rPr>
        <w:t>means any judgment, order, writ, injunction, citation, award or decree of any nature.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Karuna Product Patents</w:t>
      </w:r>
      <w:r>
        <w:rPr>
          <w:color w:val="000000"/>
        </w:rPr>
        <w:t xml:space="preserve">” </w:t>
      </w:r>
      <w:r>
        <w:rPr>
          <w:rFonts w:ascii="Times New Roman;sans-serif" w:hAnsi="Times New Roman;sans-serif"/>
          <w:b w:val="false"/>
          <w:color w:val="000000"/>
          <w:sz w:val="24"/>
        </w:rPr>
        <w:t>means any and all Patents, other than the Licensed Patents, owned or in-licensed by Licensee or its Affiliates that claim or cover the Licensed Product, including all Patents listed at any time after the date hereof in the Orange Book for a Licensed Product.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KarXT</w:t>
      </w:r>
      <w:r>
        <w:rPr>
          <w:color w:val="000000"/>
        </w:rPr>
        <w:t xml:space="preserve">” </w:t>
      </w:r>
      <w:r>
        <w:rPr>
          <w:rFonts w:ascii="Times New Roman;sans-serif" w:hAnsi="Times New Roman;sans-serif"/>
          <w:b w:val="false"/>
          <w:color w:val="000000"/>
          <w:sz w:val="24"/>
        </w:rPr>
        <w:t>means the oral modulator of muscarinic receptors referred to by Licensee as of the date hereof as xanomeline-trospium, KarXT (xanomeline-trospium) or KarXT and being evaluated by Licensee as of the date hereof in Phase 3 clinical trials as both a monotherapy and adjunctive therapy for the treatment of schizophrenia and as a monotherapy for the treatment of psychosis in Alzheimer’s disease.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Knowledge of the Seller</w:t>
      </w:r>
      <w:r>
        <w:rPr>
          <w:color w:val="000000"/>
        </w:rPr>
        <w:t xml:space="preserve">” </w:t>
      </w:r>
      <w:r>
        <w:rPr>
          <w:rFonts w:ascii="Times New Roman;sans-serif" w:hAnsi="Times New Roman;sans-serif"/>
          <w:b w:val="false"/>
          <w:color w:val="000000"/>
          <w:sz w:val="24"/>
        </w:rPr>
        <w:t>means the actual knowledge of Daphne Zohar, Chief Executive Officer, Bharatt Chowrira, PhD, JD, President and Chief Business, Finance and Operating Officer, Eric Elenko, PhD, Chief Innovation and Strategy Officer, Anita Terpstra, PhD, JD, Senior Vice President and Head, Intellectual Property, and Charles Sherwood, Esq., Associate General Counsel, after reasonable due inquiry; provided that “reasonable due inquiry” shall not include any requirement to contact or correspond with any Person that is not an Affiliate or employee of the Seller.</w:t>
      </w:r>
      <w:r>
        <w:br w:type="page"/>
      </w:r>
    </w:p>
    <w:p>
      <w:pPr>
        <w:pStyle w:val="TextBody"/>
        <w:spacing w:before="0" w:after="0"/>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260"/>
                <wp:effectExtent l="0" t="0" r="0" b="0"/>
                <wp:wrapNone/>
                <wp:docPr id="370" name="Frame3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 Agreement</w:t>
      </w:r>
      <w:r>
        <w:rPr>
          <w:color w:val="000000"/>
        </w:rPr>
        <w:t xml:space="preserve">” </w:t>
      </w:r>
      <w:r>
        <w:rPr>
          <w:rFonts w:ascii="Times New Roman;sans-serif" w:hAnsi="Times New Roman;sans-serif"/>
          <w:b w:val="false"/>
          <w:color w:val="000000"/>
          <w:sz w:val="24"/>
        </w:rPr>
        <w:t xml:space="preserve">means (i) that certain Exclusive Patent License Agreement by and between the Seller (f/k/a PureTech Ventures, LLC) and Licensee dated March 4, 2011, as amended by Amendment No. 1 to Exclusive Patent License Agreement dated February 1, 2013, Amendment No. 2 to Exclusive Patent License Agreement dated February 25, 2015, and Amendment No. 3 to Exclusive Patent License Agreement dated July 31, 2015, as may be further amended and/or restated from time to time as permitted under this Agreement, and (ii) any New License Agreement, as may be further amended and/or restated from time to time.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 Agreement Correspondence</w:t>
      </w:r>
      <w:r>
        <w:rPr>
          <w:color w:val="000000"/>
        </w:rPr>
        <w:t xml:space="preserve">” </w:t>
      </w:r>
      <w:r>
        <w:rPr>
          <w:rFonts w:ascii="Times New Roman;sans-serif" w:hAnsi="Times New Roman;sans-serif"/>
          <w:b w:val="false"/>
          <w:color w:val="000000"/>
          <w:sz w:val="24"/>
        </w:rPr>
        <w:t xml:space="preserve">means copies of all: </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reports provided to the Seller by Licensee as of the date hereof pursuant to Section 4.1 of the License Agreement; </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sublicenses granted by Licensee and received by the Seller pursuant to Section 2.2 of the License Agreement; </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agreements between the Seller and Licensee (or their Affiliates) relating to the License Agreement, including any development, manufacturing, services, or pharmacovigilance agreements; </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audit records or reports provided by Licensee to the Seller under Section 4.4 of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patent prosecution updates provided by Licensee to the Seller under Section 5.1 or 5.3 of the License Agreement; </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patent infringement notices provided by either Licensee or the Seller under Section 6.1 of the License Agreement; </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patent enforcement or defense updates provided by either Licensee or the Seller under Section 6.2 or 6.3 of the License Agreement; </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 xml:space="preserve">updates regarding Third Party infringement claims provided by either Licensee or the Seller; and </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other material communications between Licensee and the Seller since January 1, 2020 relating to the License Agreement, the Royalty, the Licensed Patents, or the Licensed Products.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Licensed Patents</w:t>
      </w:r>
      <w:r>
        <w:rPr>
          <w:color w:val="000000"/>
        </w:rPr>
        <w:t xml:space="preserve">” </w:t>
      </w:r>
      <w:r>
        <w:rPr>
          <w:rFonts w:ascii="Times New Roman;sans-serif" w:hAnsi="Times New Roman;sans-serif"/>
          <w:b w:val="false"/>
          <w:color w:val="000000"/>
          <w:sz w:val="24"/>
        </w:rPr>
        <w:t>shall have the meaning ascribed to the term Patent Rights in Section 1.5 of the License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Licensed Product</w:t>
      </w:r>
      <w:r>
        <w:rPr>
          <w:color w:val="000000"/>
        </w:rPr>
        <w:t xml:space="preserve">” </w:t>
      </w:r>
      <w:r>
        <w:rPr>
          <w:rFonts w:ascii="Times New Roman;sans-serif" w:hAnsi="Times New Roman;sans-serif"/>
          <w:b w:val="false"/>
          <w:color w:val="000000"/>
          <w:sz w:val="24"/>
        </w:rPr>
        <w:t>shall (i) have the meaning ascribed to the term Licensed Product in Section 1.3 of the License Agreement, and (ii) in the case of a New Arrangement entered into by the Seller in accordance with the terms hereof, the analogous term for “licensed product” or any comparable concept as defined in the applicable New License Agreement, including, for clarity, in each case ((i) and (ii)), KarXT.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Licensee</w:t>
      </w:r>
      <w:r>
        <w:rPr>
          <w:color w:val="000000"/>
        </w:rPr>
        <w:t xml:space="preserve">” </w:t>
      </w:r>
      <w:r>
        <w:rPr>
          <w:rFonts w:ascii="Times New Roman;sans-serif" w:hAnsi="Times New Roman;sans-serif"/>
          <w:b w:val="false"/>
          <w:color w:val="000000"/>
          <w:sz w:val="24"/>
        </w:rPr>
        <w:t>means (i) Karuna Therapeutics, Inc. (f/k/a Karuna Pharmaceuticals, Inc.), a Delaware corporation, and any successor entity thereto, and (ii) any licensee party to any New License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Licensee Instruction Letter</w:t>
      </w:r>
      <w:r>
        <w:rPr>
          <w:color w:val="000000"/>
        </w:rPr>
        <w:t xml:space="preserve">” </w:t>
      </w:r>
      <w:r>
        <w:rPr>
          <w:rFonts w:ascii="Times New Roman;sans-serif" w:hAnsi="Times New Roman;sans-serif"/>
          <w:b w:val="false"/>
          <w:color w:val="000000"/>
          <w:sz w:val="24"/>
        </w:rPr>
        <w:t>is defined in Section 3.3.</w:t>
      </w:r>
      <w:r>
        <w:br w:type="page"/>
      </w:r>
    </w:p>
    <w:p>
      <w:pPr>
        <w:pStyle w:val="TextBody"/>
        <w:spacing w:before="0" w:after="0"/>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260"/>
                <wp:effectExtent l="0" t="0" r="0" b="0"/>
                <wp:wrapNone/>
                <wp:docPr id="371" name="Frame3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mortgage, lien, pledge, charge, adverse claim, security interest, encumbrance or restriction of any kind, including any restriction on use, transfer or exercise of any other attribute of ownership of any kind.</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Loss</w:t>
      </w:r>
      <w:r>
        <w:rPr>
          <w:color w:val="000000"/>
        </w:rPr>
        <w:t xml:space="preserve">” </w:t>
      </w:r>
      <w:r>
        <w:rPr>
          <w:rFonts w:ascii="Times New Roman;sans-serif" w:hAnsi="Times New Roman;sans-serif"/>
          <w:b w:val="false"/>
          <w:color w:val="000000"/>
          <w:sz w:val="24"/>
        </w:rPr>
        <w:t xml:space="preserve">means any and all Judgments, damages, losses, claims, costs, liabilities and expenses, including reasonable fees and out-of-pocket expenses of counsel. </w:t>
      </w:r>
    </w:p>
    <w:p>
      <w:pPr>
        <w:pStyle w:val="TextBody"/>
        <w:spacing w:lineRule="auto" w:line="240" w:before="0" w:after="120"/>
        <w:ind w:left="0" w:right="0" w:firstLine="720"/>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(i) a material adverse effect on the legality, validity or enforceability of any provision of this Agreement, (ii) a material adverse effect on the ability of the Seller to perform any of its obligations hereunder, (iii) a material adverse effect on the rights or remedies of the Buyer hereunder other than any such material adverse effect that results from compliance with any directions of the Buyer, (iv) a material adverse effect on the rights of the Seller under the License Agreement related to the Royalty, or (v) an adverse effect in any material respect on the timing, amount or duration of the payments to be made to the Buyer in respect of any portion of the Purchased Royalty or the right of the Buyer to receive such payments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NDA</w:t>
      </w:r>
      <w:r>
        <w:rPr>
          <w:color w:val="000000"/>
        </w:rPr>
        <w:t xml:space="preserve">” </w:t>
      </w:r>
      <w:r>
        <w:rPr>
          <w:rFonts w:ascii="Times New Roman;sans-serif" w:hAnsi="Times New Roman;sans-serif"/>
          <w:b w:val="false"/>
          <w:color w:val="000000"/>
          <w:sz w:val="24"/>
        </w:rPr>
        <w:t>means a New Drug Application as described in 21 C.F.R. § 314.50 submitted to the FDA in the United States with respect to a pharmaceutical product.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Net Sales</w:t>
      </w:r>
      <w:r>
        <w:rPr>
          <w:color w:val="000000"/>
        </w:rPr>
        <w:t xml:space="preserve">” </w:t>
      </w:r>
      <w:r>
        <w:rPr>
          <w:rFonts w:ascii="Times New Roman;sans-serif" w:hAnsi="Times New Roman;sans-serif"/>
          <w:b w:val="false"/>
          <w:color w:val="000000"/>
          <w:sz w:val="24"/>
        </w:rPr>
        <w:t>shall have the meaning ascribed to the term Net Sales in Section 1.4 of the License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New Arrangement</w:t>
      </w:r>
      <w:r>
        <w:rPr>
          <w:color w:val="000000"/>
        </w:rPr>
        <w:t xml:space="preserve">” </w:t>
      </w:r>
      <w:r>
        <w:rPr>
          <w:rFonts w:ascii="Times New Roman;sans-serif" w:hAnsi="Times New Roman;sans-serif"/>
          <w:b w:val="false"/>
          <w:color w:val="000000"/>
          <w:sz w:val="24"/>
        </w:rPr>
        <w:t>is defined in Section 6.12(a)(ii).</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New License Agreement</w:t>
      </w:r>
      <w:r>
        <w:rPr>
          <w:color w:val="000000"/>
        </w:rPr>
        <w:t xml:space="preserve">” </w:t>
      </w:r>
      <w:r>
        <w:rPr>
          <w:rFonts w:ascii="Times New Roman;sans-serif" w:hAnsi="Times New Roman;sans-serif"/>
          <w:b w:val="false"/>
          <w:color w:val="000000"/>
          <w:sz w:val="24"/>
        </w:rPr>
        <w:t>is defined in Section 6.11.</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Orange Book</w:t>
      </w:r>
      <w:r>
        <w:rPr>
          <w:color w:val="000000"/>
        </w:rPr>
        <w:t xml:space="preserve">” </w:t>
      </w:r>
      <w:r>
        <w:rPr>
          <w:rFonts w:ascii="Times New Roman;sans-serif" w:hAnsi="Times New Roman;sans-serif"/>
          <w:b w:val="false"/>
          <w:color w:val="000000"/>
          <w:sz w:val="24"/>
        </w:rPr>
        <w:t>means the then-current edition of the FDA publication “Approved Drug Products with Therapeutic Equivalence Evaluations.”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Patents</w:t>
      </w:r>
      <w:r>
        <w:rPr>
          <w:color w:val="000000"/>
        </w:rPr>
        <w:t xml:space="preserve">” </w:t>
      </w:r>
      <w:r>
        <w:rPr>
          <w:rFonts w:ascii="Times New Roman;sans-serif" w:hAnsi="Times New Roman;sans-serif"/>
          <w:b w:val="false"/>
          <w:color w:val="000000"/>
          <w:sz w:val="24"/>
        </w:rPr>
        <w:t>means all patents and patent applications and all substitutions, divisions, continuations, continuations-in-part, any patent issued with respect to any such patent applications, any reissue, reexamination, renewal or extension (including any supplementary protection certificate) of any such patent, and any confirmation patent or registration patent or patent of addition based on any such patent, and all counterparts and equivalents of any of the foregoing in any country or jurisdiction.</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Payment Triggering Event</w:t>
      </w:r>
      <w:r>
        <w:rPr>
          <w:color w:val="000000"/>
        </w:rPr>
        <w:t xml:space="preserve">” </w:t>
      </w:r>
      <w:r>
        <w:rPr>
          <w:rFonts w:ascii="Times New Roman;sans-serif" w:hAnsi="Times New Roman;sans-serif"/>
          <w:b w:val="false"/>
          <w:color w:val="000000"/>
          <w:sz w:val="24"/>
        </w:rPr>
        <w:t xml:space="preserve">is defined in Section 2.1(b).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means any (i) mechanic’s, materialmen’s, and similar liens for amounts not yet due and payable, (ii) statutory liens for Taxes not yet due and payable or for Taxes that the taxpayer is contesting in good faith, and (iii) any liens created, permitted or required by this Agreement in favor of the Buyer or its Affiliates.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Permitted Reduction</w:t>
      </w:r>
      <w:r>
        <w:rPr>
          <w:color w:val="000000"/>
        </w:rPr>
        <w:t xml:space="preserve">” </w:t>
      </w:r>
      <w:r>
        <w:rPr>
          <w:rFonts w:ascii="Times New Roman;sans-serif" w:hAnsi="Times New Roman;sans-serif"/>
          <w:b w:val="false"/>
          <w:color w:val="000000"/>
          <w:sz w:val="24"/>
        </w:rPr>
        <w:t>means a Royalty Reduction pursuant to Section 3.2(b) of the License Agreement, excluding any such Royalty Reduction that is a withholding of Tax as a result of any action by the Seller, such as an assignment or re-domiciliation by the Seller, or any failure on the part of the Seller to comply with applicable law.</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corporation, company, partnership, limited liability company, trust, joint venture, association, estate, trust, Governmental Entity or other entity, enterprise, association or organization.</w:t>
      </w:r>
      <w:r>
        <w:br w:type="page"/>
      </w:r>
    </w:p>
    <w:p>
      <w:pPr>
        <w:pStyle w:val="TextBody"/>
        <w:spacing w:before="0" w:after="0"/>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75260"/>
                <wp:effectExtent l="0" t="0" r="0" b="0"/>
                <wp:wrapNone/>
                <wp:docPr id="372" name="Frame3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means the prime rate published by The Wall Street Journal, from time to time, as the prime rate.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Pro-Rata Portion</w:t>
      </w:r>
      <w:r>
        <w:rPr>
          <w:color w:val="000000"/>
        </w:rPr>
        <w:t xml:space="preserve">” </w:t>
      </w:r>
      <w:r>
        <w:rPr>
          <w:rFonts w:ascii="Times New Roman;sans-serif" w:hAnsi="Times New Roman;sans-serif"/>
          <w:b w:val="false"/>
          <w:color w:val="000000"/>
          <w:sz w:val="24"/>
        </w:rPr>
        <w:t>means, on a calendar year-by-calendar year basis, (i) with respect to the Buyer, 100%, until the portion of aggregate Purchased Royalties received by the Buyer with respect to Net Sales of Licensed Products occurring during such calendar year equals at least $60,000,000, and thereafter 33.33% with respect to Net Sales of Licensed Products occurring during such calendar year after the occurrence of the Net Sales which resulted in such $60,000,000 in Purchased Royalties received by the Buyer, and (ii) with respect to the Seller, 0%, until the portion of aggregate Purchased Royalties received by the Buyer with respect to Net Sales of Licensed Products occurring during such calendar year equals at least $60,000,000, and thereafter 66.67% with respect to Net Sales of Licensed Products occurring during such calendar year after the occurrence of the Net Sales which resulted in such $60,000,000 in Purchased Royalties received by the Buyer.</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Proceeds</w:t>
      </w:r>
      <w:r>
        <w:rPr>
          <w:color w:val="000000"/>
        </w:rPr>
        <w:t xml:space="preserve">” </w:t>
      </w:r>
      <w:r>
        <w:rPr>
          <w:rFonts w:ascii="Times New Roman;sans-serif" w:hAnsi="Times New Roman;sans-serif"/>
          <w:b w:val="false"/>
          <w:color w:val="000000"/>
          <w:sz w:val="24"/>
        </w:rPr>
        <w:t>means any amounts actually recovered by the Seller as a result of any settlement or resolution of any actions, suits, proceedings, claims or disputes related to (i) the License Agreement, (ii) the Licensed Patents, or (iii) any Licensed Product, in each case ((i), (ii) and (iii)), related to or involving the Royalty.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means, collectively, the Initial Purchase Price and any Additional Purchase Price Payments.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Purchased Royalty</w:t>
      </w:r>
      <w:r>
        <w:rPr>
          <w:color w:val="000000"/>
        </w:rPr>
        <w:t xml:space="preserve">” </w:t>
      </w:r>
      <w:r>
        <w:rPr>
          <w:rFonts w:ascii="Times New Roman;sans-serif" w:hAnsi="Times New Roman;sans-serif"/>
          <w:b w:val="false"/>
          <w:color w:val="000000"/>
          <w:sz w:val="24"/>
        </w:rPr>
        <w:t>means, for each calendar quarter during the term of this Agreement, an amount payable to the Buyer equal to the amount of all Royalties with respect to Net Sales of Licensed Products occurring during such calendar quarter multiplied by the Applicable Percentage.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PureTech In-Licenses</w:t>
      </w:r>
      <w:r>
        <w:rPr>
          <w:color w:val="000000"/>
        </w:rPr>
        <w:t xml:space="preserve">” </w:t>
      </w:r>
      <w:r>
        <w:rPr>
          <w:rFonts w:ascii="Times New Roman;sans-serif" w:hAnsi="Times New Roman;sans-serif"/>
          <w:b w:val="false"/>
          <w:color w:val="000000"/>
          <w:sz w:val="24"/>
        </w:rPr>
        <w:t>means any and all In-Licenses to which the Seller is a party pursuant to which the Seller has in-licensed any of the Licensed Patents from a Third Party.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is defined in Section 7.1.</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Representative</w:t>
      </w:r>
      <w:r>
        <w:rPr>
          <w:color w:val="000000"/>
        </w:rPr>
        <w:t xml:space="preserve">” </w:t>
      </w:r>
      <w:r>
        <w:rPr>
          <w:rFonts w:ascii="Times New Roman;sans-serif" w:hAnsi="Times New Roman;sans-serif"/>
          <w:b w:val="false"/>
          <w:color w:val="000000"/>
          <w:sz w:val="24"/>
        </w:rPr>
        <w:t>means, with respect to any Person, (i) any direct or indirect stockholder, member or partner of such Person and (ii) any manager, director, officer, employee, agent, advisor or other representative (including attorneys, accountants, consultants, bankers, financial advisors and actual and potential lenders and investors) of such Person.</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Retained Royalty</w:t>
      </w:r>
      <w:r>
        <w:rPr>
          <w:color w:val="000000"/>
        </w:rPr>
        <w:t xml:space="preserve">” </w:t>
      </w:r>
      <w:r>
        <w:rPr>
          <w:rFonts w:ascii="Times New Roman;sans-serif" w:hAnsi="Times New Roman;sans-serif"/>
          <w:b w:val="false"/>
          <w:color w:val="000000"/>
          <w:sz w:val="24"/>
        </w:rPr>
        <w:t>means that portion of the Royalty retained by the Seller that is not the Purchased Royalty.</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Royalty</w:t>
      </w:r>
      <w:r>
        <w:rPr>
          <w:color w:val="000000"/>
        </w:rPr>
        <w:t xml:space="preserve">” </w:t>
      </w:r>
      <w:r>
        <w:rPr>
          <w:rFonts w:ascii="Times New Roman;sans-serif" w:hAnsi="Times New Roman;sans-serif"/>
          <w:b w:val="false"/>
          <w:color w:val="000000"/>
          <w:sz w:val="24"/>
        </w:rPr>
        <w:t xml:space="preserve">means (i) any and all payments or amounts payable to the Seller under Section 3.1(a) of the License Agreement; (ii) any and all payments or amounts payable to the Seller under the License Agreement in lieu of such payments or amounts described in the foregoing clause (i); (iii) any and all payments or amounts payable to the Seller under Sections 4.4 (solely to the extent related to amounts due under Section 3.1(a) of the License Agreement), 6.4(ii) or 6.4(iii) (for any actions brought or defended by Licensee under Section 6.2 or 6.3 of the License Agreement), and 11.3(b) of the License Agreement; (iv) any and all payments or amounts payable to the Seller under Section 11.1 (solely to the extent related to any payments or amounts described under clauses (i) through (iii) and (v) through (vii) of this definition) of the License Agreement); (v) the share of any recovery payments or amounts payable to, or obtained and retained by, the Seller from an action brought by the Seller under Sections 6.2 or 6.3 of the License Agreement pursuant to the last sentence of Section 6.4 of the License Agreement (excluding reimbursement for any expenses incurred in such action); (vi) any and all amounts </w:t>
      </w:r>
      <w:r>
        <w:br w:type="page"/>
      </w:r>
    </w:p>
    <w:p>
      <w:pPr>
        <w:pStyle w:val="TextBody"/>
        <w:spacing w:before="0" w:after="0"/>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75260"/>
                <wp:effectExtent l="0" t="0" r="0" b="0"/>
                <wp:wrapNone/>
                <wp:docPr id="373" name="Frame3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payable to the Seller under Section 7.1 of the License Agreement to the extent such payments relate to the Royalty or Net Sales of the Licensed Products; and (vii) any and all interest payments to the Seller under Section 3.2(c) of the License Agreement assessed on any payments or amounts described in the foregoing clauses (i) through (vi).</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Notwithstanding the immediately above definition, the term “Royalty” shall exclude: (w) any and all payments or amounts payable to the Seller under Section 3.1(b) or 3.1(c) of the License Agreement, (x) any payments or amounts of the types described in clauses (iii) through (vii) of this definition above which relate to or are in lieu of any payments or amounts payable to the Seller under Section 3.1(b) or 3.1(c) of the License Agreement, (y) any payments or amounts payable by Licensee to the Seller not related to the Royalty or the Licensed Product, and (z) any indemnity payments to the Seller and its Affiliates under Section 7.1 of the License Agreement that are not related to the Royalty or Net Sales of the Licensed Products.</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Royalty Reduction</w:t>
      </w:r>
      <w:r>
        <w:rPr>
          <w:color w:val="000000"/>
        </w:rPr>
        <w:t xml:space="preserve">” </w:t>
      </w:r>
      <w:r>
        <w:rPr>
          <w:rFonts w:ascii="Times New Roman;sans-serif" w:hAnsi="Times New Roman;sans-serif"/>
          <w:b w:val="false"/>
          <w:color w:val="000000"/>
          <w:sz w:val="24"/>
        </w:rPr>
        <w:t>is defined in Section 4.9(k).</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Royalty Reports</w:t>
      </w:r>
      <w:r>
        <w:rPr>
          <w:color w:val="000000"/>
        </w:rPr>
        <w:t xml:space="preserve">” </w:t>
      </w:r>
      <w:r>
        <w:rPr>
          <w:rFonts w:ascii="Times New Roman;sans-serif" w:hAnsi="Times New Roman;sans-serif"/>
          <w:b w:val="false"/>
          <w:color w:val="000000"/>
          <w:sz w:val="24"/>
        </w:rPr>
        <w:t>means the quarterly reports deliverable by Licensee pursuant to Sections 4.1(c) and 4.2 of the License Agreement.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is defined in the preamble.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Seller Indemnified Parties</w:t>
      </w:r>
      <w:r>
        <w:rPr>
          <w:color w:val="000000"/>
        </w:rPr>
        <w:t xml:space="preserve">” </w:t>
      </w:r>
      <w:r>
        <w:rPr>
          <w:rFonts w:ascii="Times New Roman;sans-serif" w:hAnsi="Times New Roman;sans-serif"/>
          <w:b w:val="false"/>
          <w:color w:val="000000"/>
          <w:sz w:val="24"/>
        </w:rPr>
        <w:t xml:space="preserve">is defined in Section 8.1(b).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Seller Monetization Transaction</w:t>
      </w:r>
      <w:r>
        <w:rPr>
          <w:color w:val="000000"/>
        </w:rPr>
        <w:t xml:space="preserve">” </w:t>
      </w:r>
      <w:r>
        <w:rPr>
          <w:rFonts w:ascii="Times New Roman;sans-serif" w:hAnsi="Times New Roman;sans-serif"/>
          <w:b w:val="false"/>
          <w:color w:val="000000"/>
          <w:sz w:val="24"/>
        </w:rPr>
        <w:t xml:space="preserve">means, with respect to the Retained Royalty and/or any and all payments or amounts payable to the Seller under Section 3.1(b) or 3.1(c) of the License Agreement, (i) any sale, assignment or other transfer of all or a portion of the Seller’s and/or its Affiliates’ right, title and interest in, to and under such Retained Royalty and/or payments or amounts payable to the Seller under Section 3.1(b) or 3.1(c) of the License Agreement, (ii) any synthetic royalty or other monetization transaction, in each case secured by a Lien on, or providing for payments from and based on the cash flows generated by, the Seller’s and/or its Affiliates’ right, title and interest in such Retained Royalty and/or payments or amounts payable to the Seller under Section 3.1(b) or 3.1(c) of the License Agreement, or (iii) any debt financing where the collateral includes any portion of the Retained Royalty, the payments or amounts payable to the Seller under Section 3.1(b) or 3.1(c) of the License Agreement, the Licensed Patents, or any “proceeds” (as defined in the UCC) if any of the foregoing constitute a material portion of the collateral, including if such collateral is combined with similar collateral for other products, product candidates, intellectual property and proceeds;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following shall not be a Seller Monetization Transaction: (x) any debt financing secured by a Lien on all or substantially all assets of the Seller and its material subsidiaries, on a consolidated basis and (y) a sale or transfer contemplated in clause (i) to an Affiliate in accordance with Section 10.3 so long as such Affiliate does not engage in a Seller Monetization Transaction.</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Seller Parent</w:t>
      </w:r>
      <w:r>
        <w:rPr>
          <w:color w:val="000000"/>
        </w:rPr>
        <w:t xml:space="preserve">” </w:t>
      </w:r>
      <w:r>
        <w:rPr>
          <w:rFonts w:ascii="Times New Roman;sans-serif" w:hAnsi="Times New Roman;sans-serif"/>
          <w:b w:val="false"/>
          <w:color w:val="000000"/>
          <w:sz w:val="24"/>
        </w:rPr>
        <w:t>is defined in the preamble.</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sNDA</w:t>
      </w:r>
      <w:r>
        <w:rPr>
          <w:color w:val="000000"/>
        </w:rPr>
        <w:t xml:space="preserve">” </w:t>
      </w:r>
      <w:r>
        <w:rPr>
          <w:rFonts w:ascii="Times New Roman;sans-serif" w:hAnsi="Times New Roman;sans-serif"/>
          <w:b w:val="false"/>
          <w:color w:val="000000"/>
          <w:sz w:val="24"/>
        </w:rPr>
        <w:t>means a Supplemental New Drug Application as described in 21 C.F.R. § 314.70 submitted to the FDA in the United States with respect to a pharmaceutical product.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U.S. federal, state, local or non-U.S. income, gross receipts, license, payroll, employment, excise, severance, occupation, premium, windfall profits, environmental, customs duties, capital stock, franchise, profits, withholding, social security, unemployment, disability, real property, personal property, value added, alternative or add-on minimum, estimated or other tax of any kind whatsoever, including any interest, penalty or addition thereto, whether disputed or not.</w:t>
      </w:r>
      <w:r>
        <w:br w:type="page"/>
      </w:r>
    </w:p>
    <w:p>
      <w:pPr>
        <w:pStyle w:val="TextBody"/>
        <w:spacing w:before="0" w:after="0"/>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75260"/>
                <wp:effectExtent l="0" t="0" r="0" b="0"/>
                <wp:wrapNone/>
                <wp:docPr id="374" name="Frame3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Third Party</w:t>
      </w:r>
      <w:r>
        <w:rPr>
          <w:color w:val="000000"/>
        </w:rPr>
        <w:t xml:space="preserve">” </w:t>
      </w:r>
      <w:r>
        <w:rPr>
          <w:rFonts w:ascii="Times New Roman;sans-serif" w:hAnsi="Times New Roman;sans-serif"/>
          <w:b w:val="false"/>
          <w:color w:val="000000"/>
          <w:sz w:val="24"/>
        </w:rPr>
        <w:t xml:space="preserve">means any Person other than the Buyer, the Seller or any of their respective Affiliates. </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Trilateral Common Interest and Joint Privilege Agreement</w:t>
      </w:r>
      <w:r>
        <w:rPr>
          <w:color w:val="000000"/>
        </w:rPr>
        <w:t xml:space="preserve">” </w:t>
      </w:r>
      <w:r>
        <w:rPr>
          <w:rFonts w:ascii="Times New Roman;sans-serif" w:hAnsi="Times New Roman;sans-serif"/>
          <w:b w:val="false"/>
          <w:color w:val="000000"/>
          <w:sz w:val="24"/>
        </w:rPr>
        <w:t xml:space="preserve">means a common interest and joint privilege agreement among the Seller, Licensee, and the Buyer substantially in the form attached hereto as </w:t>
      </w:r>
      <w:r>
        <w:rPr>
          <w:rFonts w:ascii="Times New Roman;sans-serif" w:hAnsi="Times New Roman;sans-serif"/>
          <w:b w:val="false"/>
          <w:color w:val="000000"/>
          <w:sz w:val="24"/>
          <w:u w:val="single"/>
        </w:rPr>
        <w:t>Exhibit D-2</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Article 9 of the New York Uniform Commercial Code, as in effect from time to time.</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Certain Interpretations</w:t>
      </w:r>
      <w:r>
        <w:rPr>
          <w:rFonts w:ascii="Times New Roman;sans-serif" w:hAnsi="Times New Roman;sans-serif"/>
          <w:b w:val="false"/>
          <w:color w:val="000000"/>
          <w:sz w:val="24"/>
        </w:rPr>
        <w:t>. Except where expressly stated otherwise in this Agreement, the following rules of interpretation apply to this Agreement:</w:t>
      </w:r>
    </w:p>
    <w:p>
      <w:pPr>
        <w:pStyle w:val="TextBody"/>
        <w:spacing w:lineRule="auto" w:line="240" w:before="0" w:after="240"/>
        <w:ind w:left="0" w:right="0" w:firstLine="1440"/>
        <w:rPr/>
      </w:pPr>
      <w:r>
        <w:rPr>
          <w:rFonts w:ascii="Times New Roman;sans-serif" w:hAnsi="Times New Roman;sans-serif"/>
          <w:b w:val="false"/>
          <w:color w:val="010000"/>
          <w:sz w:val="24"/>
        </w:rPr>
        <w:t>(a)</w:t>
      </w:r>
      <w:r>
        <w:rPr>
          <w:color w:val="000000"/>
        </w:rPr>
        <w:t>“</w:t>
      </w:r>
      <w:r>
        <w:rPr>
          <w:rFonts w:ascii="Times New Roman;sans-serif" w:hAnsi="Times New Roman;sans-serif"/>
          <w:b w:val="false"/>
          <w:color w:val="000000"/>
          <w:sz w:val="24"/>
        </w:rPr>
        <w:t>either” and “or” are not exclusive and “include,” “includes” and “including” are not limiting and shall be deemed to be followed by the words “without limitation;”</w:t>
      </w:r>
    </w:p>
    <w:p>
      <w:pPr>
        <w:pStyle w:val="TextBody"/>
        <w:spacing w:lineRule="auto" w:line="240" w:before="0" w:after="240"/>
        <w:ind w:left="0" w:right="0" w:firstLine="1440"/>
        <w:rPr/>
      </w:pPr>
      <w:r>
        <w:rPr>
          <w:rFonts w:ascii="Times New Roman;sans-serif" w:hAnsi="Times New Roman;sans-serif"/>
          <w:b w:val="false"/>
          <w:color w:val="010000"/>
          <w:sz w:val="24"/>
        </w:rPr>
        <w:t>(b)</w:t>
      </w:r>
      <w:r>
        <w:rPr>
          <w:color w:val="000000"/>
        </w:rPr>
        <w:t>“</w:t>
      </w:r>
      <w:r>
        <w:rPr>
          <w:rFonts w:ascii="Times New Roman;sans-serif" w:hAnsi="Times New Roman;sans-serif"/>
          <w:b w:val="false"/>
          <w:color w:val="000000"/>
          <w:sz w:val="24"/>
        </w:rPr>
        <w:t>extent” in the phrase “to the extent” means the degree to which a subject or other thing extends, and such phrase does not mean simply “if;”</w:t>
      </w:r>
    </w:p>
    <w:p>
      <w:pPr>
        <w:pStyle w:val="TextBody"/>
        <w:spacing w:lineRule="auto" w:line="240" w:before="0" w:after="240"/>
        <w:ind w:left="0" w:right="0" w:firstLine="1440"/>
        <w:rPr/>
      </w:pPr>
      <w:r>
        <w:rPr>
          <w:rFonts w:ascii="Times New Roman;sans-serif" w:hAnsi="Times New Roman;sans-serif"/>
          <w:b w:val="false"/>
          <w:color w:val="010000"/>
          <w:sz w:val="24"/>
        </w:rPr>
        <w:t>(c)</w:t>
      </w:r>
      <w:r>
        <w:rPr>
          <w:color w:val="000000"/>
        </w:rPr>
        <w:t>“</w:t>
      </w:r>
      <w:r>
        <w:rPr>
          <w:rFonts w:ascii="Times New Roman;sans-serif" w:hAnsi="Times New Roman;sans-serif"/>
          <w:b w:val="false"/>
          <w:color w:val="000000"/>
          <w:sz w:val="24"/>
        </w:rPr>
        <w:t>hereof,” “hereto,” “herein” and “hereunder” and words of similar import when used in this Agreement refer to this Agreement as a whole and not to any particular provision of this Agreement;</w:t>
      </w:r>
    </w:p>
    <w:p>
      <w:pPr>
        <w:pStyle w:val="TextBody"/>
        <w:spacing w:lineRule="auto" w:line="240" w:before="0" w:after="240"/>
        <w:ind w:left="0" w:right="0" w:firstLine="1440"/>
        <w:rPr/>
      </w:pPr>
      <w:r>
        <w:rPr>
          <w:rFonts w:ascii="Times New Roman;sans-serif" w:hAnsi="Times New Roman;sans-serif"/>
          <w:b w:val="false"/>
          <w:color w:val="010000"/>
          <w:sz w:val="24"/>
        </w:rPr>
        <w:t>(d)</w:t>
      </w:r>
      <w:r>
        <w:rPr>
          <w:rFonts w:ascii="Times New Roman;sans-serif" w:hAnsi="Times New Roman;sans-serif"/>
          <w:b w:val="false"/>
          <w:color w:val="000000"/>
          <w:sz w:val="24"/>
        </w:rPr>
        <w:t>references to a Person are also to its permitted successors and assigns;</w:t>
      </w:r>
    </w:p>
    <w:p>
      <w:pPr>
        <w:pStyle w:val="TextBody"/>
        <w:spacing w:lineRule="auto" w:line="240" w:before="0" w:after="240"/>
        <w:ind w:left="0" w:right="0" w:firstLine="1440"/>
        <w:rPr/>
      </w:pPr>
      <w:r>
        <w:rPr>
          <w:rFonts w:ascii="Times New Roman;sans-serif" w:hAnsi="Times New Roman;sans-serif"/>
          <w:b w:val="false"/>
          <w:color w:val="010000"/>
          <w:sz w:val="24"/>
        </w:rPr>
        <w:t>(e)</w:t>
      </w:r>
      <w:r>
        <w:rPr>
          <w:rFonts w:ascii="Times New Roman;sans-serif" w:hAnsi="Times New Roman;sans-serif"/>
          <w:b w:val="false"/>
          <w:color w:val="000000"/>
          <w:sz w:val="24"/>
        </w:rPr>
        <w:t>definitions are applicable to the singular as well as the plural forms of such terms;</w:t>
      </w:r>
    </w:p>
    <w:p>
      <w:pPr>
        <w:pStyle w:val="TextBody"/>
        <w:spacing w:lineRule="auto" w:line="240" w:before="0" w:after="240"/>
        <w:ind w:left="0" w:right="0" w:firstLine="1440"/>
        <w:rPr/>
      </w:pPr>
      <w:r>
        <w:rPr>
          <w:rFonts w:ascii="Times New Roman;sans-serif" w:hAnsi="Times New Roman;sans-serif"/>
          <w:b w:val="false"/>
          <w:color w:val="010000"/>
          <w:sz w:val="24"/>
        </w:rPr>
        <w:t>(f)</w:t>
      </w:r>
      <w:r>
        <w:rPr>
          <w:rFonts w:ascii="Times New Roman;sans-serif" w:hAnsi="Times New Roman;sans-serif"/>
          <w:b w:val="false"/>
          <w:color w:val="000000"/>
          <w:sz w:val="24"/>
        </w:rPr>
        <w:t>unless otherwise indicated, references to an “Article”, “Section” or “Exhibit” refer to an Article or Section of, or an Exhibit to, this Agreement, and references to a “Schedule” refer to the corresponding part of the Disclosure Schedule;</w:t>
      </w:r>
    </w:p>
    <w:p>
      <w:pPr>
        <w:pStyle w:val="TextBody"/>
        <w:spacing w:lineRule="auto" w:line="240" w:before="0" w:after="240"/>
        <w:ind w:left="0" w:right="0" w:firstLine="1440"/>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references to “$” or otherwise to dollar amounts refer to the lawful currency of the United States; </w:t>
      </w:r>
    </w:p>
    <w:p>
      <w:pPr>
        <w:pStyle w:val="TextBody"/>
        <w:spacing w:lineRule="auto" w:line="240" w:before="0" w:after="240"/>
        <w:ind w:left="0" w:right="0" w:firstLine="1440"/>
        <w:rPr/>
      </w:pPr>
      <w:r>
        <w:rPr>
          <w:rFonts w:ascii="Times New Roman;sans-serif" w:hAnsi="Times New Roman;sans-serif"/>
          <w:b w:val="false"/>
          <w:color w:val="010000"/>
          <w:sz w:val="24"/>
        </w:rPr>
        <w:t>(h)</w:t>
      </w:r>
      <w:r>
        <w:rPr>
          <w:rFonts w:ascii="Times New Roman;sans-serif" w:hAnsi="Times New Roman;sans-serif"/>
          <w:b w:val="false"/>
          <w:color w:val="000000"/>
          <w:sz w:val="24"/>
        </w:rPr>
        <w:t>provisions referring to matters that would or could have, or would or could reasonably be expected to have, or similar phrases, shall be deemed to have such result or expectation with or without the giving of notice or the passage of time, or both;</w:t>
      </w:r>
    </w:p>
    <w:p>
      <w:pPr>
        <w:pStyle w:val="TextBody"/>
        <w:spacing w:lineRule="auto" w:line="240" w:before="0" w:after="240"/>
        <w:ind w:left="0" w:right="0" w:firstLine="1440"/>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for covenants that are to be undertaken “reasonably,” such actions (or inactions) shall take into account Buyer’s and Seller’s relative economic interests in the matter and the relative economic impact of the applicable action (or inaction) on such interests; </w:t>
      </w:r>
    </w:p>
    <w:p>
      <w:pPr>
        <w:pStyle w:val="TextBody"/>
        <w:spacing w:lineRule="auto" w:line="240" w:before="0" w:after="240"/>
        <w:ind w:left="0" w:right="0" w:firstLine="1440"/>
        <w:rPr/>
      </w:pPr>
      <w:r>
        <w:rPr>
          <w:rFonts w:ascii="Times New Roman;sans-serif" w:hAnsi="Times New Roman;sans-serif"/>
          <w:b w:val="false"/>
          <w:color w:val="010000"/>
          <w:sz w:val="24"/>
        </w:rPr>
        <w:t>(j)</w:t>
      </w:r>
      <w:r>
        <w:rPr>
          <w:rFonts w:ascii="Times New Roman;sans-serif" w:hAnsi="Times New Roman;sans-serif"/>
          <w:b w:val="false"/>
          <w:color w:val="000000"/>
          <w:sz w:val="24"/>
        </w:rPr>
        <w:t xml:space="preserve">references to this Agreement include the Bill of Sale, the Disclosure Schedule, the Bilateral Common Interest and Joint Privilege Agreement, the Escrow Agreement, and the Licensee Instruction Letter; and </w:t>
      </w:r>
    </w:p>
    <w:p>
      <w:pPr>
        <w:pStyle w:val="TextBody"/>
        <w:spacing w:lineRule="auto" w:line="240" w:before="0" w:after="240"/>
        <w:ind w:left="0" w:right="0" w:firstLine="1440"/>
        <w:rPr/>
      </w:pPr>
      <w:r>
        <w:rPr>
          <w:rFonts w:ascii="Times New Roman;sans-serif" w:hAnsi="Times New Roman;sans-serif"/>
          <w:b w:val="false"/>
          <w:color w:val="010000"/>
          <w:sz w:val="24"/>
        </w:rPr>
        <w:t>(k)</w:t>
      </w:r>
      <w:r>
        <w:rPr>
          <w:rFonts w:ascii="Times New Roman;sans-serif" w:hAnsi="Times New Roman;sans-serif"/>
          <w:b w:val="false"/>
          <w:color w:val="000000"/>
          <w:sz w:val="24"/>
        </w:rPr>
        <w:t>references to a law include any amendment or modification to such law and any rules and regulations issued thereunder, whether such amendment or modification is made, or issuance of such rules and regulations occurs, before or after the date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75260"/>
                <wp:effectExtent l="0" t="0" r="0" b="0"/>
                <wp:wrapNone/>
                <wp:docPr id="375" name="Frame3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    </w:t>
      </w:r>
    </w:p>
    <w:p>
      <w:pPr>
        <w:pStyle w:val="TextBody"/>
        <w:spacing w:lineRule="auto" w:line="556" w:before="0" w:after="0"/>
        <w:jc w:val="center"/>
        <w:rPr/>
      </w:pPr>
      <w:r>
        <w:rPr>
          <w:rFonts w:ascii="Times New Roman;sans-serif" w:hAnsi="Times New Roman;sans-serif"/>
          <w:b w:val="false"/>
          <w:color w:val="010000"/>
          <w:sz w:val="24"/>
        </w:rPr>
        <w:t>Article 2</w:t>
      </w:r>
      <w:r>
        <w:rPr>
          <w:rFonts w:ascii="Times New Roman;sans-serif" w:hAnsi="Times New Roman;sans-serif"/>
          <w:b w:val="false"/>
          <w:color w:val="000000"/>
          <w:sz w:val="24"/>
        </w:rPr>
        <w:br/>
        <w:t>PURCHASE, SALE AND ASSIGNMENT OF THE PURCHASED ROYALTY</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Closing; Purchase Price</w:t>
      </w:r>
      <w:r>
        <w:rPr>
          <w:rFonts w:ascii="Times New Roman;sans-serif" w:hAnsi="Times New Roman;sans-serif"/>
          <w:b w:val="false"/>
          <w:color w:val="000000"/>
          <w:sz w:val="24"/>
        </w:rPr>
        <w:t>.</w:t>
      </w:r>
    </w:p>
    <w:p>
      <w:pPr>
        <w:pStyle w:val="TextBody"/>
        <w:spacing w:lineRule="auto" w:line="240" w:before="0" w:after="240"/>
        <w:ind w:left="0" w:right="0" w:firstLine="180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Upon the terms and subject to the conditions of this Agreement, at the Closing, the Seller shall sell, transfer, assign and convey to the Buyer, and the Buyer shall purchase, acquire and accept from the Seller, free and clear of all Liens (other than Permitted Liens), all of the Seller’s right, title and interest in and to the Purchased Royalty. The purchase price to be paid at the Closing to the Seller for the sale, transfer, assignment and conveyance of the Seller’s right, title and interest in and to the Purchased Royalty to the Buyer is the Initial Purchase Price. At the Closing, the Buyer shall pay the Seller the Initial Purchase Price by wire transfer of immediately available funds to one or more accounts specified by the Seller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lineRule="auto" w:line="240" w:before="0" w:after="240"/>
        <w:ind w:left="0" w:right="0" w:firstLine="1800"/>
        <w:rPr/>
      </w:pPr>
      <w:r>
        <w:rPr>
          <w:rFonts w:ascii="Times New Roman;sans-serif" w:hAnsi="Times New Roman;sans-serif"/>
          <w:b w:val="false"/>
          <w:color w:val="010000"/>
          <w:sz w:val="24"/>
        </w:rPr>
        <w:t>(b)</w:t>
      </w:r>
      <w:r>
        <w:rPr>
          <w:rFonts w:ascii="Times New Roman;sans-serif" w:hAnsi="Times New Roman;sans-serif"/>
          <w:b w:val="false"/>
          <w:color w:val="000000"/>
          <w:sz w:val="24"/>
        </w:rPr>
        <w:t>Following the Closing, upon the occurrence of each of the following events (each a “</w:t>
      </w:r>
      <w:r>
        <w:rPr>
          <w:rFonts w:ascii="Times New Roman;sans-serif" w:hAnsi="Times New Roman;sans-serif"/>
          <w:b w:val="false"/>
          <w:color w:val="000000"/>
          <w:sz w:val="24"/>
          <w:u w:val="single"/>
        </w:rPr>
        <w:t>Payment Triggering Event</w:t>
      </w:r>
      <w:r>
        <w:rPr>
          <w:color w:val="000000"/>
        </w:rPr>
        <w:t>”</w:t>
      </w:r>
      <w:r>
        <w:rPr>
          <w:rFonts w:ascii="Times New Roman;sans-serif" w:hAnsi="Times New Roman;sans-serif"/>
          <w:b w:val="false"/>
          <w:color w:val="000000"/>
          <w:sz w:val="24"/>
        </w:rPr>
        <w:t>), the Buyer shall make a cash payment (each an “</w:t>
      </w:r>
      <w:r>
        <w:rPr>
          <w:rFonts w:ascii="Times New Roman;sans-serif" w:hAnsi="Times New Roman;sans-serif"/>
          <w:b w:val="false"/>
          <w:color w:val="000000"/>
          <w:sz w:val="24"/>
          <w:u w:val="single"/>
        </w:rPr>
        <w:t>Additional Purchase Price Payment</w:t>
      </w:r>
      <w:r>
        <w:rPr>
          <w:color w:val="000000"/>
        </w:rPr>
        <w:t>”</w:t>
      </w:r>
      <w:r>
        <w:rPr>
          <w:rFonts w:ascii="Times New Roman;sans-serif" w:hAnsi="Times New Roman;sans-serif"/>
          <w:b w:val="false"/>
          <w:color w:val="000000"/>
          <w:sz w:val="24"/>
        </w:rPr>
        <w:t>) to the Seller in the amount corresponding to such Payment Triggering Event:</w:t>
      </w:r>
    </w:p>
    <w:tbl>
      <w:tblPr>
        <w:tblW w:w="10205" w:type="dxa"/>
        <w:jc w:val="left"/>
        <w:tblInd w:w="0" w:type="dxa"/>
        <w:tblCellMar>
          <w:top w:w="28" w:type="dxa"/>
          <w:left w:w="28" w:type="dxa"/>
          <w:bottom w:w="28" w:type="dxa"/>
          <w:right w:w="28" w:type="dxa"/>
        </w:tblCellMar>
      </w:tblPr>
      <w:tblGrid>
        <w:gridCol w:w="124"/>
        <w:gridCol w:w="109"/>
        <w:gridCol w:w="109"/>
        <w:gridCol w:w="1250"/>
        <w:gridCol w:w="1250"/>
        <w:gridCol w:w="1252"/>
        <w:gridCol w:w="1789"/>
        <w:gridCol w:w="1789"/>
        <w:gridCol w:w="25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w:t>
            </w:r>
          </w:p>
        </w:tc>
        <w:tc>
          <w:tcPr>
            <w:tcW w:w="375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PAYMENT TRIGGERING EVENT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ADDITIONAL PURCHASE PRICE PAYMENT AMOUNT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5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52"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ind w:left="0" w:right="0" w:firstLine="7"/>
              <w:rPr>
                <w:sz w:val="4"/>
                <w:szCs w:val="4"/>
              </w:rPr>
            </w:pPr>
            <w:r>
              <w:rPr>
                <w:sz w:val="4"/>
                <w:szCs w:val="4"/>
              </w:rPr>
            </w:r>
          </w:p>
        </w:tc>
        <w:tc>
          <w:tcPr>
            <w:tcW w:w="375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TOTAL</w:t>
            </w:r>
          </w:p>
        </w:tc>
        <w:tc>
          <w:tcPr>
            <w:tcW w:w="611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$400,000,000</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75260"/>
                <wp:effectExtent l="0" t="0" r="0" b="0"/>
                <wp:wrapNone/>
                <wp:docPr id="376" name="Frame3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ind w:left="0" w:right="0" w:firstLine="180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The Seller hereby agrees and acknowledges that: (i) the Additional Purchase Price Payments are contingent payment obligations of the Buyer and there can be no assurance regarding the occurrence of any of the Payment Triggering Events; and (ii) the Buyer shall have no obligation or liability with respect to any Additional Purchase Price Payment unless and until the corresponding Payment Triggering Event has occurred. Any Additional Purchase Price Payment owed to the Seller by the Buyer in accordance with Section 2.1(b) shall be paid to the Seller by wire transfer of immediately available funds to the account(s) specified by the Seller on </w:t>
      </w:r>
      <w:r>
        <w:rPr>
          <w:rFonts w:ascii="Times New Roman;sans-serif" w:hAnsi="Times New Roman;sans-serif"/>
          <w:b w:val="false"/>
          <w:color w:val="000000"/>
          <w:sz w:val="24"/>
          <w:u w:val="single"/>
        </w:rPr>
        <w:t xml:space="preserve">Exhibit A </w:t>
      </w:r>
      <w:r>
        <w:rPr>
          <w:rFonts w:ascii="Times New Roman;sans-serif" w:hAnsi="Times New Roman;sans-serif"/>
          <w:b w:val="false"/>
          <w:color w:val="000000"/>
          <w:sz w:val="24"/>
        </w:rPr>
        <w:t xml:space="preserve">(or such other account(s) as specified by the Seller in a writing delivered to the Buyer in accordance with Section 10.1)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occurrence of a Payment Triggering Event;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with respect to Payment Triggering Event #4, such payment shall be made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after Buyer’s receipt of the Purchased Royalties attributable to Net Sales that occur within the twelfth calendar quarter ending after the First Commercial Sale). For clarity, only one Additional Purchase Price Payment shall be due hereunder with respect to each Payment Triggering Event; no Additional Purchase Price Payment shall be payable for subsequent or repeated achievements of any Payment Triggering Events. Each party hereto further agrees and acknowledges that the other party hereto shall have the right to offset, reduce or withhold any amounts otherwise due and payable hereunder solely to the extent determined to be owed by such party to the other party hereunder pursuant to a final determination of a court of competent jurisdiction.</w:t>
      </w:r>
    </w:p>
    <w:p>
      <w:pPr>
        <w:pStyle w:val="TextBody"/>
        <w:spacing w:lineRule="auto" w:line="240" w:before="0" w:after="240"/>
        <w:ind w:left="0" w:right="0" w:firstLine="1800"/>
        <w:rPr/>
      </w:pPr>
      <w:r>
        <w:rPr>
          <w:rFonts w:ascii="Times New Roman;sans-serif" w:hAnsi="Times New Roman;sans-serif"/>
          <w:b w:val="false"/>
          <w:color w:val="010000"/>
          <w:sz w:val="24"/>
        </w:rPr>
        <w:t>(d)</w:t>
      </w:r>
      <w:r>
        <w:rPr>
          <w:rFonts w:ascii="Times New Roman;sans-serif" w:hAnsi="Times New Roman;sans-serif"/>
          <w:b w:val="false"/>
          <w:color w:val="000000"/>
          <w:sz w:val="24"/>
        </w:rPr>
        <w:t>The parties hereto further agree that: (i) the aggregate Additional Purchase Price Payments payable by the Buyer hereunder shall not exceed $400,000,000 and (ii) the total Purchase Price payable to the Seller by the Buyer hereunder (inclusive of the Initial Purchase Price and, if required to be paid under this Agreement, all of the Additional Purchase Price Payments) shall in no event exceed $500,000,000 in the aggregate.</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No Assumed Obligations; Excluded Assets.</w:t>
      </w:r>
      <w:r>
        <w:rPr>
          <w:color w:val="000000"/>
        </w:rPr>
        <w:t xml:space="preserve"> </w:t>
      </w:r>
      <w:r>
        <w:rPr>
          <w:rFonts w:ascii="Times New Roman;sans-serif" w:hAnsi="Times New Roman;sans-serif"/>
          <w:b w:val="false"/>
          <w:color w:val="000000"/>
          <w:sz w:val="24"/>
        </w:rPr>
        <w:t>Notwithstanding any provision in this Agreement to the contrary, the Buyer is purchasing, acquiring and accepting only the Purchased Royalty, and is not assuming any liability or obligation of the Seller of whatever nature, whether presently in existence or arising or asserted hereafter, under the License Agreement or otherwise. Except as specifically set forth herein in respect of the Purchased Royalty purchased, acquired and accepted hereunder, the Buyer does not, by such purchase, acquisition and acceptance, acquire any other contract rights of the Seller under the License Agreement or otherwise or any other assets of the Seller. For the avoidance of doubt and notwithstanding anything herein to the contrary, nothing in this provision limits any other obligation of the Buyer under this Agreement, including without limitation any indemnity obligations of the Buyer.</w:t>
      </w:r>
    </w:p>
    <w:p>
      <w:pPr>
        <w:pStyle w:val="TextBody"/>
        <w:spacing w:lineRule="auto" w:line="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True Sale</w:t>
      </w:r>
      <w:r>
        <w:rPr>
          <w:rFonts w:ascii="Times New Roman;sans-serif" w:hAnsi="Times New Roman;sans-serif"/>
          <w:b w:val="false"/>
          <w:color w:val="000000"/>
          <w:sz w:val="24"/>
        </w:rPr>
        <w:t xml:space="preserve">. It is the intention of the parties hereto that the sale, transfer, assignment and conveyance contemplated by this Agreement be, and is, a true, complete, absolute and irrevocable sale, transfer, assignment and conveyance by the Seller to the Buyer of all of the Seller’s rights, title and interests in and to the Purchased Royalty and the Seller relinquishes all title and control over the Purchased Royalty upon such sale, transfer, assignment and conveyance. Neither the Seller nor the Buyer intends the transactions contemplated by this Agreement to be, or for any purpose characterized as, a loan from the Buyer to the Seller or to any of the Seller’s Affiliates, or a pledge, a security interest, a financing transaction or a borrowing. It is the intention of the parties hereto that the beneficial interest in and title to the Purchased Royalty and any “proceeds” (as defined in the UCC) thereof shall not be part of the Seller’s estates in the event of the filing of a petition by or against the Seller under any Bankruptcy Laws. Each of the Seller and the Buyer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Purchased Royalty under applicable law, which waiver shall, to the maximum </w:t>
      </w:r>
      <w:r>
        <w:br w:type="page"/>
      </w:r>
    </w:p>
    <w:p>
      <w:pPr>
        <w:pStyle w:val="TextBody"/>
        <w:spacing w:before="0" w:after="0"/>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75260"/>
                <wp:effectExtent l="0" t="0" r="0" b="0"/>
                <wp:wrapNone/>
                <wp:docPr id="377" name="Frame3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extent permitted by applicable law, be enforceable against the Seller in any bankruptcy or insolvency proceeding relating to the Seller or its subsidiaries. Accordingly, the Seller shall treat the sale, transfer, assignment and conveyance of the Purchased Royalty as a sale of an “account” or a “payment intangible” (as appropriate) in accordance with the UCC, and the Seller hereby authorizes the Buyer to file financing statements (and continuation statements with respect to such financing statements when applicable) naming the Seller as the debtor and/or seller and the Buyer as the secured party and/or buyer in respect of the Purchased Royalty.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the Seller does hereby grant to the Buyer a security interest in and to all right, title and interest of the Seller, in, to and under the Purchased Royalty and any “proceeds” (as defined in the UCC) thereof as security for all of the Seller’s obligations hereunder, including the payment of the Purchased Royalty, and the Seller does hereby authorize the Buyer, from and after the Closing, to file such financing statements (and continuation statements with respect to such financing statements when applicable) in such manner and such jurisdictions as are necessary or appropriate to perfect such security interest.</w:t>
      </w:r>
    </w:p>
    <w:p>
      <w:pPr>
        <w:pStyle w:val="TextBody"/>
        <w:spacing w:before="0" w:after="0"/>
        <w:rPr/>
      </w:pPr>
      <w:r>
        <w:rPr/>
      </w:r>
    </w:p>
    <w:p>
      <w:pPr>
        <w:pStyle w:val="TextBody"/>
        <w:spacing w:lineRule="auto" w:line="556" w:before="0" w:after="0"/>
        <w:jc w:val="center"/>
        <w:rPr/>
      </w:pPr>
      <w:r>
        <w:rPr>
          <w:rFonts w:ascii="Times New Roman;sans-serif" w:hAnsi="Times New Roman;sans-serif"/>
          <w:b w:val="false"/>
          <w:color w:val="010000"/>
          <w:sz w:val="24"/>
        </w:rPr>
        <w:t>Article 3</w:t>
      </w:r>
      <w:r>
        <w:rPr>
          <w:rFonts w:ascii="Times New Roman;sans-serif" w:hAnsi="Times New Roman;sans-serif"/>
          <w:b w:val="false"/>
          <w:color w:val="000000"/>
          <w:sz w:val="24"/>
        </w:rPr>
        <w:br/>
        <w:t xml:space="preserve">CLOSING </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Closing; Payment of Purchase Price</w:t>
      </w:r>
      <w:r>
        <w:rPr>
          <w:rFonts w:ascii="Times New Roman;sans-serif" w:hAnsi="Times New Roman;sans-serif"/>
          <w:b w:val="false"/>
          <w:color w:val="000000"/>
          <w:sz w:val="24"/>
        </w:rPr>
        <w:t>.</w:t>
      </w:r>
    </w:p>
    <w:p>
      <w:pPr>
        <w:pStyle w:val="TextBody"/>
        <w:spacing w:lineRule="auto" w:line="240" w:before="0" w:after="0"/>
        <w:rPr/>
      </w:pPr>
      <w:r>
        <w:rPr>
          <w:rFonts w:ascii="Times New Roman;sans-serif" w:hAnsi="Times New Roman;sans-serif"/>
          <w:b w:val="false"/>
          <w:color w:val="000000"/>
          <w:sz w:val="24"/>
        </w:rPr>
        <w:t>The purchase and sale of the Purchased Royalty shall take place remotely via the exchange of documents and signatures on the date hereof or such other place, time and date as the parties hereto may mutually agree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xml:space="preserve">). At the Closing, the Buyer shall deliver (or cause to be delivered) payment of the Initial Purchase Price to the Seller by wire transfer of immediately available funds to one or more accounts specified by the Seller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Bill of Sale</w:t>
      </w:r>
      <w:r>
        <w:rPr>
          <w:rFonts w:ascii="Times New Roman;sans-serif" w:hAnsi="Times New Roman;sans-serif"/>
          <w:b w:val="false"/>
          <w:color w:val="000000"/>
          <w:sz w:val="24"/>
        </w:rPr>
        <w:t xml:space="preserve">. At the Closing, upon confirmation of the receipt of the Initial Purchase Price, each of the Seller and the Buyer shall deliver to the other party hereto a duly executed bill of sale evidencing the sale, transfer, assignment and conveyance of the Purchased Royalty, substantially in the form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Bill of Sale</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Licensee Instruction</w:t>
      </w:r>
      <w:r>
        <w:rPr>
          <w:rFonts w:ascii="Times New Roman;sans-serif" w:hAnsi="Times New Roman;sans-serif"/>
          <w:b w:val="false"/>
          <w:color w:val="000000"/>
          <w:sz w:val="24"/>
        </w:rPr>
        <w:t xml:space="preserve">. At the Closing, the Seller shall deliver to the Buyer and Licensee an instruction letter, in the form attached hereto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Licensee Instruction Letter</w:t>
      </w:r>
      <w:r>
        <w:rPr>
          <w:color w:val="000000"/>
        </w:rPr>
        <w:t>”</w:t>
      </w:r>
      <w:r>
        <w:rPr>
          <w:rFonts w:ascii="Times New Roman;sans-serif" w:hAnsi="Times New Roman;sans-serif"/>
          <w:b w:val="false"/>
          <w:color w:val="000000"/>
          <w:sz w:val="24"/>
        </w:rPr>
        <w:t xml:space="preserve">), duly executed by the Seller, instructing Licensee to pay the Royalty directly to the Escrow Account. </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Bilateral Common Interest and Joint Privilege Agreement</w:t>
      </w:r>
      <w:r>
        <w:rPr>
          <w:rFonts w:ascii="Times New Roman;sans-serif" w:hAnsi="Times New Roman;sans-serif"/>
          <w:b w:val="false"/>
          <w:color w:val="000000"/>
          <w:sz w:val="24"/>
        </w:rPr>
        <w:t xml:space="preserve">. At the Closing, each of the Seller and the Buyer shall deliver to the other party hereto a duly executed counterpart of the Bilateral Common Interest and Joint Privilege Agreement. </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Escrow Agreement</w:t>
      </w:r>
      <w:r>
        <w:rPr>
          <w:rFonts w:ascii="Times New Roman;sans-serif" w:hAnsi="Times New Roman;sans-serif"/>
          <w:b w:val="false"/>
          <w:color w:val="000000"/>
          <w:sz w:val="24"/>
        </w:rPr>
        <w:t>. At the Closing, each of the Seller and the Buyer shall deliver to the other party hereto a duly executed counterpart of the Escrow Agreement, and the Escrow Agent shall deliver to the parties hereto a duly executed counterpart of the Escrow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Form W-9</w:t>
      </w:r>
      <w:r>
        <w:rPr>
          <w:rFonts w:ascii="Times New Roman;sans-serif" w:hAnsi="Times New Roman;sans-serif"/>
          <w:b w:val="false"/>
          <w:color w:val="000000"/>
          <w:sz w:val="24"/>
        </w:rPr>
        <w:t>. At the Closing, the Seller shall deliver to the Buyer a valid, properly executed IRS Form W-9 certifying that the Seller is a corporation for U.S. federal income tax purposes and is exempt from U.S. federal withholding tax and “backup” withholding tax with respect to the Purchase Price.</w:t>
      </w:r>
      <w:r>
        <w:br w:type="page"/>
      </w:r>
    </w:p>
    <w:p>
      <w:pPr>
        <w:pStyle w:val="TextBody"/>
        <w:spacing w:before="0" w:after="0"/>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75260"/>
                <wp:effectExtent l="0" t="0" r="0" b="0"/>
                <wp:wrapNone/>
                <wp:docPr id="378" name="Frame3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Form W-8BEN-E</w:t>
      </w:r>
      <w:r>
        <w:rPr>
          <w:rFonts w:ascii="Times New Roman;sans-serif" w:hAnsi="Times New Roman;sans-serif"/>
          <w:b w:val="false"/>
          <w:color w:val="000000"/>
          <w:sz w:val="24"/>
        </w:rPr>
        <w:t>. At the Closing, the Buyer shall deliver to the Seller a valid, properly executed IRS Form W-8BEN-E certifying that the Buyer is exempt from U.S. federal withholding tax with respect to any and all royalty payments in respect of the Purchased Royalty pursuant to an income tax treaty to which the United States is a party.</w:t>
      </w:r>
      <w:r>
        <w:rPr>
          <w:color w:val="000000"/>
          <w:u w:val="single"/>
        </w:rPr>
        <w:t xml:space="preserve"> </w:t>
      </w:r>
    </w:p>
    <w:p>
      <w:pPr>
        <w:pStyle w:val="TextBody"/>
        <w:spacing w:lineRule="auto" w:line="240" w:before="0" w:after="240"/>
        <w:ind w:left="0" w:right="0" w:firstLine="1440"/>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Additional Documents</w:t>
      </w:r>
      <w:r>
        <w:rPr>
          <w:rFonts w:ascii="Times New Roman;sans-serif" w:hAnsi="Times New Roman;sans-serif"/>
          <w:b w:val="false"/>
          <w:color w:val="000000"/>
          <w:sz w:val="24"/>
        </w:rPr>
        <w:t>. At the Closing, the Seller shall deliver to the Buyer the document attached as Appendix 1 to Exhibit H, duly and properly executed by the Seller.</w:t>
      </w:r>
    </w:p>
    <w:p>
      <w:pPr>
        <w:pStyle w:val="TextBody"/>
        <w:spacing w:lineRule="auto" w:line="556" w:before="0" w:after="0"/>
        <w:jc w:val="center"/>
        <w:rPr/>
      </w:pPr>
      <w:r>
        <w:rPr>
          <w:rFonts w:ascii="Times New Roman;sans-serif" w:hAnsi="Times New Roman;sans-serif"/>
          <w:b w:val="false"/>
          <w:color w:val="010000"/>
          <w:sz w:val="24"/>
        </w:rPr>
        <w:t>Article 4</w:t>
      </w:r>
      <w:r>
        <w:rPr>
          <w:rFonts w:ascii="Times New Roman;sans-serif" w:hAnsi="Times New Roman;sans-serif"/>
          <w:b w:val="false"/>
          <w:color w:val="000000"/>
          <w:sz w:val="24"/>
        </w:rPr>
        <w:br/>
        <w:t>SELLER’S AND SELLER PARENT’S REPRESENTATIONS AND WARRANTIES</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Except as set forth in the Disclosure Schedule, each of the Seller and the Seller Parent represents and warrants to the Buyer that as of the Closing Date:</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Existence; Good Standing</w:t>
      </w:r>
      <w:r>
        <w:rPr>
          <w:rFonts w:ascii="Times New Roman;sans-serif" w:hAnsi="Times New Roman;sans-serif"/>
          <w:b w:val="false"/>
          <w:color w:val="000000"/>
          <w:sz w:val="24"/>
        </w:rPr>
        <w:t>. The Seller is a limited liability company, duly formed, validly existing and in good standing under the laws of the State of Delaware. The Seller Parent is a public limited company duly incorporated, validly existing and in good standing under the laws of England and Wales. Each of the Seller and the Seller Parent is duly licensed or qualified to do business and is in limited liability company or corporate, as applicable,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limited liability company or corporate, as applicable, good standing has not and would not reasonably be expected to have, either individually or in the aggregate, a Material Adverse Effect.</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Each of the Seller and the Seller Parent has all requisite corporate or limited liability company power and authority to execute, deliver and perform its obligations under this Agreement. The execution, delivery and performance of this Agreement, and the consummation of the transactions contemplated hereby, have been duly authorized by all necessary corporate or limited liability company action on the part of the Seller and the Seller Parent.</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The Agreement has been duly executed and delivered and constitutes a valid and binding obligation of the Seller and the Seller Parent enforceable against each in accordance with its terms, except as such enforceability may be limited by applicable Bankruptcy Laws or general principles of equity (whether considered in a proceeding in equity or at law).</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The execution, delivery and performance by the Seller and the Seller Parent of this Agreement and the consummation of the transactions contemplated hereby do not and shall not (i) contravene or conflict with the organizational documents of the Seller or the Seller Parent, (ii) contravene or conflict with or constitute a material default under any law or Judgment binding upon or applicable to the Seller or the Seller Parent, (iii) contravene or conflict with or constitute a default under the License Agreement or (iv) contravene or conflict with or constitute a material default under any other material contract or material agreement binding upon or applicable to the Seller or the Seller Parent.</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xml:space="preserve">. Except for the consents that have been obtained on or prior to the Closing or filings required by the federal securities laws or stock exchange rules, no consent, approval, license, order, authorization, registration, declaration or filing with or of any </w:t>
      </w:r>
      <w:r>
        <w:br w:type="page"/>
      </w:r>
    </w:p>
    <w:p>
      <w:pPr>
        <w:pStyle w:val="TextBody"/>
        <w:spacing w:before="0" w:after="0"/>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75260"/>
                <wp:effectExtent l="0" t="0" r="0" b="0"/>
                <wp:wrapNone/>
                <wp:docPr id="379" name="Frame3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action, suit, claim, investigation or proceeding pending or, to the Knowledge of the Seller, threatened, including before any Governmental Entity, against or involving the Seller or any of its Affiliates, or any of their respective properties or assets that, individually or in the aggregate, would be reasonably be expected to result in a Material Adverse Effect or which questions the validity of this Agreement or the transactions contemplated hereby or any action taken or to be taken pursuant hereto.</w:t>
      </w:r>
    </w:p>
    <w:p>
      <w:pPr>
        <w:pStyle w:val="TextBody"/>
        <w:spacing w:lineRule="auto" w:line="240" w:before="0" w:after="240"/>
        <w:ind w:left="0" w:right="0" w:firstLine="1440"/>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Neither the Seller nor any of its Affiliates is in violation of, and to the Knowledge of the Seller, neither the Seller nor any of its Affiliates is under investigation with respect to nor has the Seller or any of its Affiliates been threatened to be charged with or given notice of any violation of, any law or Judgment applicable to the Seller or any of its Affiliates, which violation would reasonably be expected to have, either individually or in the aggregate, a Material Adverse Effect.</w:t>
      </w:r>
    </w:p>
    <w:p>
      <w:pPr>
        <w:pStyle w:val="TextBody"/>
        <w:spacing w:lineRule="auto" w:line="240" w:before="0" w:after="240"/>
        <w:ind w:left="0" w:right="0" w:firstLine="1440"/>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No Undisclosed Events or Circumstances</w:t>
      </w:r>
      <w:r>
        <w:rPr>
          <w:rFonts w:ascii="Times New Roman;sans-serif" w:hAnsi="Times New Roman;sans-serif"/>
          <w:b w:val="false"/>
          <w:color w:val="000000"/>
          <w:sz w:val="24"/>
        </w:rPr>
        <w:t xml:space="preserve">. No event or circumstance has occurred or exists with respect to the Seller, its Affiliates, or their respective businesses, properties, operations or financial condition, which, under applicable law, rule or regulation, requires public disclosure or announcement by the Seller but which has not been so publicly announced or disclosed and which, individually or in the aggregate, would constitute a Material Adverse Effect. </w:t>
      </w:r>
    </w:p>
    <w:p>
      <w:pPr>
        <w:pStyle w:val="TextBody"/>
        <w:spacing w:lineRule="auto" w:line="240" w:before="0" w:after="240"/>
        <w:ind w:left="0" w:right="0" w:firstLine="1440"/>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License Agreement</w:t>
      </w:r>
      <w:r>
        <w:rPr>
          <w:rFonts w:ascii="Times New Roman;sans-serif" w:hAnsi="Times New Roman;sans-serif"/>
          <w:b w:val="false"/>
          <w:color w:val="000000"/>
          <w:sz w:val="24"/>
        </w:rPr>
        <w:t xml:space="preserve">. Attached hereto as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is a true, correct and complete copy of the License Agreement. The Seller has delivered to the Buyer true, correct and complete copies of all License Agreement Correspondence.</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No Other Agreements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4.9(a)(i)</w:t>
      </w:r>
      <w:r>
        <w:rPr>
          <w:color w:val="000000"/>
        </w:rPr>
        <w:t xml:space="preserve"> </w:t>
      </w:r>
      <w:r>
        <w:rPr>
          <w:rFonts w:ascii="Times New Roman;sans-serif" w:hAnsi="Times New Roman;sans-serif"/>
          <w:b w:val="false"/>
          <w:color w:val="000000"/>
          <w:sz w:val="24"/>
        </w:rPr>
        <w:t>of the Disclosure Schedule, the License Agreement is the only agreement, instrument, arrangement, modification, waiver or understanding (collectively, “</w:t>
      </w:r>
      <w:r>
        <w:rPr>
          <w:rFonts w:ascii="Times New Roman;sans-serif" w:hAnsi="Times New Roman;sans-serif"/>
          <w:b w:val="false"/>
          <w:color w:val="000000"/>
          <w:sz w:val="24"/>
          <w:u w:val="single"/>
        </w:rPr>
        <w:t>Contracts</w:t>
      </w:r>
      <w:r>
        <w:rPr>
          <w:color w:val="000000"/>
        </w:rPr>
        <w:t>”</w:t>
      </w:r>
      <w:r>
        <w:rPr>
          <w:rFonts w:ascii="Times New Roman;sans-serif" w:hAnsi="Times New Roman;sans-serif"/>
          <w:b w:val="false"/>
          <w:color w:val="000000"/>
          <w:sz w:val="24"/>
        </w:rPr>
        <w:t xml:space="preserve">) between the Seller (or any predecessor or Affiliate thereof), on the one hand, and Licensee (or any predecessor or Affiliate thereof), on the other hand, relating to the subject matter thereof. Except as set forth on </w:t>
      </w:r>
      <w:r>
        <w:rPr>
          <w:rFonts w:ascii="Times New Roman;sans-serif" w:hAnsi="Times New Roman;sans-serif"/>
          <w:b w:val="false"/>
          <w:color w:val="000000"/>
          <w:sz w:val="24"/>
          <w:u w:val="single"/>
        </w:rPr>
        <w:t>Schedule 4.9(a)(ii)</w:t>
      </w:r>
      <w:r>
        <w:rPr>
          <w:color w:val="000000"/>
        </w:rPr>
        <w:t xml:space="preserve"> </w:t>
      </w:r>
      <w:r>
        <w:rPr>
          <w:rFonts w:ascii="Times New Roman;sans-serif" w:hAnsi="Times New Roman;sans-serif"/>
          <w:b w:val="false"/>
          <w:color w:val="000000"/>
          <w:sz w:val="24"/>
        </w:rPr>
        <w:t xml:space="preserve">of the Disclosure Schedule, there are no other Contracts between the Seller (or any predecessor or any Affiliate thereof), on the one hand, and any other Person, including Licensee (or any predecessor or Affiliate thereof), on the other hand, that relate to the License Agreement, any Licensed Patent, a Licensed Product (including the development or commercialization thereof), or the Royalty. Except as set forth on </w:t>
      </w:r>
      <w:r>
        <w:rPr>
          <w:rFonts w:ascii="Times New Roman;sans-serif" w:hAnsi="Times New Roman;sans-serif"/>
          <w:b w:val="false"/>
          <w:color w:val="000000"/>
          <w:sz w:val="24"/>
          <w:u w:val="single"/>
        </w:rPr>
        <w:t>Schedule 4.9(a)(iii)</w:t>
      </w:r>
      <w:r>
        <w:rPr>
          <w:color w:val="000000"/>
        </w:rPr>
        <w:t xml:space="preserve"> </w:t>
      </w:r>
      <w:r>
        <w:rPr>
          <w:rFonts w:ascii="Times New Roman;sans-serif" w:hAnsi="Times New Roman;sans-serif"/>
          <w:b w:val="false"/>
          <w:color w:val="000000"/>
          <w:sz w:val="24"/>
        </w:rPr>
        <w:t xml:space="preserve">of the Disclosure Schedule, to the Knowledge of the Seller, the License Agreement and the Eli Lilly Agreement are the only material Contracts between Licensee (or any predecessor or Affiliate thereof), on the one hand, and any other Person, on the other hand, relating to KarXT (including the development or commercialization thereof). Except as set forth on </w:t>
      </w:r>
      <w:r>
        <w:rPr>
          <w:rFonts w:ascii="Times New Roman;sans-serif" w:hAnsi="Times New Roman;sans-serif"/>
          <w:b w:val="false"/>
          <w:color w:val="000000"/>
          <w:sz w:val="24"/>
          <w:u w:val="single"/>
        </w:rPr>
        <w:t>Schedule 4.9(a)(iv)</w:t>
      </w:r>
      <w:r>
        <w:rPr>
          <w:color w:val="000000"/>
        </w:rPr>
        <w:t xml:space="preserve"> </w:t>
      </w:r>
      <w:r>
        <w:rPr>
          <w:rFonts w:ascii="Times New Roman;sans-serif" w:hAnsi="Times New Roman;sans-serif"/>
          <w:b w:val="false"/>
          <w:color w:val="000000"/>
          <w:sz w:val="24"/>
        </w:rPr>
        <w:t xml:space="preserve">of the Disclosure Schedule, there is no proposal to amend or waive any provision of the License Agreement in any manner that (i) would result in a breach of this Agreement or (ii) would otherwise reasonably be expected to have a Material Adverse Effect. No executed, draft or proposed Contract between the Seller (or any predecessor or any Affiliate thereof), on the one hand, and any other Person, including Licensee (or any predecessor or Affiliate thereof), on the other hand, contains any provision, term or condition that would reasonably be expected to result in a Material Adverse Effect. </w:t>
      </w:r>
      <w:r>
        <w:br w:type="page"/>
      </w:r>
    </w:p>
    <w:p>
      <w:pPr>
        <w:pStyle w:val="TextBody"/>
        <w:spacing w:before="0" w:after="0"/>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75260"/>
                <wp:effectExtent l="0" t="0" r="0" b="0"/>
                <wp:wrapNone/>
                <wp:docPr id="380" name="Frame3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Licenses/Sublicenses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4.9(b)</w:t>
      </w:r>
      <w:r>
        <w:rPr>
          <w:color w:val="000000"/>
        </w:rPr>
        <w:t xml:space="preserve"> </w:t>
      </w:r>
      <w:r>
        <w:rPr>
          <w:rFonts w:ascii="Times New Roman;sans-serif" w:hAnsi="Times New Roman;sans-serif"/>
          <w:b w:val="false"/>
          <w:color w:val="000000"/>
          <w:sz w:val="24"/>
        </w:rPr>
        <w:t xml:space="preserve">of the Disclosure Schedule, to the Knowledge of the Seller, there are no licenses or sublicenses entered into by Licensee (or any predecessor or Affiliate thereof) or any other Person in respect of Licensee’s rights and obligations under the License Agreement (including any Licensed Patents). Except as set forth on </w:t>
      </w:r>
      <w:r>
        <w:rPr>
          <w:rFonts w:ascii="Times New Roman;sans-serif" w:hAnsi="Times New Roman;sans-serif"/>
          <w:b w:val="false"/>
          <w:color w:val="000000"/>
          <w:sz w:val="24"/>
          <w:u w:val="single"/>
        </w:rPr>
        <w:t>Schedule 4.9(b)</w:t>
      </w:r>
      <w:r>
        <w:rPr>
          <w:color w:val="000000"/>
        </w:rPr>
        <w:t xml:space="preserve"> </w:t>
      </w:r>
      <w:r>
        <w:rPr>
          <w:rFonts w:ascii="Times New Roman;sans-serif" w:hAnsi="Times New Roman;sans-serif"/>
          <w:b w:val="false"/>
          <w:color w:val="000000"/>
          <w:sz w:val="24"/>
        </w:rPr>
        <w:t>of the Disclosure Schedule, the Seller has not received any notice from Licensee pursuant to Section 2.2 or 6.6 of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Validity and Enforceability of License Agreement; No Breaches or Defaults; No Repudiation</w:t>
      </w:r>
      <w:r>
        <w:rPr>
          <w:rFonts w:ascii="Times New Roman;sans-serif" w:hAnsi="Times New Roman;sans-serif"/>
          <w:b w:val="false"/>
          <w:color w:val="000000"/>
          <w:sz w:val="24"/>
        </w:rPr>
        <w:t>. The License Agreement is legal, valid, binding, enforceable, and in full force and effect, except as such enforceability may be limited by applicable Bankruptcy Laws or general principles of equity (whether considered in a proceeding in equity or at law). The License Agreement will continue to be legal, valid, binding, enforceable, and in full force and effect on identical terms, immediately following the consummation of the transactions contemplated by this Agreement, except as such enforceability may be limited by applicable Bankruptcy Laws or general principles of equity (whether considered in a proceeding in equity or at law). Neither the Seller nor, to the Knowledge of the Seller, Licensee is, or has at any time been, in material breach under the License Agreement or material default thereunder, and, to the Knowledge of the Seller, no event has occurred that would constitute such a breach, or permit termination, modification, or acceleration, under the License Agreement. No party to the License Agreement has repudiated any provision of the License Agreement and the Seller has not received any notice in connection with the License Agreement challenging the validity, enforceability or interpretation of any provision of such agreement, including the obligation to pay any portion of the Royalty without set-off of any kind.</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Licensed Product</w:t>
      </w:r>
      <w:r>
        <w:rPr>
          <w:rFonts w:ascii="Times New Roman;sans-serif" w:hAnsi="Times New Roman;sans-serif"/>
          <w:b w:val="false"/>
          <w:color w:val="000000"/>
          <w:sz w:val="24"/>
        </w:rPr>
        <w:t>. KarXT is</w:t>
      </w:r>
      <w:r>
        <w:rPr>
          <w:color w:val="000000"/>
        </w:rPr>
        <w:t xml:space="preserve"> </w:t>
      </w: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4"/>
        </w:rPr>
        <w:t>Licensed Product under the License Agreement, and to the Knowledge of the Seller, there are no other Licensed Products being researched, developed or commercialized by or on behalf of Licensee under the License Agreement. Licensee and its Affiliates are required to pay the royalties under Section 3.1(a) of the License Agreement on all Net Sales of any Licensed Products by or on behalf of them and any of their (sub)licensees. The Seller has the right to receive the Royalty for so long as Licensee, one of its Affiliates or any of its or their (sub)licensees is selling any Licensed Product during the Term (as defined in Section 1.9 of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No Liens or Assignments by the Seller</w:t>
      </w:r>
      <w:r>
        <w:rPr>
          <w:rFonts w:ascii="Times New Roman;sans-serif" w:hAnsi="Times New Roman;sans-serif"/>
          <w:b w:val="false"/>
          <w:color w:val="000000"/>
          <w:sz w:val="24"/>
        </w:rPr>
        <w:t>. The Seller has not, except for Permitted Liens and as contemplated hereby, conveyed, assigned or in any other way transferred or granted any Liens upon or with respect to all or any portion of its right, title and interest in and to the Royalty, any Licensed Patent or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No Waivers or Releases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4.9(f)</w:t>
      </w:r>
      <w:r>
        <w:rPr>
          <w:color w:val="000000"/>
        </w:rPr>
        <w:t xml:space="preserve"> </w:t>
      </w:r>
      <w:r>
        <w:rPr>
          <w:rFonts w:ascii="Times New Roman;sans-serif" w:hAnsi="Times New Roman;sans-serif"/>
          <w:b w:val="false"/>
          <w:color w:val="000000"/>
          <w:sz w:val="24"/>
        </w:rPr>
        <w:t>of the Disclosure Schedule, the Seller has not granted any material waiver under the License Agreement and has not released Licensee, in whole or in part, from any of its material obligations under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No Termination</w:t>
      </w:r>
      <w:r>
        <w:rPr>
          <w:rFonts w:ascii="Times New Roman;sans-serif" w:hAnsi="Times New Roman;sans-serif"/>
          <w:b w:val="false"/>
          <w:color w:val="000000"/>
          <w:sz w:val="24"/>
        </w:rPr>
        <w:t xml:space="preserve">. The Seller has not (i) given Licensee any notice of termination of the License Agreement (whether in whole or in part) or any notice expressing any intention to terminate the License Agreement or (ii) received any notice of termination of the License Agreement (whether in whole or in part) or any notice expressing any intention to terminate the License Agreement. To the Knowledge of the Seller, no event has occurred that would give rise to the expiration or termination of, or either the Seller or Licensee having the right to terminate, the </w:t>
      </w:r>
      <w:r>
        <w:br w:type="page"/>
      </w:r>
    </w:p>
    <w:p>
      <w:pPr>
        <w:pStyle w:val="TextBody"/>
        <w:spacing w:before="0" w:after="0"/>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75260"/>
                <wp:effectExtent l="0" t="0" r="0" b="0"/>
                <wp:wrapNone/>
                <wp:docPr id="381" name="Frame3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License Agreement, including a breach of any of the obligations set forth in Section 2.4 of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Payments Made</w:t>
      </w:r>
      <w:r>
        <w:rPr>
          <w:rFonts w:ascii="Times New Roman;sans-serif" w:hAnsi="Times New Roman;sans-serif"/>
          <w:b w:val="false"/>
          <w:color w:val="000000"/>
          <w:sz w:val="24"/>
        </w:rPr>
        <w:t>. The Seller has timely received from Licensee the full amount of the payments due and payable under the License Agreement, to the extent such amounts have come due.</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No Assignments by Licensee</w:t>
      </w:r>
      <w:r>
        <w:rPr>
          <w:rFonts w:ascii="Times New Roman;sans-serif" w:hAnsi="Times New Roman;sans-serif"/>
          <w:b w:val="false"/>
          <w:color w:val="000000"/>
          <w:sz w:val="24"/>
        </w:rPr>
        <w:t>. The Seller has not consented to any assignment, delegation or other transfer by Licensee or any of its predecessors of any of their rights or obligations under the License Agreement, and, to the Knowledge of the Seller, Licensee has not assigned or otherwise transferred or granted any Lien upon or with respect to any of its rights or obligations under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(j)</w:t>
      </w:r>
      <w:r>
        <w:rPr>
          <w:rFonts w:ascii="Times New Roman;sans-serif" w:hAnsi="Times New Roman;sans-serif"/>
          <w:b w:val="false"/>
          <w:color w:val="000000"/>
          <w:sz w:val="24"/>
          <w:u w:val="single"/>
        </w:rPr>
        <w:t>No Indemnification Claims</w:t>
      </w:r>
      <w:r>
        <w:rPr>
          <w:rFonts w:ascii="Times New Roman;sans-serif" w:hAnsi="Times New Roman;sans-serif"/>
          <w:b w:val="false"/>
          <w:color w:val="000000"/>
          <w:sz w:val="24"/>
        </w:rPr>
        <w:t>. The Seller has not notified Licensee or any other Person of any claims for indemnification under the License Agreement nor has the Seller received any claims for indemnification under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(k)</w:t>
      </w:r>
      <w:r>
        <w:rPr>
          <w:rFonts w:ascii="Times New Roman;sans-serif" w:hAnsi="Times New Roman;sans-serif"/>
          <w:b w:val="false"/>
          <w:color w:val="000000"/>
          <w:sz w:val="24"/>
          <w:u w:val="single"/>
        </w:rPr>
        <w:t>No Royalty Reductions</w:t>
      </w:r>
      <w:r>
        <w:rPr>
          <w:rFonts w:ascii="Times New Roman;sans-serif" w:hAnsi="Times New Roman;sans-serif"/>
          <w:b w:val="false"/>
          <w:color w:val="000000"/>
          <w:sz w:val="24"/>
        </w:rPr>
        <w:t>. To the Knowledge of the Seller, the amount of the Royalty due and payable under Section 3.1(a) of the License Agreement is not subject to any claim by Licensee alleging a right of set-off, counterclaim, credit, reduction or deduction by contract or otherwise, including as permitted by Section 3.2(b) of the License Agreement, or otherwise against the Royalty (each, a “</w:t>
      </w:r>
      <w:r>
        <w:rPr>
          <w:rFonts w:ascii="Times New Roman;sans-serif" w:hAnsi="Times New Roman;sans-serif"/>
          <w:b w:val="false"/>
          <w:color w:val="000000"/>
          <w:sz w:val="24"/>
          <w:u w:val="single"/>
        </w:rPr>
        <w:t>Royalty Reduction</w:t>
      </w:r>
      <w:r>
        <w:rPr>
          <w:color w:val="000000"/>
        </w:rPr>
        <w:t>”</w:t>
      </w:r>
      <w:r>
        <w:rPr>
          <w:rFonts w:ascii="Times New Roman;sans-serif" w:hAnsi="Times New Roman;sans-serif"/>
          <w:b w:val="false"/>
          <w:color w:val="000000"/>
          <w:sz w:val="24"/>
        </w:rPr>
        <w:t>). To</w:t>
      </w:r>
      <w:r>
        <w:rPr>
          <w:color w:val="000000"/>
        </w:rPr>
        <w:t xml:space="preserve"> </w:t>
      </w:r>
      <w:r>
        <w:rPr>
          <w:rFonts w:ascii="Times New Roman;sans-serif" w:hAnsi="Times New Roman;sans-serif"/>
          <w:b w:val="false"/>
          <w:color w:val="000000"/>
          <w:sz w:val="24"/>
        </w:rPr>
        <w:t>the Knowledge of the Seller, no event or condition exists that would reasonably be expected to permit Licensee to claim, or have the right to claim, a Royalty Reduction.</w:t>
      </w:r>
    </w:p>
    <w:p>
      <w:pPr>
        <w:pStyle w:val="TextBody"/>
        <w:spacing w:lineRule="auto" w:line="240" w:before="0" w:after="240"/>
        <w:ind w:left="0" w:right="0" w:firstLine="720"/>
        <w:rPr/>
      </w:pPr>
      <w:r>
        <w:rPr>
          <w:rFonts w:ascii="Times New Roman;sans-serif" w:hAnsi="Times New Roman;sans-serif"/>
          <w:b w:val="false"/>
          <w:color w:val="010000"/>
          <w:sz w:val="24"/>
        </w:rPr>
        <w:t>(l)</w:t>
      </w:r>
      <w:r>
        <w:rPr>
          <w:rFonts w:ascii="Times New Roman;sans-serif" w:hAnsi="Times New Roman;sans-serif"/>
          <w:b w:val="false"/>
          <w:color w:val="000000"/>
          <w:sz w:val="24"/>
          <w:u w:val="single"/>
        </w:rPr>
        <w:t>No Notice of Infringement, Enforcement or Defense</w:t>
      </w:r>
      <w:r>
        <w:rPr>
          <w:rFonts w:ascii="Times New Roman;sans-serif" w:hAnsi="Times New Roman;sans-serif"/>
          <w:b w:val="false"/>
          <w:color w:val="000000"/>
          <w:sz w:val="24"/>
        </w:rPr>
        <w:t>. The Seller has not received any written notice from, or given any written notice to, Licensee pursuant to Section 6.1, 6.2 or 6.3 of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(m)</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The Seller has not initiated, pursuant to Section 4.4 of the License Agreement or otherwise, any inspection or audit of books of accounts or other records pertaining to Net Sales, the calculation of royalties or other amounts payable to the Seller under the License Agreement.</w:t>
      </w:r>
    </w:p>
    <w:p>
      <w:pPr>
        <w:pStyle w:val="TextBody"/>
        <w:spacing w:lineRule="auto" w:line="240" w:before="0" w:after="240"/>
        <w:ind w:left="0" w:right="0" w:firstLine="720"/>
        <w:rPr/>
      </w:pPr>
      <w:r>
        <w:rPr>
          <w:rFonts w:ascii="Times New Roman;sans-serif" w:hAnsi="Times New Roman;sans-serif"/>
          <w:b w:val="false"/>
          <w:color w:val="010000"/>
          <w:sz w:val="24"/>
        </w:rPr>
        <w:t>(n)</w:t>
      </w:r>
      <w:r>
        <w:rPr>
          <w:rFonts w:ascii="Times New Roman;sans-serif" w:hAnsi="Times New Roman;sans-serif"/>
          <w:b w:val="false"/>
          <w:color w:val="000000"/>
          <w:sz w:val="24"/>
          <w:u w:val="single"/>
        </w:rPr>
        <w:t>In-Licenses</w:t>
      </w:r>
      <w:r>
        <w:rPr>
          <w:rFonts w:ascii="Times New Roman;sans-serif" w:hAnsi="Times New Roman;sans-serif"/>
          <w:b w:val="false"/>
          <w:color w:val="000000"/>
          <w:sz w:val="24"/>
        </w:rPr>
        <w:t>. There are no PureTech In-Licenses.</w:t>
      </w:r>
    </w:p>
    <w:p>
      <w:pPr>
        <w:pStyle w:val="TextBody"/>
        <w:spacing w:lineRule="auto" w:line="240" w:before="0" w:after="240"/>
        <w:ind w:left="0" w:right="0" w:firstLine="1440"/>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Title to Purchased Royalty</w:t>
      </w:r>
      <w:r>
        <w:rPr>
          <w:rFonts w:ascii="Times New Roman;sans-serif" w:hAnsi="Times New Roman;sans-serif"/>
          <w:b w:val="false"/>
          <w:color w:val="000000"/>
          <w:sz w:val="24"/>
        </w:rPr>
        <w:t>. The Seller has good and marketable title to the Purchased Royalty, free and clear of all Liens (other than Permitted Liens). Upon payment of the Initial Purchase Price by the Buyer, the Buyer will acquire, subject to the terms and conditions set forth in this Agreement and the License Agreement, good and marketable title to the Purchased Royalty, free and clear of all Liens (other than Permitted Liens).</w:t>
      </w:r>
    </w:p>
    <w:p>
      <w:pPr>
        <w:pStyle w:val="TextBody"/>
        <w:spacing w:lineRule="auto" w:line="240" w:before="0" w:after="240"/>
        <w:ind w:left="0" w:right="0" w:firstLine="1440"/>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w:t>
      </w:r>
    </w:p>
    <w:p>
      <w:pPr>
        <w:pStyle w:val="TextBody"/>
        <w:spacing w:lineRule="auto" w:line="240" w:before="0" w:after="240"/>
        <w:ind w:left="0" w:right="0" w:firstLine="720"/>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Schedule 4.11(a)</w:t>
      </w:r>
      <w:r>
        <w:rPr>
          <w:color w:val="000000"/>
        </w:rPr>
        <w:t xml:space="preserve"> </w:t>
      </w:r>
      <w:r>
        <w:rPr>
          <w:rFonts w:ascii="Times New Roman;sans-serif" w:hAnsi="Times New Roman;sans-serif"/>
          <w:b w:val="false"/>
          <w:color w:val="000000"/>
          <w:sz w:val="24"/>
        </w:rPr>
        <w:t xml:space="preserve">of the Disclosure Schedule lists all Licensed Patents. The Seller is the sole owner of, and has sole interest in, all of the Licensed Patents. </w:t>
      </w:r>
      <w:r>
        <w:rPr>
          <w:rFonts w:ascii="Times New Roman;sans-serif" w:hAnsi="Times New Roman;sans-serif"/>
          <w:b w:val="false"/>
          <w:color w:val="000000"/>
          <w:sz w:val="24"/>
          <w:u w:val="single"/>
        </w:rPr>
        <w:t>Schedule 4.11(a)</w:t>
      </w:r>
      <w:r>
        <w:rPr>
          <w:color w:val="000000"/>
        </w:rPr>
        <w:t xml:space="preserve"> </w:t>
      </w:r>
      <w:r>
        <w:rPr>
          <w:rFonts w:ascii="Times New Roman;sans-serif" w:hAnsi="Times New Roman;sans-serif"/>
          <w:b w:val="false"/>
          <w:color w:val="000000"/>
          <w:sz w:val="24"/>
        </w:rPr>
        <w:t xml:space="preserve">of the Disclosure Schedule specifies as to each of the Licensed Patents: the jurisdiction in which such patent has issued or such patent application has been filed, its patent number and/or application number, and its issue and filing dates. </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Schedule 4.11(b)</w:t>
      </w:r>
      <w:r>
        <w:rPr>
          <w:color w:val="000000"/>
        </w:rPr>
        <w:t xml:space="preserve"> </w:t>
      </w:r>
      <w:r>
        <w:rPr>
          <w:rFonts w:ascii="Times New Roman;sans-serif" w:hAnsi="Times New Roman;sans-serif"/>
          <w:b w:val="false"/>
          <w:color w:val="000000"/>
          <w:sz w:val="24"/>
        </w:rPr>
        <w:t>of the Disclosure Schedule, there are no pending or, to the Knowledge of the Seller, threatened, litigations, interferences, reexamination, oppositions or like procedures involving any Licensed Patents or, to the Knowledge of the Seller, Karuna Product Patents.</w:t>
      </w:r>
      <w:r>
        <w:br w:type="page"/>
      </w:r>
    </w:p>
    <w:p>
      <w:pPr>
        <w:pStyle w:val="TextBody"/>
        <w:spacing w:before="0" w:after="0"/>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75260"/>
                <wp:effectExtent l="0" t="0" r="0" b="0"/>
                <wp:wrapNone/>
                <wp:docPr id="382" name="Frame3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All of the issued Licensed Patents are in full force and effect and have not lapsed, expired or otherwise terminated, and, to the Knowledge of the Seller, all Licensed Patents and Karuna Product Patents are valid and enforceable. The Seller has not received any written notice relating to the lapse, expiration or other termination of any of the Licensed Patents, or any written legal opinion that alleges that any of the issued Licensed Patents are invalid or unenforceable. </w:t>
      </w:r>
    </w:p>
    <w:p>
      <w:pPr>
        <w:pStyle w:val="TextBody"/>
        <w:spacing w:lineRule="auto" w:line="240" w:before="0" w:after="240"/>
        <w:ind w:left="0" w:right="0" w:firstLine="720"/>
        <w:rPr/>
      </w:pPr>
      <w:r>
        <w:rPr>
          <w:rFonts w:ascii="Times New Roman;sans-serif" w:hAnsi="Times New Roman;sans-serif"/>
          <w:b w:val="false"/>
          <w:color w:val="010000"/>
          <w:sz w:val="24"/>
        </w:rPr>
        <w:t>(d)</w:t>
      </w:r>
      <w:r>
        <w:rPr>
          <w:rFonts w:ascii="Times New Roman;sans-serif" w:hAnsi="Times New Roman;sans-serif"/>
          <w:b w:val="false"/>
          <w:color w:val="000000"/>
          <w:sz w:val="24"/>
        </w:rPr>
        <w:t>To the Knowledge of the Seller, there is no Person who is or claims to be an inventor under any of the Licensed Patents who is not a named inventor thereof.</w:t>
      </w:r>
    </w:p>
    <w:p>
      <w:pPr>
        <w:pStyle w:val="TextBody"/>
        <w:spacing w:lineRule="auto" w:line="240" w:before="0" w:after="240"/>
        <w:ind w:left="0" w:right="0" w:firstLine="720"/>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Seller has not, and, to the Knowledge of the Seller, Licensee has not, received any written notice of any claim by any Person (i) challenging the inventorship or ownership of, the rights of the Seller or Licensee, as applicable, in and to, or the patentability, validity or enforceability of, any Licensed Patent, or (ii) asserting that the development, manufacture, importation, sale, offer for sale or use of any Licensed Product infringes any patent rights or other intellectual property rights of such Person. </w:t>
      </w:r>
    </w:p>
    <w:p>
      <w:pPr>
        <w:pStyle w:val="TextBody"/>
        <w:spacing w:lineRule="auto" w:line="240" w:before="0" w:after="240"/>
        <w:ind w:left="0" w:right="0" w:firstLine="720"/>
        <w:rPr/>
      </w:pPr>
      <w:r>
        <w:rPr>
          <w:rFonts w:ascii="Times New Roman;sans-serif" w:hAnsi="Times New Roman;sans-serif"/>
          <w:b w:val="false"/>
          <w:color w:val="010000"/>
          <w:sz w:val="24"/>
        </w:rPr>
        <w:t>(f)</w:t>
      </w:r>
      <w:r>
        <w:rPr>
          <w:rFonts w:ascii="Times New Roman;sans-serif" w:hAnsi="Times New Roman;sans-serif"/>
          <w:b w:val="false"/>
          <w:color w:val="000000"/>
          <w:sz w:val="24"/>
        </w:rPr>
        <w:t>To the Knowledge of the Seller, the discovery and development of the Licensed Products did not and does not infringe, misappropriate or otherwise violate any patent rights or other intellectual property rights owned by any other Person, other than the Karuna Product Patents. Neither the Seller nor, to the Knowledge of the Seller, Licensee, has in-licensed any Patents or other intellectual property rights covering the manufacture, use, sale, offer for sale or import of the Licensed Products.</w:t>
      </w:r>
    </w:p>
    <w:p>
      <w:pPr>
        <w:pStyle w:val="TextBody"/>
        <w:spacing w:lineRule="auto" w:line="240" w:before="0" w:after="240"/>
        <w:ind w:left="0" w:right="0" w:firstLine="720"/>
        <w:rPr/>
      </w:pPr>
      <w:r>
        <w:rPr>
          <w:rFonts w:ascii="Times New Roman;sans-serif" w:hAnsi="Times New Roman;sans-serif"/>
          <w:b w:val="false"/>
          <w:color w:val="010000"/>
          <w:sz w:val="24"/>
        </w:rPr>
        <w:t>(g)</w:t>
      </w:r>
      <w:r>
        <w:rPr>
          <w:rFonts w:ascii="Times New Roman;sans-serif" w:hAnsi="Times New Roman;sans-serif"/>
          <w:b w:val="false"/>
          <w:color w:val="000000"/>
          <w:sz w:val="24"/>
        </w:rPr>
        <w:t>To the Knowledge of the Seller, the manufacture, use, marketing, sale, offer for sale, importation or distribution of the Licensed Products has not and will not, infringe, misappropriate or otherwise violate any patent rights or other intellectual property rights owned by any other Person, other than the Karuna Product Patents.</w:t>
      </w:r>
    </w:p>
    <w:p>
      <w:pPr>
        <w:pStyle w:val="TextBody"/>
        <w:spacing w:lineRule="auto" w:line="240" w:before="0" w:after="240"/>
        <w:ind w:left="0" w:right="0" w:firstLine="720"/>
        <w:rPr/>
      </w:pPr>
      <w:r>
        <w:rPr>
          <w:rFonts w:ascii="Times New Roman;sans-serif" w:hAnsi="Times New Roman;sans-serif"/>
          <w:b w:val="false"/>
          <w:color w:val="010000"/>
          <w:sz w:val="24"/>
        </w:rPr>
        <w:t>(h)</w:t>
      </w:r>
      <w:r>
        <w:rPr>
          <w:rFonts w:ascii="Times New Roman;sans-serif" w:hAnsi="Times New Roman;sans-serif"/>
          <w:b w:val="false"/>
          <w:color w:val="000000"/>
          <w:sz w:val="24"/>
        </w:rPr>
        <w:t>To the Knowledge of the Seller, no Person has infringed, misappropriated or otherwise violated, or is infringing, misappropriating or otherwise violating, any of the Licensed Patents.</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All required maintenance fees, annuities and like payments with respect to the Licensed Patents for which the Seller controls the prosecution and maintenance in accordance with Article 5 of the License Agreement, and to the Knowledge of the Seller, with respect to all other Licensed Patents, have been paid timely.</w:t>
      </w:r>
    </w:p>
    <w:p>
      <w:pPr>
        <w:pStyle w:val="TextBody"/>
        <w:spacing w:lineRule="auto" w:line="240" w:before="0" w:after="240"/>
        <w:ind w:left="0" w:right="0" w:firstLine="720"/>
        <w:rPr/>
      </w:pPr>
      <w:r>
        <w:rPr>
          <w:rFonts w:ascii="Times New Roman;sans-serif" w:hAnsi="Times New Roman;sans-serif"/>
          <w:b w:val="false"/>
          <w:color w:val="010000"/>
          <w:sz w:val="24"/>
        </w:rPr>
        <w:t>(j)</w:t>
      </w:r>
      <w:r>
        <w:rPr>
          <w:rFonts w:ascii="Times New Roman;sans-serif" w:hAnsi="Times New Roman;sans-serif"/>
          <w:b w:val="false"/>
          <w:color w:val="000000"/>
          <w:sz w:val="24"/>
        </w:rPr>
        <w:t>No Third Party has a binding contractual right to prosecute any Licensed Patents on behalf of Licensee. Licensee has not elected not to prosecute any of the Licensed Patents pursuant to Section 5.3 of the License Agreement. The Seller does not own, in-license or otherwise control or have rights to any Patents that are necessary or useful for the research, development, manufacture, use, marketing, sale, offer for sale, importation or distribution of the Licensed Products and are not licensed to Licensee under the License Agreement, including by reversion pursuant to Section 5.3 of the License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UCC Representation and Warranties</w:t>
      </w:r>
      <w:r>
        <w:rPr>
          <w:rFonts w:ascii="Times New Roman;sans-serif" w:hAnsi="Times New Roman;sans-serif"/>
          <w:b w:val="false"/>
          <w:color w:val="000000"/>
          <w:sz w:val="24"/>
        </w:rPr>
        <w:t>. The Seller’s exact legal name is, and for the immediately preceding seven (7) years has been, “PureTech Health LLC”. The Seller is, and for the prior seven (7) years has been, formed in the State of Delaware.</w:t>
      </w:r>
      <w:r>
        <w:br w:type="page"/>
      </w:r>
    </w:p>
    <w:p>
      <w:pPr>
        <w:pStyle w:val="TextBody"/>
        <w:spacing w:before="0" w:after="0"/>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75260"/>
                <wp:effectExtent l="0" t="0" r="0" b="0"/>
                <wp:wrapNone/>
                <wp:docPr id="383" name="Frame3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Brokers’ Fees</w:t>
      </w:r>
      <w:r>
        <w:rPr>
          <w:rFonts w:ascii="Times New Roman;sans-serif" w:hAnsi="Times New Roman;sans-serif"/>
          <w:b w:val="false"/>
          <w:color w:val="000000"/>
          <w:sz w:val="24"/>
        </w:rPr>
        <w:t>.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1.14</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Seller has not received any notice from Licensee of any intention to withhold or deduct any material tax from future payments to the Seller. There are no existing Liens for taxes on the Royalty (or any portion thereof), other than Permitted Liens. There are no material Tax audits or investigations (and the Seller has not been informed or notified of any pending material Tax audits or investigations) with respect to any payment made to the Seller under the License Agreement. To the knowledge of the Seller, the arrangement under the License Agreement is not treated as a partnership for U.S. tax purposes and the Seller has never taken the position for U.S. federal income or other tax purposes that the arrangement under the License Agreement is treated as such. The Seller has never received an IRS Schedule K-1 or other U.S. tax form reporting that the Seller is a partner in a partnership as a result of being a party to the License Agreement. </w:t>
      </w:r>
    </w:p>
    <w:p>
      <w:pPr>
        <w:pStyle w:val="TextBody"/>
        <w:spacing w:lineRule="auto" w:line="240" w:before="0" w:after="240"/>
        <w:ind w:left="0" w:right="0" w:firstLine="1440"/>
        <w:rPr/>
      </w:pPr>
      <w:r>
        <w:rPr>
          <w:rFonts w:ascii="Times New Roman;sans-serif" w:hAnsi="Times New Roman;sans-serif"/>
          <w:b w:val="false"/>
          <w:color w:val="010000"/>
          <w:sz w:val="24"/>
        </w:rPr>
        <w:t>Section 1.15</w:t>
      </w:r>
      <w:r>
        <w:rPr>
          <w:rFonts w:ascii="Times New Roman;sans-serif" w:hAnsi="Times New Roman;sans-serif"/>
          <w:b w:val="false"/>
          <w:color w:val="000000"/>
          <w:sz w:val="24"/>
          <w:u w:val="single"/>
        </w:rPr>
        <w:t>No Implied Representations and Warranties</w:t>
      </w:r>
      <w:r>
        <w:rPr>
          <w:rFonts w:ascii="Times New Roman;sans-serif" w:hAnsi="Times New Roman;sans-serif"/>
          <w:b w:val="false"/>
          <w:color w:val="000000"/>
          <w:sz w:val="24"/>
        </w:rPr>
        <w:t>. EXCEPT AS EXPRESSLY SET FORTH IN THIS ARTICLE 4, THE SELLER MAKES NO REPRESENTATION OR WARRANTY, EXPRESSED OR IMPLIED, AT LAW OR IN EQUITY, INCLUDING WITH RESPECT TO MERCHANTABILITY OR FITNESS FOR ANY PARTICULAR PURPOSE, AND ANY SUCH REPRESENTATIONS OR WARRANTIES ARE HEREBY EXPRESSLY DISCLAIMED. THE BUYER ACKNOWLEDGES THAT, EXCEPT AS SPECIFICALLY PROVIDED IN THIS ARTICLE 4 AND THE DISCLOSURE SCHEDULES, THE SELLER HAS ASSUMED NO RESPONSIBILITIES OF ANY KIND WITH RESPECT TO ANY ACT OR OMISSION OF LICENSEE WITH RESPECT TO THE DESIGN, DEVELOPMENT, MANUFACTURE, USE, SALE, DISTRIBUTION, MARKETING OR OTHER ACTIVITIES OF LICENSEE WITH RESPECT TO ANY OF THE LICENSED PRODUCTS.</w:t>
      </w:r>
    </w:p>
    <w:p>
      <w:pPr>
        <w:pStyle w:val="TextBody"/>
        <w:spacing w:lineRule="auto" w:line="556" w:before="0" w:after="0"/>
        <w:jc w:val="center"/>
        <w:rPr/>
      </w:pPr>
      <w:r>
        <w:rPr>
          <w:rFonts w:ascii="Times New Roman;sans-serif" w:hAnsi="Times New Roman;sans-serif"/>
          <w:b w:val="false"/>
          <w:color w:val="010000"/>
          <w:sz w:val="24"/>
        </w:rPr>
        <w:t>Article 5</w:t>
      </w:r>
      <w:r>
        <w:rPr>
          <w:rFonts w:ascii="Times New Roman;sans-serif" w:hAnsi="Times New Roman;sans-serif"/>
          <w:b w:val="false"/>
          <w:color w:val="000000"/>
          <w:sz w:val="24"/>
        </w:rPr>
        <w:br/>
        <w:t>BUYER’S REPRESENTATIONS AND WARRANTIES</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The Buyer represents and warrants to the Seller that as of the Closing Date:</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Existence; Good Standing</w:t>
      </w:r>
      <w:r>
        <w:rPr>
          <w:rFonts w:ascii="Times New Roman;sans-serif" w:hAnsi="Times New Roman;sans-serif"/>
          <w:b w:val="false"/>
          <w:color w:val="000000"/>
          <w:sz w:val="24"/>
        </w:rPr>
        <w:t>. The Buyer is an Irish collective asset-management vehicle that is duly organized, validly existing and in good standing under the laws of the Republic of Ireland.</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This Agreement has been duly executed and delivered by an authorized person of the owner trustee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xml:space="preserve">. The execution, delivery and performance by the Buyer of this Agreement and the consummation of the transactions contemplated hereby do not </w:t>
      </w:r>
      <w:r>
        <w:br w:type="page"/>
      </w:r>
    </w:p>
    <w:p>
      <w:pPr>
        <w:pStyle w:val="TextBody"/>
        <w:spacing w:before="0" w:after="0"/>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75260"/>
                <wp:effectExtent l="0" t="0" r="0" b="0"/>
                <wp:wrapNone/>
                <wp:docPr id="384" name="Frame3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and shall not (i) contravene or conflict with the organizational documents of the Buyer, (ii) contravene or conflict with or constitute a material default under any law or Judgment binding upon or applicable to the Buyer or (iii) contravene or conflict with or constitute a default under any material contract or other material agreement binding upon or applicable to the Buyer.</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Other than the filing of financing statement(s) in accordance with Section 2.3 or filings required by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action, suit, investigation or proceeding pending or, to the knowledge of the Buyer, threatened, including before any Governmental Entity, to which the Buyer is a party that would, if determined adversely, reasonably be expected to prevent or materially and adversely affect the ability of the Buyer to perform its obligations under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Financing</w:t>
      </w:r>
      <w:r>
        <w:rPr>
          <w:rFonts w:ascii="Times New Roman;sans-serif" w:hAnsi="Times New Roman;sans-serif"/>
          <w:b w:val="false"/>
          <w:color w:val="000000"/>
          <w:sz w:val="24"/>
        </w:rPr>
        <w:t>. The Buyer has sufficient cash on hand to pay the Purchase Price. The Buyer acknowledges that its obligations under this Agreement are not contingent on obtaining financing.</w:t>
      </w:r>
    </w:p>
    <w:p>
      <w:pPr>
        <w:pStyle w:val="TextBody"/>
        <w:spacing w:lineRule="auto" w:line="240" w:before="0" w:after="240"/>
        <w:ind w:left="0" w:right="0" w:firstLine="1440"/>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Brokers’ Fees</w:t>
      </w:r>
      <w:r>
        <w:rPr>
          <w:rFonts w:ascii="Times New Roman;sans-serif" w:hAnsi="Times New Roman;sans-serif"/>
          <w:b w:val="false"/>
          <w:color w:val="000000"/>
          <w:sz w:val="24"/>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spacing w:lineRule="auto" w:line="556" w:before="0" w:after="0"/>
        <w:jc w:val="center"/>
        <w:rPr/>
      </w:pPr>
      <w:r>
        <w:rPr>
          <w:rFonts w:ascii="Times New Roman;sans-serif" w:hAnsi="Times New Roman;sans-serif"/>
          <w:b w:val="false"/>
          <w:color w:val="010000"/>
          <w:sz w:val="24"/>
        </w:rPr>
        <w:t>Article 6</w:t>
      </w:r>
      <w:r>
        <w:rPr>
          <w:color w:val="000000"/>
        </w:rPr>
        <w:t>    </w:t>
      </w:r>
      <w:r>
        <w:rPr>
          <w:rFonts w:ascii="Times New Roman;sans-serif" w:hAnsi="Times New Roman;sans-serif"/>
          <w:b w:val="false"/>
          <w:color w:val="000000"/>
          <w:sz w:val="24"/>
        </w:rPr>
        <w:br/>
        <w:t>COVENANTS</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Disclosures</w:t>
      </w:r>
      <w:r>
        <w:rPr>
          <w:rFonts w:ascii="Times New Roman;sans-serif" w:hAnsi="Times New Roman;sans-serif"/>
          <w:b w:val="false"/>
          <w:color w:val="000000"/>
          <w:sz w:val="24"/>
        </w:rPr>
        <w:t>. Except for a press release previously approved in form and substance by the Seller and the Buyer or any other public announcement using substantially the same text as such press release or any other public disclosure permitted under this Agreement following the Closing,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conditioned or delayed), except as may be required by applicable law or stock exchange rule (in which case the party hereto required to make the press release or other public announcement or disclosure shall allow the other party hereto reasonable time to comment on such press release or other public announcement or disclosure in advance of such issuance to the extent permitted to do so or reasonably practicable under the circumstances).</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Payments Received In Error</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Commencing on the Closing Date and at all times thereafter, if any payment of any portion of the Purchased Royalty is made to the Seller, the Seller shall pay such amount to the Buyer,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the receipt thereof, by wire transfer of immediately available funds to an account designated in writing by the Buyer. The Seller shall notify the Buyer of such wire transfer and provide </w:t>
      </w:r>
      <w:r>
        <w:br w:type="page"/>
      </w:r>
    </w:p>
    <w:p>
      <w:pPr>
        <w:pStyle w:val="TextBody"/>
        <w:spacing w:before="0" w:after="0"/>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75260"/>
                <wp:effectExtent l="0" t="0" r="0" b="0"/>
                <wp:wrapNone/>
                <wp:docPr id="385" name="Frame3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reasonable details regarding the Purchased Royalty payment so received by the Seller. The Seller agrees that, in the event any payment of the Purchased Royalty is paid to the Seller, the Seller shall (i) until paid to the Buyer, hold such payment received in trust for the benefit of the Buyer and (ii) have no right, title or interest in such payment and that it shall not pledge or otherwise grant any security interest therein.</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Commencing on the Closing Date and at all times thereafter, if any payment due under the License Agreement that does not constitute any payment of any portion of the Purchased Royalty is made to the Buyer, the Buyer shall pay such amount to the Seller,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after the receipt thereof, by wire transfer of immediately available funds to an account designated in writing by the Seller. The Buyer shall notify the Seller of such wire transfer and provide reasonable details regarding the erroneous payment so received by the Buyer. The Buyer agrees that, in the event any payment due under the License Agreement that does not constitute the Purchased Royalty is paid to the Buyer, the Buyer shall (i) until paid to the Seller, hold such payment received in trust for the benefit of the Seller and (ii) have no right, title or interest in such payment and that it shall not pledge or otherwise grant any security interest therein.</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Royalty Reduction</w:t>
      </w:r>
      <w:r>
        <w:rPr>
          <w:rFonts w:ascii="Times New Roman;sans-serif" w:hAnsi="Times New Roman;sans-serif"/>
          <w:b w:val="false"/>
          <w:color w:val="000000"/>
          <w:sz w:val="24"/>
        </w:rPr>
        <w:t xml:space="preserve">. If Licensee exercises any Royalty Reduction against any payment of the Purchased Royalty other than for a Permitted Reduction, then the Seller shall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payment of the Purchased Royalty affected by such Royalty Reduction) make a true-up payment to the Buyer such that the Buyer receives the full amount of such Purchased Royalty payments that would have been payable to the Buyer had such Royalty Reduction not occurred. </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Interest on Overdue Payments</w:t>
      </w:r>
      <w:r>
        <w:rPr>
          <w:rFonts w:ascii="Times New Roman;sans-serif" w:hAnsi="Times New Roman;sans-serif"/>
          <w:b w:val="false"/>
          <w:color w:val="000000"/>
          <w:sz w:val="24"/>
        </w:rPr>
        <w:t xml:space="preserve">. If either party hereto fails to pay on or before the due date any amount which is payable to the other party hereto under this Agreement, such other party may, after giving at least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days’ prior written notice of such failure to pay to the party that failed to pay, charge interest on that amount from the due date until payment is made in full at a rate per annum equal to four percent (4%) over the Prime Rate (or, if less, the maximum amount permitted by applicable law). </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Royalty Reports; Communications with Licensee</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receipt by the Seller of (i) any Royalty Report or other reports under Section 4.1 of the License Agreement, (ii) any notices under Section 13.1 of the License Agreement or other material communications between Licensee and the Seller relating to the Royalty, the Licensed Patents, or the Licensed Products, or (iii) any other material notice or communications related to the License Agreement that would reasonably be expected (individually or in the aggregate) to have a Material Adverse Effect, the Seller shall furnish a true, correct and complete copy of any such written notice or communication or a reasonably detailed written summary of any such oral notice or communication to the Buyer. </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The Seller shall not, without the Buyer’s prior written consent (not to be unreasonably withheld, conditioned or delayed) or as expressly permitted under Section 6.14(c)(i)(B) of this Agreement, send any written notice or written correspondence to Licensee under or in connection with the License Agreement (i) that is (A) related to the Royalty, (B) related to the Licensed Patents (other than immaterial written correspondence, the subject matter of which is not related to the filing, prosecution, maintenance, defense or enforcement of such Licensed Patents), or (C) material and related to the Licensed Products; or (ii) that would reasonably be expected (individually or in the aggregate) to have a Material Adverse Effect. The Seller shall send any written notice or written correspondence reasonably requested by the Buyer to Licensee related to the Licensed Patents, the Licensed Products or the Royalty.</w:t>
      </w:r>
      <w:r>
        <w:br w:type="page"/>
      </w:r>
    </w:p>
    <w:p>
      <w:pPr>
        <w:pStyle w:val="TextBody"/>
        <w:spacing w:before="0" w:after="0"/>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75260"/>
                <wp:effectExtent l="0" t="0" r="0" b="0"/>
                <wp:wrapNone/>
                <wp:docPr id="386" name="Frame3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Not in derogation of the foregoing clauses (a) and (b),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the receipt by the Seller of copies of all (i) sublicenses granted by Licensee and received by Seller pursuant to Section 2.2 of the License Agreement, or (ii) agreements between the Seller and Licensee (or their Affiliates) relating to the License Agreement, including any development, manufacturing, services, or pharmacovigilance agreements, the Seller shall furnish a true, correct and complete copy of the same to the Buyer.</w:t>
      </w:r>
    </w:p>
    <w:p>
      <w:pPr>
        <w:pStyle w:val="TextBody"/>
        <w:spacing w:lineRule="auto" w:line="240" w:before="0" w:after="240"/>
        <w:ind w:left="0" w:right="0" w:firstLine="1440"/>
        <w:rPr/>
      </w:pPr>
      <w:r>
        <w:rPr>
          <w:rFonts w:ascii="Times New Roman;sans-serif" w:hAnsi="Times New Roman;sans-serif"/>
          <w:b w:val="false"/>
          <w:color w:val="010000"/>
          <w:sz w:val="24"/>
        </w:rPr>
        <w:t>(d)</w:t>
      </w:r>
      <w:r>
        <w:rPr>
          <w:rFonts w:ascii="Times New Roman;sans-serif" w:hAnsi="Times New Roman;sans-serif"/>
          <w:b w:val="false"/>
          <w:color w:val="000000"/>
          <w:sz w:val="24"/>
        </w:rPr>
        <w:t>After the Closing, the Seller shall (i) execute the Trilateral Common Interest and Joint Privilege Agreement and (ii) use commercially reasonably efforts to obtain from Licensee (x) an agreement to send Royalty Reports directly to both the Seller and the Buyer, and (y) Licensee’s signature to the Trilateral Common Interest and Joint Privilege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Inspections and Audits of Licensee</w:t>
      </w:r>
      <w:r>
        <w:rPr>
          <w:rFonts w:ascii="Times New Roman;sans-serif" w:hAnsi="Times New Roman;sans-serif"/>
          <w:b w:val="false"/>
          <w:color w:val="000000"/>
          <w:sz w:val="24"/>
        </w:rPr>
        <w:t xml:space="preserve">. If either party hereto desires to cause an audit or inspection by an independent public accounting firm under Section 4.4 of the License Agreement to be made for the purpose of determining the correctness of the Royalty paid under the License Agreement, then the Seller and the Buyer agree to consult in good faith with each other in connection therewith. Following such consultation the Seller may, and if requested by the Buyer, shall, to the extent permitted under Section 4.4 of the License Agreement, cause such an inspection or audit to be made. The Seller shall, for purposes of Section 4.4 of the License Agreement, select such independent public accounting firm as reasonably designated by the Buyer for such purpose. The party hereto requesting hereunder that such an inspection or audit be made shall pay the expenses associated therewith (including the fees and expenses of such independent public accounting firm designated for such purpose); provided, however, that, if, following the completion of such an inspection or audit requested by the Buyer hereunder, the Licensee reimburses the Seller for the expenses of such inspection or audit pursuant to Section 4.4 of the License Agreement, the Seller shall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receipt by the Seller of such reimbursement remit the amount of such reimbursement to the Buyer to the extent that the Buyer paid such expenses. The Seller shall deliver to the Buyer a copy of the results of any inspection or audit conducted pursuant to Section 4.4 of the License Agreement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the Seller’s receipt thereof, with, if applicable, information redacted that the Seller reasonably determines is not relevant for determining the correctness of the Royalty made under the License Agreement.</w:t>
      </w:r>
    </w:p>
    <w:p>
      <w:pPr>
        <w:pStyle w:val="TextBody"/>
        <w:spacing w:lineRule="auto" w:line="240" w:before="0" w:after="0"/>
        <w:ind w:left="0" w:right="0" w:firstLine="1440"/>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Amendment of License Agreement</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shall not, without the Buyer’s prior written consent (not to be unreasonably withheld, conditioned or delayed), (i) amend, modify, supplement or restate (or consent to any amendment, modification, supplement or restatement of) any provision of the License Agreement, or (ii) enter into any Contract having the effect of the foregoing.</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With respect to any provision of the License Agreement related to the Licensed Patents, the Licensed Products or the Royalty, the Seller shall (if reasonably instructed by the Buyer) (a) use commercially reasonable efforts to amend, modify, supplement or restate such provision and (b) agree to any amendment, modification, supplement or restatement of such provision proposed or requested by the Licensee; provided, however, that (in the case of both (a) and (b)) such amendment, modification, supplement or restatement does not (i) relate to a reduction of any milestone payments or sublicense income payments under Section 3.1(b) or 3.1(c) of the License Agreement or the Seller’s rights and remedies to collect such amounts, or (ii) impose on the Seller any additional obligations or liabilities other than those existing in the License Agreement as of the date hereof or created pursuant to a subsequent amendment, modification, supplement or restatement entered into by the Seller in accordance with this Section 6.7(b).</w:t>
      </w:r>
      <w:r>
        <w:br w:type="page"/>
      </w:r>
    </w:p>
    <w:p>
      <w:pPr>
        <w:pStyle w:val="TextBody"/>
        <w:spacing w:before="0" w:after="0"/>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75260"/>
                <wp:effectExtent l="0" t="0" r="0" b="0"/>
                <wp:wrapNone/>
                <wp:docPr id="387" name="Frame3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receipt by the Seller of any final amendment, modification, supplement or restatement of the License Agreement, any consent to any amendment, modification, supplement or restatement of any provision of the License Agreement, or any Contract having the effect of the foregoing, the Seller shall furnish a copy of the same to the Buyer.</w:t>
      </w:r>
    </w:p>
    <w:p>
      <w:pPr>
        <w:pStyle w:val="TextBody"/>
        <w:spacing w:lineRule="auto" w:line="240" w:before="0" w:after="0"/>
        <w:ind w:left="0" w:right="0" w:firstLine="1440"/>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Assignment of License Agreement and Licensed Patents</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shall not, without the Buyer’s prior written consent (such consent to be granted or withheld in the sole discretion of the Buyer), sell, assign or otherwise transfer all or any portion of its interest under the License Agreement (including any of its rights or obligations thereunder) to any Person, including by contract, operation of law, merger, change of control, or otherwise, except in connection with (i) an assignment of this Agreement in its entirety in accordance with Section 10.3 to an assignee permitted thereunder or (ii) a Seller Monetization Transaction that (x) is permitted by and undertaken in accordance with this Agreement and (y) would not otherwise adversely affect the ability of the Seller to perform any of its obligations hereunder.</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The Seller shall not, without the Buyer’s prior written consent (such consent to be granted or withheld in the sole discretion of the Buyer), sell, assign or otherwise transfer all or any portion of its interest in the Licensed Patents to any Person, including by contract, operation of law, merger, change of control, or otherwise, except in connection with an assignment of this Agreement in its entirety in accordance with Section 10.3 to an assignee permitted thereunder.</w:t>
      </w:r>
    </w:p>
    <w:p>
      <w:pPr>
        <w:pStyle w:val="TextBody"/>
        <w:spacing w:lineRule="auto" w:line="240" w:before="0" w:after="240"/>
        <w:ind w:left="0" w:right="0" w:firstLine="1440"/>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Maintenance of License Agreement</w:t>
      </w:r>
      <w:r>
        <w:rPr>
          <w:rFonts w:ascii="Times New Roman;sans-serif" w:hAnsi="Times New Roman;sans-serif"/>
          <w:b w:val="false"/>
          <w:color w:val="000000"/>
          <w:sz w:val="24"/>
        </w:rPr>
        <w:t xml:space="preserve">. The Seller shall comply in all material respects with its obligations under the License Agreement and shall not take any action or forego any action that would reasonably be expected to constitute a material breach thereof or default thereunder. 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receipt of any (written or oral) notice from Licensee of an alleged breach or default under the License Agreement, the Seller shall give notice thereof to the Buyer, including delivering the Buyer a copy of any such written notice or a detailed written summary of any such oral notice. The Seller shall consult with the Buyer regarding such alleged breach or default and shall act as reasonably instructed by the Buyer to cure any breaches or defaults and shall give written notice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to the Buyer upon curing any such breach or default. The Seller shall not without the Buyer’s prior written consent (not to be unreasonably withheld, conditioned or delayed) and shall (if reasonably instructed by the Buyer) (i) forgive, release or compromise any amount owed to or becoming owed to the Seller under the License Agreement in respect of the Royalty or (ii) waive any obligation of, or grant any consent to, Licensee under, in respect of or related to the Royalty. The Seller shall not, without the Buyer’s written consent (to be granted or withheld in the Buyer’s sole discretion), enter into any new agreement or legally binding arrangement in respect of the Licensed Products or the Licensed Patents, except in connection with (i) an assignment of this Agreement in its entirety in accordance with Section 10.3 to an assignee permitted thereunder or (ii) a Seller Monetization Transaction that (x) is permitted by and undertaken in accordance with this Agreement and (y) would not otherwise adversely affect the ability of the Seller to perform any of its obligations hereunder.</w:t>
      </w:r>
    </w:p>
    <w:p>
      <w:pPr>
        <w:pStyle w:val="TextBody"/>
        <w:spacing w:lineRule="auto" w:line="240" w:before="0" w:after="240"/>
        <w:ind w:left="0" w:right="0" w:firstLine="1440"/>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Enforcement of License Agreement</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Notice of Breaches by Licensee</w:t>
      </w:r>
      <w:r>
        <w:rPr>
          <w:rFonts w:ascii="Times New Roman;sans-serif" w:hAnsi="Times New Roman;sans-serif"/>
          <w:b w:val="false"/>
          <w:color w:val="000000"/>
          <w:sz w:val="24"/>
        </w:rPr>
        <w:t xml:space="preserve">. 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the Seller becomes aware of a material breach of the License Agreement by Licensee, the Seller shall provide notice of such breach to the Buyer. </w:t>
      </w:r>
      <w:r>
        <w:br w:type="page"/>
      </w:r>
    </w:p>
    <w:p>
      <w:pPr>
        <w:pStyle w:val="TextBody"/>
        <w:spacing w:before="0" w:after="0"/>
        <w:rPr/>
      </w:pPr>
      <w:r>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75260"/>
                <wp:effectExtent l="0" t="0" r="0" b="0"/>
                <wp:wrapNone/>
                <wp:docPr id="388" name="Frame3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Enforcement of License Agreement</w:t>
      </w:r>
      <w:r>
        <w:rPr>
          <w:rFonts w:ascii="Times New Roman;sans-serif" w:hAnsi="Times New Roman;sans-serif"/>
          <w:b w:val="false"/>
          <w:color w:val="000000"/>
          <w:sz w:val="24"/>
        </w:rPr>
        <w:t xml:space="preserve">. The Seller shall consult with the Buyer regarding the timing, manner and conduct of any enforcement of Licensee’s obligations under the License Agreement or regarding any breach, default or other dispute under the License Agreement or otherwise relating to the Royalty or any purported Royalty Reduction. Following such consultation, the Seller shall, as reasonably instructed by the Buyer, exercise such rights and remedies, whether under the License Agreement or otherwise, relating to any such breach, default or other dispute that would reasonably be expected (individually or in the aggregate) to have a Material Adverse Effect, or that is otherwise related to the Royalty or any Royalty Reduction. The Seller shall employ such counsel, reasonably acceptable to the Seller, as the Buyer may select, and shall provide the Buyer with access to such counsel, in connection with any such dispute regarding any such alleged breach, default or other dispute under the License Agreement. [***] The Seller agrees to keep the Buyer reasonably informed of any actual or alleged breach, default or other dispute related to the License Agreement or the Royalty or any Royalty Reduction and to provide copies as soon as practicable, but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Seller’s receipt or delivery of (i) any written notice of any breach or alleged breach of the License Agreement or dispute in connection with the Royalty or any Royalty Reduction and (ii) any and all filings, notices and written communications relating thereto. </w: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Allocation of Proceeds and Costs of Enforcement</w:t>
      </w:r>
      <w:r>
        <w:rPr>
          <w:rFonts w:ascii="Times New Roman;sans-serif" w:hAnsi="Times New Roman;sans-serif"/>
          <w:b w:val="false"/>
          <w:color w:val="000000"/>
          <w:sz w:val="24"/>
        </w:rPr>
        <w:t>. Except as otherwise provided herein, each of the Buyer and the Seller shall bear its own fees and expenses incurred in enforcing Licensee’s obligations under the License Agreement pursuant to this Section 6.10. The Proceeds resulting from any enforcement of Licensee’s obligations under the License Agreement shall be applied first to reimburse the Seller and the Buyer for any reasonable and documented expenses incurred by them in connection with such enforcement, with the remainder of the Proceeds distributed (i) between the Buyer and the Seller, according to their respective Pro-Rata Portions, to the extent the breach by Licensee is related to any payment of, or adversely impacted, the Royalty and (ii) otherwise to the Seller for all other breaches by Licensee. The Seller hereby assigns and, if not presently assignable, agrees to assign to the Buyer, the amount of Proceeds due to the Buyer in accordance with this Section 6.10(c).</w:t>
      </w:r>
    </w:p>
    <w:p>
      <w:pPr>
        <w:pStyle w:val="TextBody"/>
        <w:spacing w:lineRule="auto" w:line="240" w:before="0" w:after="0"/>
        <w:ind w:left="0" w:right="0" w:firstLine="1440"/>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Termination of License Agreement</w:t>
      </w:r>
      <w:r>
        <w:rPr>
          <w:rFonts w:ascii="Times New Roman;sans-serif" w:hAnsi="Times New Roman;sans-serif"/>
          <w:b w:val="false"/>
          <w:color w:val="000000"/>
          <w:sz w:val="24"/>
        </w:rPr>
        <w:t>. Without the prior written consent of the Buyer (such consent to be granted or withheld in the sole discretion of the Buyer), the Seller shall not (i) exercise any right to terminate the License Agreement, in whole or in part, (ii) agree with Licensee to terminate the License Agreement, in whole or in part, (iii) take, or permit any Affiliate or sublicensee to take, any action that would reasonably be expected to give Licensee the right to terminate the License Agreement, in whole or in part, or (iv) take any action, fail to take an action or permit an action to be taken, that would give Licensee the right to terminate the License Agreement under Section 11.2(b) thereof.</w:t>
      </w:r>
    </w:p>
    <w:p>
      <w:pPr>
        <w:pStyle w:val="TextBody"/>
        <w:spacing w:before="0" w:after="0"/>
        <w:rPr/>
      </w:pPr>
      <w:r>
        <w:rPr/>
      </w:r>
    </w:p>
    <w:p>
      <w:pPr>
        <w:pStyle w:val="TextBody"/>
        <w:spacing w:lineRule="auto" w:line="240" w:before="0" w:after="240"/>
        <w:ind w:left="0" w:right="0" w:firstLine="1440"/>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New Arrangements</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Without limiting the provisions of this Article 6 or any other rights or remedies the Buyer may have under this Agreement, if the License Agreement is terminated prior to the date on which all Patents within the Licensed Patents have expired or been abandoned: </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as reasonably instructed by the Buyer, the Seller will use commercially reasonable efforts to negotiate and enter into a license, assignment or transfer agreement with Licensee for the regulatory filings and approvals, data, know-how, and Patents owned or controlled by Licensee, including a license to the Karuna Product Patents, in each case, that are necessary or useful to research, develop, manufacture, use, market, sell, offer for sale, import or distribute the Licensed Products; and </w:t>
      </w:r>
      <w:r>
        <w:br w:type="page"/>
      </w:r>
    </w:p>
    <w:p>
      <w:pPr>
        <w:pStyle w:val="TextBody"/>
        <w:spacing w:before="0" w:after="0"/>
        <w:rPr/>
      </w:pPr>
      <w:r>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75260"/>
                <wp:effectExtent l="0" t="0" r="0" b="0"/>
                <wp:wrapNone/>
                <wp:docPr id="389" name="Frame3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the Buyer shall have the exclusive right to negotiate, or cause the Seller to use commercially reasonable efforts to negotiate and enter into, a license under the Licensed Patents with a Third Party, pursuant to which such Third Party will be granted rights to research, develop, manufacture, use, market, sell, offer for sale, import or distribute the Licensed Products for any purpose that Licensee would have been permitted to research, develop, manufacture, use, market, sell, offer for sale, import or distribute the Licensed Products under the License Agreement, subject to any rights retained by Licensee following such termination pursuant to Section 11.3 of the License Agreement (such license, a “</w:t>
      </w:r>
      <w:r>
        <w:rPr>
          <w:rFonts w:ascii="Times New Roman;sans-serif" w:hAnsi="Times New Roman;sans-serif"/>
          <w:b w:val="false"/>
          <w:color w:val="000000"/>
          <w:sz w:val="24"/>
          <w:u w:val="single"/>
        </w:rPr>
        <w:t>New Arrangement</w:t>
      </w:r>
      <w:r>
        <w:rPr>
          <w:color w:val="000000"/>
        </w:rPr>
        <w:t>”</w:t>
      </w:r>
      <w:r>
        <w:rPr>
          <w:rFonts w:ascii="Times New Roman;sans-serif" w:hAnsi="Times New Roman;sans-serif"/>
          <w:b w:val="false"/>
          <w:color w:val="000000"/>
          <w:sz w:val="24"/>
        </w:rPr>
        <w:t>). The Seller shall provide reasonable assistance to and cooperate with the Buyer, at the Buyer’s cost and expense (including the Buyer’s payment of the Seller’s reasonable and documented attorneys’ fees, if any, in connection therewith), in such efforts as the Buyer shall undertake in connection with the negotiation of, and entry into, such New Arrangement. Any New Arrangement shall (x) not become effective earlier than the effective date of such termination of the License Agreement and (y) not include terms, conditions and limitations that impose any additional obligation or expense on the Seller or that are, in the aggregate, materially less favorable to the Seller and (as a result of the Buyer’s purchase hereunder) the Buyer than those contained in the License Agreement, including with respect to obligations and costs imposed on the Seller, disclaimers of the Seller’s liability, intellectual property ownership and control, indemnification of the Seller, milestone payments, royalty rates and sharing of sublicense income.</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Without limiting Section 6.12(a), should the Buyer identify any New Arrangement(s), the Seller agrees to execute and deliver a new license agreement to the applicable Third Party (each, a “</w:t>
      </w:r>
      <w:r>
        <w:rPr>
          <w:rFonts w:ascii="Times New Roman;sans-serif" w:hAnsi="Times New Roman;sans-serif"/>
          <w:b w:val="false"/>
          <w:color w:val="000000"/>
          <w:sz w:val="24"/>
          <w:u w:val="single"/>
        </w:rPr>
        <w:t>New License Agreement</w:t>
      </w:r>
      <w:r>
        <w:rPr>
          <w:color w:val="000000"/>
        </w:rPr>
        <w:t>”</w:t>
      </w:r>
      <w:r>
        <w:rPr>
          <w:rFonts w:ascii="Times New Roman;sans-serif" w:hAnsi="Times New Roman;sans-serif"/>
          <w:b w:val="false"/>
          <w:color w:val="000000"/>
          <w:sz w:val="24"/>
        </w:rPr>
        <w:t xml:space="preserve">) effectuating such New Arrangement that satisfies the foregoing requirements and contains such other reasonable terms as may be required or customarily included by the Seller and agreed to by the Buyer. Thereafter, each New License Agreement shall be included for all purposes in the definition of “License Agreement” under this Agreement, any payments that are equivalent to the Royalty under such New License Agreement and any rights similar shall be included for all purposes under this Agreement, and the Seller’s and the Buyer’s rights and obligations under this Agreement in respect of the License Agreement shall apply in respect of their rights and obligations under the New License Agreement </w:t>
      </w:r>
      <w:r>
        <w:rPr>
          <w:rFonts w:ascii="Times New Roman;sans-serif" w:hAnsi="Times New Roman;sans-serif"/>
          <w:b w:val="false"/>
          <w:i/>
          <w:color w:val="000000"/>
          <w:sz w:val="24"/>
        </w:rPr>
        <w:t>mutatis</w:t>
      </w:r>
      <w:r>
        <w:rPr>
          <w:color w:val="000000"/>
        </w:rPr>
        <w:t xml:space="preserve"> </w:t>
      </w:r>
      <w:r>
        <w:rPr>
          <w:rFonts w:ascii="Times New Roman;sans-serif" w:hAnsi="Times New Roman;sans-serif"/>
          <w:b w:val="false"/>
          <w:i/>
          <w:color w:val="000000"/>
          <w:sz w:val="24"/>
        </w:rPr>
        <w:t>mutandis</w:t>
      </w:r>
      <w:r>
        <w:rPr>
          <w:rFonts w:ascii="Times New Roman;sans-serif" w:hAnsi="Times New Roman;sans-serif"/>
          <w:b w:val="false"/>
          <w:color w:val="000000"/>
          <w:sz w:val="24"/>
        </w:rPr>
        <w:t>, in each case without any further action by the parties hereto to amend this Agreement or the Bill of Sale.</w:t>
      </w:r>
    </w:p>
    <w:p>
      <w:pPr>
        <w:pStyle w:val="TextBody"/>
        <w:spacing w:lineRule="auto" w:line="240" w:before="0" w:after="240"/>
        <w:ind w:left="0" w:right="0" w:firstLine="1440"/>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No Impairment of the Purchased Royalty</w:t>
      </w:r>
      <w:r>
        <w:rPr>
          <w:rFonts w:ascii="Times New Roman;sans-serif" w:hAnsi="Times New Roman;sans-serif"/>
          <w:b w:val="false"/>
          <w:color w:val="000000"/>
          <w:sz w:val="24"/>
        </w:rPr>
        <w:t>. Notwithstanding anything herein to the contrary, the Seller shall not (i) enter into or propose or deliver any Contract (or make or propose any amendments, modifications waivers or notices in connection with any Contract) that imposes a Lien upon, or otherwise sells, transfers, hypothecates, assigns, conveys title (in whole or in part), grants any right to, or otherwise disposes of any portion of the Purchased Royalty, or (ii) knowingly take any action or knowingly fail to act in a manner, in each case that would, individually or in the aggregate, reasonably be expected to result in a Material Adverse Effect.</w:t>
      </w:r>
    </w:p>
    <w:p>
      <w:pPr>
        <w:pStyle w:val="TextBody"/>
        <w:spacing w:lineRule="auto" w:line="240" w:before="0" w:after="240"/>
        <w:ind w:left="0" w:right="0" w:firstLine="1440"/>
        <w:rPr/>
      </w:pPr>
      <w:r>
        <w:rPr>
          <w:rFonts w:ascii="Times New Roman;sans-serif" w:hAnsi="Times New Roman;sans-serif"/>
          <w:b w:val="false"/>
          <w:color w:val="010000"/>
          <w:sz w:val="24"/>
        </w:rPr>
        <w:t>Section 1.14</w:t>
      </w:r>
      <w:r>
        <w:rPr>
          <w:rFonts w:ascii="Times New Roman;sans-serif" w:hAnsi="Times New Roman;sans-serif"/>
          <w:b w:val="false"/>
          <w:color w:val="000000"/>
          <w:sz w:val="24"/>
          <w:u w:val="single"/>
        </w:rPr>
        <w:t>Enforcement; Defense; Prosecution and Maintenance</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Buyer and the Seller shall promptly inform each other of any suspected infringement by a Third Party they become aware of with respect to any of the Licensed Patents or any other Patent claiming the composition of matter of, or the method of making or using, any Licensed Product. The Seller shall provide to the Buyer such documentation and information as the Buyer reasonably requests in connection with any such infringement and any action arising therefrom, including communications between Licensee and </w:t>
      </w:r>
      <w:r>
        <w:br w:type="page"/>
      </w:r>
    </w:p>
    <w:p>
      <w:pPr>
        <w:pStyle w:val="TextBody"/>
        <w:spacing w:before="0" w:after="0"/>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75260"/>
                <wp:effectExtent l="0" t="0" r="0" b="0"/>
                <wp:wrapNone/>
                <wp:docPr id="390" name="Frame3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the Seller under Section 6.1 or 6.2 of the License Agreement, in each case as soon as practicable and in any event not less than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Seller shall not join or initiate without the prior written consent of the Buyer (not to be unreasonably withheld, conditioned or delayed), and shall (as reasonably instructed by the Buyer) join or initiate, an enforcement action of the Licensed Patents in accordance with, respectively, Sections 6.2(a), 6.2(b) and 6.5 of the License Agreement. The Seller shall not act without the prior written consent of the Buyer (not to be unreasonably withheld, conditioned or delayed), and shall act (as reasonably instructed by the Buyer), as to the timing, manner and conduct of any such enforcement action whether joined or initiated by the Seller. Without limiting Section 6.4 of the License Agreement, to the extent Licensee enforces any of the Licensed Patents in accordance with Section 6.2(a) of the License Agreement together with any other Patents owned or controlled by Licensee, the Seller agrees to, only as reasonably instructed by the Buyer, negotiate in good faith with Licensee and agree to a reasonable allocation of Proceeds as between the Licensed Patents and any other Patents that were subject to such suit. In each such case, the Seller shall obtain and deliver to the Buyer an accounting detailing the Proceeds allocated to the Licensed Patents. </w: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The Seller shall (as reasonably instructed by the Buyer), with respect to any Licensed Patents for which the Seller controls the prosecution and maintenance, (i) (A) take any and all actions, and prepare, execute, deliver and file any and all agreements, documents and instruments, that are reasonably necessary or desirable (x) to diligently prosecute, preserve and maintain any such Licensed Patents, including payment of maintenance fees or annuities on any such Licensed Patents, and (y) to extend the term of any such Licensed Patent or exclusivity period for a Licensed Product (including any patent term extension(s) or supplementary protection certificate(s) with respect to any such Licensed Patent, regulatory exclusivity periods with respect to a Licensed Product, or the like), in each case ((x) and (y)), including to the extent permitted in accordance with Article 5 of the License Agreement, and (B) without limiting the generality of clause (A), undertake the activities set forth on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 (ii) prosecute any corrections, substitutions, reissues, reviews, reexaminations and any other forms of patent term restoration of any such Licensed Patents, including to the extent permitted in accordance with Article 5 of the License Agreement; (iii) diligently enforce and defend any such Licensed Patents, including by bringing any legal action for infringement in accordance with Section 6.14(b) and defending any counterclaim of invalidity or unenforceability or action of a Third Party for declaratory judgment of non-infringement or non-interference, including to the extent permitted in accordance with Sections 6.3 and 6.5 of the License Agreement; and (iv) not disclaim or abandon, or fail to take any action necessary or desirable to prevent the disclaimer or abandonment (including through lack of enforcement against Third Party infringers) of, any such Licensed Patents, including to the extent permitted in accordance with Article 5 of the License Agreement. [***]</w:t>
      </w:r>
    </w:p>
    <w:p>
      <w:pPr>
        <w:pStyle w:val="TextBody"/>
        <w:spacing w:lineRule="auto" w:line="240" w:before="0" w:after="240"/>
        <w:ind w:left="0" w:right="0" w:firstLine="1440"/>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receipt by the Seller of any (i) patent prosecution updates provided by Licensee to the Seller under Section 5.1 or 5.3 of the License Agreement, or (ii) patent defense updates provided by Licensee to the Seller under Section 6.2 or 6.3 of the License Agreement, the Seller shall furnish a true, correct and complete copy of the same to the Buyer. The Seller agrees to use its commercially reasonable efforts to obtain from Licensee, and deliver to the Buyer, on an annual basis, a complete and accurate docket report for all Licensed Patents;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Seller is unable to obtain such a docket report from Licensee in any given year, the Seller shall deliver a complete and accurate, to the best of the Seller’s knowledge, docket report for all Licensed Patents.</w:t>
      </w:r>
    </w:p>
    <w:p>
      <w:pPr>
        <w:pStyle w:val="TextBody"/>
        <w:spacing w:lineRule="auto" w:line="240" w:before="0" w:after="240"/>
        <w:ind w:left="0" w:right="0" w:firstLine="1440"/>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Buyer shall have the right to participate in any action, suit or other proceeding or any material meeting or material discussion relating to the infringement, legality, </w:t>
      </w:r>
      <w:r>
        <w:br w:type="page"/>
      </w:r>
    </w:p>
    <w:p>
      <w:pPr>
        <w:pStyle w:val="TextBody"/>
        <w:spacing w:before="0" w:after="0"/>
        <w:rPr/>
      </w:pPr>
      <w:r>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75260"/>
                <wp:effectExtent l="0" t="0" r="0" b="0"/>
                <wp:wrapNone/>
                <wp:docPr id="391" name="Frame3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validity or enforceability of the Licensed Patents, including any counterclaim, settlement discussions or meetings. The parties hereto shall enter into the Bilateral Common Interest and Joint Privilege Agreement at the Closing in accordance with Section 3.4, and the Seller acknowledges and agrees that it will not object to the Buyer participating in such action, suit or other proceeding or such meeting or discussion and will not assert that such participation could adversely affect the maintenance by the Seller of any applicable attorney-client privilege.</w:t>
      </w:r>
    </w:p>
    <w:p>
      <w:pPr>
        <w:pStyle w:val="TextBody"/>
        <w:spacing w:lineRule="auto" w:line="240" w:before="0" w:after="240"/>
        <w:ind w:left="0" w:right="0" w:firstLine="1440"/>
        <w:rPr/>
      </w:pPr>
      <w:r>
        <w:rPr>
          <w:rFonts w:ascii="Times New Roman;sans-serif" w:hAnsi="Times New Roman;sans-serif"/>
          <w:b w:val="false"/>
          <w:color w:val="010000"/>
          <w:sz w:val="24"/>
        </w:rPr>
        <w:t>Section 1.15</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xml:space="preserve">. After the Closing, the Seller and the Buyer agree to execute and deliver such other documents, certificates, agreements and other writings and to take such other actions as may be reasonably necessary in order to give effect to the transactions contemplated by this Agreement. </w:t>
      </w:r>
    </w:p>
    <w:p>
      <w:pPr>
        <w:pStyle w:val="TextBody"/>
        <w:spacing w:lineRule="auto" w:line="240" w:before="0" w:after="240"/>
        <w:ind w:left="0" w:right="0" w:firstLine="1440"/>
        <w:rPr/>
      </w:pPr>
      <w:r>
        <w:rPr>
          <w:rFonts w:ascii="Times New Roman;sans-serif" w:hAnsi="Times New Roman;sans-serif"/>
          <w:b w:val="false"/>
          <w:color w:val="010000"/>
          <w:sz w:val="24"/>
        </w:rPr>
        <w:t>Section 1.16</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Notwithstanding anything to the contrary in this Agreement, the Seller and the Buyer shall treat the transactions contemplated by this Agreement as a sale of the Purchased Royalty for United States federal, state, local and non-U.S. Tax purposes. Accordingly, (i) any and all Purchased Royalty payments made pursuant to the License Agreement after the Closing Date shall be treated as income of the Buyer and (ii) any and all amounts remitted by the Seller to the Buyer after the Closing Date pursuant to Section 6.2(a) shall be treated as received by the Seller as agent for the Buyer, in each case for United States federal, state, local and non-U.S. Tax purposes. The parties hereto shall cooperate to effect the foregoing treatment for United States federal, state, local and non-U.S. Tax purposes in the event that, notwithstanding the Licensee Instruction Letter, Licensee, any Sublicensee (as defined in the License Agreement) or any other Person makes any future remittance of Purchased Royalty payments to the Seller which the Seller must remit to the Buyer pursuant to Section 6.2(a). The parties hereto agree to cooperate with one another and use reasonable efforts (including in the case of the Seller, to use commercially reasonable efforts to cause Licensee) to reduce, mitigate and eliminate tax withholding or similar obligations in respect of any Royalty payments, including assisting one another to claim the benefits of any applicable tax treaty or other available reduction or exemption from any such Taxes imposed, and by making claims for refunds of withholding tax; provided, however, that the Seller shall be entitled to deduct or withhold any amounts if it is required to do so by law; provided, further, that Seller shall use reasonable efforts to notify Buyer in advance of any such deduction or withholding.</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parties hereto agree not to take any position that is inconsistent with the provisions of this Section 6.16 on any Tax return or in any audit or other Tax-related administrative or judicial proceeding unless (i) the other party hereto has consented in writing to such actions, (ii) ) the party hereto that contemplates taking such an inconsistent position is required to do otherwise pursuant to a “determination,” within the meaning of Section 1313(a) of the U.S. Internal Revenue Code of 1986, as amended, or (iii) the party hereto that contemplates taking such an inconsistent position has been advised by nationally recognized tax counsel in writing that there is no “reasonable basis” (within the meaning of Treasury Regulation Section 1.6662-3(b)(3)) for the position specified in this Section 6.16. If there is an inquiry by any Governmental Entity of the Seller or the Buyer related to this Section 6.16, the parties hereto shall cooperate with each other in responding to such inquiry in a reasonable manner consistent with this Section 6.16. </w: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From time to time during the term of this Agreement, upon the reasonable request of the Seller, the Buyer shall deliver to the Seller a valid, properly executed IRS Form W-8BEN-E certifying that royalty payments to the Buyer under this Agreement are exempt from U.S. federal withholding tax pursuant to an income tax treaty to which the United States is a party, or other documentation establishing an exemption from or reduction in U.S. withholding taxes. Seller shall deliver a copy of any such IRS Form W-8BEN-E or other documentation </w:t>
      </w:r>
      <w:r>
        <w:br w:type="page"/>
      </w:r>
    </w:p>
    <w:p>
      <w:pPr>
        <w:pStyle w:val="TextBody"/>
        <w:spacing w:before="0" w:after="0"/>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75260"/>
                <wp:effectExtent l="0" t="0" r="0" b="0"/>
                <wp:wrapNone/>
                <wp:docPr id="392" name="Frame3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provided by Buyer to Licensee. The Buyer shall, whenever a lapse in time or change in circumstances renders such documentation expired, obsolete or inaccurate in any respect, deliver to the Seller (to the extent it is legally eligible to do so) an updated IRS Form W-8BEN-E or any successor form or other documentation establishing an exemption from or reduction in U.S. federal withholding tax with respect to royalty payments made under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1.17</w:t>
      </w:r>
      <w:r>
        <w:rPr>
          <w:rFonts w:ascii="Times New Roman;sans-serif" w:hAnsi="Times New Roman;sans-serif"/>
          <w:b w:val="false"/>
          <w:color w:val="000000"/>
          <w:sz w:val="24"/>
          <w:u w:val="single"/>
        </w:rPr>
        <w:t>Seller Monetization Transaction</w:t>
      </w:r>
      <w:r>
        <w:rPr>
          <w:rFonts w:ascii="Times New Roman;sans-serif" w:hAnsi="Times New Roman;sans-serif"/>
          <w:b w:val="false"/>
          <w:color w:val="000000"/>
          <w:sz w:val="24"/>
        </w:rPr>
        <w:t xml:space="preserve">. The Seller shall provide reasonable (and at least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prior written notice to the Buyer before entering into any contract or arrangement with respect to a Seller Monetization Transaction which relates, in whole or in part, to the Retained Royalty. </w:t>
      </w:r>
    </w:p>
    <w:p>
      <w:pPr>
        <w:pStyle w:val="TextBody"/>
        <w:spacing w:lineRule="auto" w:line="556" w:before="0" w:after="0"/>
        <w:jc w:val="center"/>
        <w:rPr/>
      </w:pPr>
      <w:r>
        <w:rPr>
          <w:rFonts w:ascii="Times New Roman;sans-serif" w:hAnsi="Times New Roman;sans-serif"/>
          <w:b w:val="false"/>
          <w:color w:val="010000"/>
          <w:sz w:val="24"/>
        </w:rPr>
        <w:t>Article 7</w:t>
      </w:r>
      <w:r>
        <w:rPr>
          <w:rFonts w:ascii="Times New Roman;sans-serif" w:hAnsi="Times New Roman;sans-serif"/>
          <w:b w:val="false"/>
          <w:color w:val="000000"/>
          <w:sz w:val="24"/>
        </w:rPr>
        <w:br/>
        <w:t>CONFIDENTIALITY</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Except as provided in this Article 7 or otherwise agreed in writing by the parties, the parties hereto agree that, during the term of this Agreement and for five (5) years thereafter, each party (the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pursuant to the Existing Confidentiality Agreement (as defined below) or this Agreement (such information,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of the Disclosing Party), except for that portion of such information that: </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was already known to the Receiving Party, other than under an obligation of confidentiality, at the time of disclosure by the Disclosing Party;</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was generally available to the public or otherwise part of the public domain at the time of its disclosure to the Receiving Party;</w: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became generally available to the public or otherwise part of the public domain after its disclosure and other than through any act or omission of the Receiving Party in breach of this Agreement; </w:t>
      </w:r>
    </w:p>
    <w:p>
      <w:pPr>
        <w:pStyle w:val="TextBody"/>
        <w:spacing w:lineRule="auto" w:line="240" w:before="0" w:after="240"/>
        <w:ind w:left="0" w:right="0" w:firstLine="1440"/>
        <w:rPr/>
      </w:pPr>
      <w:r>
        <w:rPr>
          <w:rFonts w:ascii="Times New Roman;sans-serif" w:hAnsi="Times New Roman;sans-serif"/>
          <w:b w:val="false"/>
          <w:color w:val="010000"/>
          <w:sz w:val="24"/>
        </w:rPr>
        <w:t>(d)</w:t>
      </w:r>
      <w:r>
        <w:rPr>
          <w:rFonts w:ascii="Times New Roman;sans-serif" w:hAnsi="Times New Roman;sans-serif"/>
          <w:b w:val="false"/>
          <w:color w:val="000000"/>
          <w:sz w:val="24"/>
        </w:rPr>
        <w:t>is independently developed by the Receiving Party or any of its Affiliates, as evidenced by written records, without the use of or reference of the Confidential Information; or</w:t>
      </w:r>
    </w:p>
    <w:p>
      <w:pPr>
        <w:pStyle w:val="TextBody"/>
        <w:spacing w:lineRule="auto" w:line="240" w:before="0" w:after="240"/>
        <w:ind w:left="0" w:right="0" w:firstLine="1440"/>
        <w:rPr/>
      </w:pPr>
      <w:r>
        <w:rPr>
          <w:rFonts w:ascii="Times New Roman;sans-serif" w:hAnsi="Times New Roman;sans-serif"/>
          <w:b w:val="false"/>
          <w:color w:val="010000"/>
          <w:sz w:val="24"/>
        </w:rPr>
        <w:t>(e)</w:t>
      </w:r>
      <w:r>
        <w:rPr>
          <w:rFonts w:ascii="Times New Roman;sans-serif" w:hAnsi="Times New Roman;sans-serif"/>
          <w:b w:val="false"/>
          <w:color w:val="000000"/>
          <w:sz w:val="24"/>
        </w:rPr>
        <w:t>is subsequently disclosed to the Receiving Party on a non-confidential basis by a Third Party without obligations of confidentiality with respect thereto.</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Authorized Disclosure</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Either party may disclose Confidential Information with the prior written consent of the Disclosing Party or to the extent such disclosure is reasonably necessary in the following situations:</w:t>
      </w:r>
    </w:p>
    <w:p>
      <w:pPr>
        <w:pStyle w:val="TextBody"/>
        <w:spacing w:lineRule="auto" w:line="240" w:before="0" w:after="240"/>
        <w:ind w:left="0" w:right="0" w:firstLine="720"/>
        <w:rPr/>
      </w:pPr>
      <w:r>
        <w:rPr>
          <w:rFonts w:ascii="Times New Roman;sans-serif" w:hAnsi="Times New Roman;sans-serif"/>
          <w:b w:val="false"/>
          <w:color w:val="010000"/>
          <w:sz w:val="24"/>
        </w:rPr>
        <w:t>(i)</w:t>
      </w:r>
      <w:r>
        <w:rPr>
          <w:rFonts w:ascii="Times New Roman;sans-serif" w:hAnsi="Times New Roman;sans-serif"/>
          <w:b w:val="false"/>
          <w:color w:val="000000"/>
          <w:sz w:val="24"/>
        </w:rPr>
        <w:t>prosecuting or defending litigation;</w:t>
      </w:r>
    </w:p>
    <w:p>
      <w:pPr>
        <w:pStyle w:val="TextBody"/>
        <w:spacing w:lineRule="auto" w:line="240" w:before="0" w:after="240"/>
        <w:ind w:left="0" w:right="0" w:firstLine="720"/>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complying with applicable laws and regulations, including regulations promulgated by securities exchanges; </w:t>
      </w:r>
      <w:r>
        <w:br w:type="page"/>
      </w:r>
    </w:p>
    <w:p>
      <w:pPr>
        <w:pStyle w:val="TextBody"/>
        <w:spacing w:before="0" w:after="0"/>
        <w:rPr/>
      </w:pPr>
      <w:r>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75260"/>
                <wp:effectExtent l="0" t="0" r="0" b="0"/>
                <wp:wrapNone/>
                <wp:docPr id="393" name="Frame3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complying with a valid order of a court of competent jurisdiction or other Governmental Entity; </w:t>
      </w:r>
    </w:p>
    <w:p>
      <w:pPr>
        <w:pStyle w:val="TextBody"/>
        <w:spacing w:lineRule="auto" w:line="240" w:before="0" w:after="240"/>
        <w:ind w:left="0" w:right="0" w:firstLine="720"/>
        <w:rPr/>
      </w:pPr>
      <w:r>
        <w:rPr>
          <w:rFonts w:ascii="Times New Roman;sans-serif" w:hAnsi="Times New Roman;sans-serif"/>
          <w:b w:val="false"/>
          <w:color w:val="010000"/>
          <w:sz w:val="24"/>
        </w:rPr>
        <w:t>(iv)</w:t>
      </w:r>
      <w:r>
        <w:rPr>
          <w:rFonts w:ascii="Times New Roman;sans-serif" w:hAnsi="Times New Roman;sans-serif"/>
          <w:b w:val="false"/>
          <w:color w:val="000000"/>
          <w:sz w:val="24"/>
        </w:rPr>
        <w:t>for regulatory, tax or customs purposes;</w:t>
      </w:r>
    </w:p>
    <w:p>
      <w:pPr>
        <w:pStyle w:val="TextBody"/>
        <w:spacing w:lineRule="auto" w:line="240" w:before="0" w:after="240"/>
        <w:ind w:left="0" w:right="0" w:firstLine="720"/>
        <w:rPr/>
      </w:pPr>
      <w:r>
        <w:rPr>
          <w:rFonts w:ascii="Times New Roman;sans-serif" w:hAnsi="Times New Roman;sans-serif"/>
          <w:b w:val="false"/>
          <w:color w:val="010000"/>
          <w:sz w:val="24"/>
        </w:rPr>
        <w:t>(v)</w:t>
      </w:r>
      <w:r>
        <w:rPr>
          <w:rFonts w:ascii="Times New Roman;sans-serif" w:hAnsi="Times New Roman;sans-serif"/>
          <w:b w:val="false"/>
          <w:color w:val="000000"/>
          <w:sz w:val="24"/>
        </w:rPr>
        <w:t>for audit purposes, provided that each recipient of Confidential Information must be bound by customary obligations of confidentiality and non-use prior to any such disclosure;</w:t>
      </w:r>
    </w:p>
    <w:p>
      <w:pPr>
        <w:pStyle w:val="TextBody"/>
        <w:spacing w:lineRule="auto" w:line="240" w:before="0" w:after="240"/>
        <w:ind w:left="0" w:right="0" w:firstLine="720"/>
        <w:rPr/>
      </w:pPr>
      <w:r>
        <w:rPr>
          <w:rFonts w:ascii="Times New Roman;sans-serif" w:hAnsi="Times New Roman;sans-serif"/>
          <w:b w:val="false"/>
          <w:color w:val="010000"/>
          <w:sz w:val="24"/>
        </w:rPr>
        <w:t>(vi)</w:t>
      </w:r>
      <w:r>
        <w:rPr>
          <w:rFonts w:ascii="Times New Roman;sans-serif" w:hAnsi="Times New Roman;sans-serif"/>
          <w:b w:val="false"/>
          <w:color w:val="000000"/>
          <w:sz w:val="24"/>
        </w:rPr>
        <w:t>disclosure to its Affiliates and Representatives on a need-to-know basis, provided that each recipient of Confidential Information must be bound by customary obligations of confidentiality and non-use prior to any such disclosure; or</w:t>
      </w:r>
    </w:p>
    <w:p>
      <w:pPr>
        <w:pStyle w:val="TextBody"/>
        <w:spacing w:lineRule="auto" w:line="240" w:before="0" w:after="240"/>
        <w:ind w:left="0" w:right="0" w:firstLine="720"/>
        <w:rPr/>
      </w:pPr>
      <w:r>
        <w:rPr>
          <w:rFonts w:ascii="Times New Roman;sans-serif" w:hAnsi="Times New Roman;sans-serif"/>
          <w:b w:val="false"/>
          <w:color w:val="010000"/>
          <w:sz w:val="24"/>
        </w:rPr>
        <w:t>(vii)</w:t>
      </w:r>
      <w:r>
        <w:rPr>
          <w:rFonts w:ascii="Times New Roman;sans-serif" w:hAnsi="Times New Roman;sans-serif"/>
          <w:b w:val="false"/>
          <w:color w:val="000000"/>
          <w:sz w:val="24"/>
        </w:rPr>
        <w:t>disclosure to its actual or potential investors and co-investors,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w:t>
      </w:r>
    </w:p>
    <w:p>
      <w:pPr>
        <w:pStyle w:val="TextBody"/>
        <w:spacing w:lineRule="auto" w:line="240" w:before="0" w:after="240"/>
        <w:ind w:left="0" w:right="0" w:firstLine="720"/>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the foregoing, in the event the Receiving Party is required to make a disclosure of the Disclosing Party’s Confidential Information pursuant to Section 7.2(a)(i), (ii), (iii) or (iv), it will, except where impracticable, give reasonable advance notice to the Disclosing Party of such disclosure and use reasonable efforts to secure confidential treatment of such information. In any event, the Buyer shall not file any patent application based upon or using the Confidential Information of Seller provided hereunder.</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Termination of Confidentiality Agreement</w:t>
      </w:r>
      <w:r>
        <w:rPr>
          <w:rFonts w:ascii="Times New Roman;sans-serif" w:hAnsi="Times New Roman;sans-serif"/>
          <w:b w:val="false"/>
          <w:color w:val="000000"/>
          <w:sz w:val="24"/>
        </w:rPr>
        <w:t>. Effective upon the date hereof, that certain Confidential Disclosure Agreement, dated September 20, 2022, between RP Management LLC and the Seller (the “</w:t>
      </w:r>
      <w:r>
        <w:rPr>
          <w:rFonts w:ascii="Times New Roman;sans-serif" w:hAnsi="Times New Roman;sans-serif"/>
          <w:b w:val="false"/>
          <w:color w:val="000000"/>
          <w:sz w:val="24"/>
          <w:u w:val="single"/>
        </w:rPr>
        <w:t>Existing Confidentiality Agreement</w:t>
      </w:r>
      <w:r>
        <w:rPr>
          <w:color w:val="000000"/>
        </w:rPr>
        <w:t>”</w:t>
      </w:r>
      <w:r>
        <w:rPr>
          <w:rFonts w:ascii="Times New Roman;sans-serif" w:hAnsi="Times New Roman;sans-serif"/>
          <w:b w:val="false"/>
          <w:color w:val="000000"/>
          <w:sz w:val="24"/>
        </w:rPr>
        <w:t>) shall terminate and be of no further force or effect, and shall be superseded by the provisions of this Article 7.</w:t>
      </w:r>
    </w:p>
    <w:p>
      <w:pPr>
        <w:pStyle w:val="TextBody"/>
        <w:spacing w:lineRule="auto" w:line="556" w:before="0" w:after="0"/>
        <w:jc w:val="center"/>
        <w:rPr/>
      </w:pPr>
      <w:r>
        <w:rPr>
          <w:rFonts w:ascii="Times New Roman;sans-serif" w:hAnsi="Times New Roman;sans-serif"/>
          <w:b w:val="false"/>
          <w:color w:val="010000"/>
          <w:sz w:val="24"/>
        </w:rPr>
        <w:t>Article 8</w:t>
      </w:r>
      <w:r>
        <w:rPr>
          <w:rFonts w:ascii="Times New Roman;sans-serif" w:hAnsi="Times New Roman;sans-serif"/>
          <w:b w:val="false"/>
          <w:color w:val="000000"/>
          <w:sz w:val="24"/>
        </w:rPr>
        <w:br/>
        <w:t>INDEMNIFICATION</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General Indemnity</w:t>
      </w:r>
      <w:r>
        <w:rPr>
          <w:rFonts w:ascii="Times New Roman;sans-serif" w:hAnsi="Times New Roman;sans-serif"/>
          <w:b w:val="false"/>
          <w:color w:val="000000"/>
          <w:sz w:val="24"/>
        </w:rPr>
        <w:t>. Subject to Section 8.3, from and after the Closing:</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hereby agrees to indemnify, defend and hold harmless the Buyer and its Affiliates and its and their directors, managers, trustees, officers, agents and employees (the “</w:t>
      </w:r>
      <w:r>
        <w:rPr>
          <w:rFonts w:ascii="Times New Roman;sans-serif" w:hAnsi="Times New Roman;sans-serif"/>
          <w:b w:val="false"/>
          <w:color w:val="000000"/>
          <w:sz w:val="24"/>
          <w:u w:val="single"/>
        </w:rPr>
        <w:t>Buyer Indemnified Parties</w:t>
      </w:r>
      <w:r>
        <w:rPr>
          <w:color w:val="000000"/>
        </w:rPr>
        <w:t>”</w:t>
      </w:r>
      <w:r>
        <w:rPr>
          <w:rFonts w:ascii="Times New Roman;sans-serif" w:hAnsi="Times New Roman;sans-serif"/>
          <w:b w:val="false"/>
          <w:color w:val="000000"/>
          <w:sz w:val="24"/>
        </w:rPr>
        <w:t xml:space="preserve">) from, against and in respect of all Losses suffered or incurred by the Buyer Indemnified Parties to the extent arising out of or resulting from (i) (x) any breach of any of the representations or warranties (in each case, when made) of the Seller in this Agreement, or (y) any breach of any of the covenants or agreements of the Seller in this Agreement; provided, however, that the foregoing clause (i) shall exclude any indemnification to any Buyer Indemnified Party solely to the extent (1) that it has the effect of imposing on the Seller any liability to make payments of or in lieu of the Royalty because of any Credit Event, (2) that it results from the failure of Licensee to perform any of its obligations under the License </w:t>
      </w:r>
      <w:r>
        <w:br w:type="page"/>
      </w:r>
    </w:p>
    <w:p>
      <w:pPr>
        <w:pStyle w:val="TextBody"/>
        <w:spacing w:before="0" w:after="0"/>
        <w:rPr/>
      </w:pPr>
      <w:r>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75260"/>
                <wp:effectExtent l="0" t="0" r="0" b="0"/>
                <wp:wrapNone/>
                <wp:docPr id="394" name="Frame3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Agreement, unless directly resulting from the breach or default by the Seller of or under the License Agreement or this Agreement, (3) resulting from the gross negligence, willful misconduct, or fraud of any Buyer Indemnified Party, or (4) resulting from acts or omissions of the Seller or any of its Affiliates solely based upon, and in conformity with, the Buyer’s express written instructions; or (ii) the matter set forth on </w:t>
      </w:r>
      <w:r>
        <w:rPr>
          <w:rFonts w:ascii="Times New Roman;sans-serif" w:hAnsi="Times New Roman;sans-serif"/>
          <w:b w:val="false"/>
          <w:color w:val="000000"/>
          <w:sz w:val="24"/>
          <w:u w:val="single"/>
        </w:rPr>
        <w:t>Schedule 4.9(a)(ii)</w:t>
      </w:r>
      <w:r>
        <w:rPr>
          <w:color w:val="000000"/>
        </w:rPr>
        <w:t xml:space="preserve"> </w:t>
      </w:r>
      <w:r>
        <w:rPr>
          <w:rFonts w:ascii="Times New Roman;sans-serif" w:hAnsi="Times New Roman;sans-serif"/>
          <w:b w:val="false"/>
          <w:color w:val="000000"/>
          <w:sz w:val="24"/>
        </w:rPr>
        <w:t>of the Disclosure Schedule and any Losses related to such matter.</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the Buyer hereby agrees to indemnify, defend and hold harmless the Seller and its Affiliates and its and their directors, officers, agents and employees (the “</w:t>
      </w:r>
      <w:r>
        <w:rPr>
          <w:rFonts w:ascii="Times New Roman;sans-serif" w:hAnsi="Times New Roman;sans-serif"/>
          <w:b w:val="false"/>
          <w:color w:val="000000"/>
          <w:sz w:val="24"/>
          <w:u w:val="single"/>
        </w:rPr>
        <w:t>Seller Indemnified Parties</w:t>
      </w:r>
      <w:r>
        <w:rPr>
          <w:color w:val="000000"/>
        </w:rPr>
        <w:t>”</w:t>
      </w:r>
      <w:r>
        <w:rPr>
          <w:rFonts w:ascii="Times New Roman;sans-serif" w:hAnsi="Times New Roman;sans-serif"/>
          <w:b w:val="false"/>
          <w:color w:val="000000"/>
          <w:sz w:val="24"/>
        </w:rPr>
        <w:t>) from, against and in respect of all Losses suffered or incurred by the Seller Indemnified Parties to the extent arising out of or resulting from (i) any breach of any of the representations or warranties (in each case, when made) of the Buyer in this Agreement or (ii) any breach of any of the covenants or agreements of the Buyer in this Agreement; provided, however, that the foregoing shall exclude any indemnification to any Seller Indemnified Party solely to the extent (y) resulting from the gross negligence, willful misconduct, or fraud of any Seller Indemnified Party, or (z) resulting from acts or omissions of the Buyer or any of its Affiliates solely based upon, and in conformity with, the Seller’s express written instructions.</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Notice of Claims</w:t>
      </w:r>
      <w:r>
        <w:rPr>
          <w:rFonts w:ascii="Times New Roman;sans-serif" w:hAnsi="Times New Roman;sans-serif"/>
          <w:b w:val="false"/>
          <w:color w:val="000000"/>
          <w:sz w:val="24"/>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sans-serif" w:hAnsi="Times New Roman;sans-serif"/>
          <w:b w:val="false"/>
          <w:color w:val="000000"/>
          <w:sz w:val="24"/>
          <w:u w:val="single"/>
        </w:rPr>
        <w:t>Indemnified Party</w:t>
      </w:r>
      <w:r>
        <w:rPr>
          <w:color w:val="000000"/>
        </w:rPr>
        <w:t>”</w:t>
      </w:r>
      <w:r>
        <w:rPr>
          <w:rFonts w:ascii="Times New Roman;sans-serif" w:hAnsi="Times New Roman;sans-serif"/>
          <w:b w:val="false"/>
          <w:color w:val="000000"/>
          <w:sz w:val="24"/>
        </w:rPr>
        <w:t>), has suffered or incurred any Losses for which indemnification may be sought under this Article 8, the Indemnified Party shall so notify the other party from whom indemnification is sought under this Article 8 (the “</w:t>
      </w:r>
      <w:r>
        <w:rPr>
          <w:rFonts w:ascii="Times New Roman;sans-serif" w:hAnsi="Times New Roman;sans-serif"/>
          <w:b w:val="false"/>
          <w:color w:val="000000"/>
          <w:sz w:val="24"/>
          <w:u w:val="single"/>
        </w:rPr>
        <w:t>Indemnifying Party</w:t>
      </w:r>
      <w:r>
        <w:rPr>
          <w:color w:val="000000"/>
        </w:rPr>
        <w:t>”</w:t>
      </w:r>
      <w:r>
        <w:rPr>
          <w:rFonts w:ascii="Times New Roman;sans-serif" w:hAnsi="Times New Roman;sans-serif"/>
          <w:b w:val="false"/>
          <w:color w:val="000000"/>
          <w:sz w:val="24"/>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a Third Party with respect to which an Indemnified Party intends to claim any Loss under this Article 8,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Limitations on Liability</w:t>
      </w:r>
      <w:r>
        <w:rPr>
          <w:rFonts w:ascii="Times New Roman;sans-serif" w:hAnsi="Times New Roman;sans-serif"/>
          <w:b w:val="false"/>
          <w:color w:val="000000"/>
          <w:sz w:val="24"/>
        </w:rPr>
        <w:t>. No party hereto shall be liable for any indirect, consequential, punitive, special or incidental damages as a result of any breach or violation of any covenant or agreement of such party (including under this Article 8) in or pursuant to this Agreement. Notwithstanding the foregoing, the Buyer shall be entitled to make indemnification claims, in accordance with the procedures set forth in this Article 8, for Losses that include any portion of the Purchased Royalty that the Buyer was entitled to receive but did not receive timely or at all due to any indemnifiable events under this Agreement, and such portion of the Purchased Royalty shall not be deemed indirect, consequential, punitive, special or incidental damages for any purpose of this Agreement. For the avoidance of doubt, the Seller shall have no liability to the Buyer for any Permitted Reduction or Credit Event.</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Third Party Claims</w:t>
      </w:r>
      <w:r>
        <w:rPr>
          <w:rFonts w:ascii="Times New Roman;sans-serif" w:hAnsi="Times New Roman;sans-serif"/>
          <w:b w:val="false"/>
          <w:color w:val="000000"/>
          <w:sz w:val="24"/>
        </w:rPr>
        <w:t xml:space="preserve">. Following the receipt of notice provided by an Indemnified Party pursuant to Section 8.2 of the commencement of any action, suit or proceeding against such Indemnified Party by a Third Party with respect to which such Indemnified Party intends to claim any Loss under this Article 8, an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w:t>
      </w:r>
      <w:r>
        <w:br w:type="page"/>
      </w:r>
    </w:p>
    <w:p>
      <w:pPr>
        <w:pStyle w:val="TextBody"/>
        <w:spacing w:before="0" w:after="0"/>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75260"/>
                <wp:effectExtent l="0" t="0" r="0" b="0"/>
                <wp:wrapNone/>
                <wp:docPr id="395" name="Frame3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commercially reasonable efforts to cooperate in such defense;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Indemnifying Party shall bear the Indemnified Party’s reasonable out-of-pocket costs and expenses incurred in connection with such cooperation. So long as the Indemnifying Party is conducting the defense of such claim as provided in this Section 8.4, 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(i) provides for the payment by the Indemnifying Party of money as sole relief (if any) for the claimant (other than customary and reasonable confidentiality obligations relating to such claim, Judgment or settlement), (ii) results in the full and general release of the Indemnified Party from all liabilities arising out of, relating to or in connection with such claim and (iii)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as so provided, (x) the Indemnified Party may defend against, and consent to the entry of any Judgment or enter into any settlement with respect to, such claim in any manner it may reasonably deem to be appropriate, (y) subject to the limitations set forth in Section 8.3, the Indemnifying Party shall reimburse the Indemnified Party promptly and periodically for the reasonable out-of-pocket costs of defending against such claim, including reasonable attorneys’ fees and expenses against reasonably detailed invoices, and (z) the Indemnifying Party shall remain responsible for any Losses the Indemnified Party may suffer as a result of such claim to the full extent provided in this Article 8.</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Except as set forth in Section 10.10, from and after Closing,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common law fraud shall not be waived or limited in any way by this Article 8.</w: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Tax Treatment of Indemnification Payments</w:t>
      </w:r>
      <w:r>
        <w:rPr>
          <w:rFonts w:ascii="Times New Roman;sans-serif" w:hAnsi="Times New Roman;sans-serif"/>
          <w:b w:val="false"/>
          <w:color w:val="000000"/>
          <w:sz w:val="24"/>
        </w:rPr>
        <w:t>. For all purposes hereunder, any indemnification payments made pursuant to this Article 8 will be treated as an adjustment to the Purchase Price for U.S. federal income tax purposes to the fullest extent permitted by applicable law, except to the extent otherwise required pursuant to a “determination,” within the meaning of Section 1313(a) of the U.S. Internal Revenue Code of 1986, as amended.</w:t>
      </w:r>
    </w:p>
    <w:p>
      <w:pPr>
        <w:pStyle w:val="TextBody"/>
        <w:spacing w:lineRule="auto" w:line="556" w:before="0" w:after="0"/>
        <w:jc w:val="center"/>
        <w:rPr/>
      </w:pPr>
      <w:r>
        <w:rPr>
          <w:rFonts w:ascii="Times New Roman;sans-serif" w:hAnsi="Times New Roman;sans-serif"/>
          <w:b w:val="false"/>
          <w:color w:val="010000"/>
          <w:sz w:val="24"/>
        </w:rPr>
        <w:t>Article 9</w:t>
      </w:r>
      <w:r>
        <w:rPr>
          <w:rFonts w:ascii="Times New Roman;sans-serif" w:hAnsi="Times New Roman;sans-serif"/>
          <w:b w:val="false"/>
          <w:color w:val="000000"/>
          <w:sz w:val="24"/>
        </w:rPr>
        <w:br/>
        <w:t>TERMINATION</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Grounds for Termination</w:t>
      </w:r>
      <w:r>
        <w:rPr>
          <w:rFonts w:ascii="Times New Roman;sans-serif" w:hAnsi="Times New Roman;sans-serif"/>
          <w:b w:val="false"/>
          <w:color w:val="000000"/>
          <w:sz w:val="24"/>
        </w:rPr>
        <w:t>. This Agreement may be terminated at any time by mutual written agreement of the Buyer and the Seller.</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Automatic Termination</w:t>
      </w:r>
      <w:r>
        <w:rPr>
          <w:rFonts w:ascii="Times New Roman;sans-serif" w:hAnsi="Times New Roman;sans-serif"/>
          <w:b w:val="false"/>
          <w:color w:val="000000"/>
          <w:sz w:val="24"/>
        </w:rPr>
        <w:t xml:space="preserve">. Unless earlier terminated as provided in Section 9.1, this Agreement shall continue in full force and effect until sixty (60) days after the full satisfaction of any amounts due under the License Agreement to the Seller and any payments in respect of the Purchased Royalty due under this Agreement to the Buyer, at which point this </w:t>
      </w:r>
      <w:r>
        <w:br w:type="page"/>
      </w:r>
    </w:p>
    <w:p>
      <w:pPr>
        <w:pStyle w:val="TextBody"/>
        <w:spacing w:before="0" w:after="0"/>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75260"/>
                <wp:effectExtent l="0" t="0" r="0" b="0"/>
                <wp:wrapNone/>
                <wp:docPr id="396" name="Frame3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Agreement shall automatically terminate, except with respect to any rights and obligations that shall have accrued prior to such termination.</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anything to the contrary in this Article 9, the following provisions shall survive termination of this Agreement: Section 2.3 (True Sale), Section 6.1 (Disclosures), Section 6.2 (Payments Received in Error), Section 6.4 (Interest on Overdue Payments), Section 6.6 (Inspections and Audits of Licensee) (for the period set forth in Section 4.4 of the License Agreement), Article 7 (Confidentiality) (for the period set forth in Section 7.1), Article 8 (Indemnification), this Section 9.3 (Survival) and Article 10 (Miscellaneous). Termination of this Agreement shall not relieve any party hereto of liability in respect of breaches under this Agreement by such party on or prior to termination. In addition, in the event the License Agreement is terminated prior to the date on which all Patents within the Licensed Patents have expired or been abandoned, Section 6.12 (New Arrangements) shall survive the termination of this Agreement.</w:t>
      </w:r>
    </w:p>
    <w:p>
      <w:pPr>
        <w:pStyle w:val="TextBody"/>
        <w:spacing w:before="0" w:after="0"/>
        <w:rPr/>
      </w:pPr>
      <w:r>
        <w:rPr/>
      </w:r>
    </w:p>
    <w:p>
      <w:pPr>
        <w:pStyle w:val="TextBody"/>
        <w:spacing w:lineRule="auto" w:line="556" w:before="0" w:after="0"/>
        <w:jc w:val="center"/>
        <w:rPr/>
      </w:pPr>
      <w:r>
        <w:rPr>
          <w:rFonts w:ascii="Times New Roman;sans-serif" w:hAnsi="Times New Roman;sans-serif"/>
          <w:b w:val="false"/>
          <w:color w:val="010000"/>
          <w:sz w:val="24"/>
        </w:rPr>
        <w:t>Article 10</w:t>
      </w:r>
      <w:r>
        <w:rPr>
          <w:rFonts w:ascii="Times New Roman;sans-serif" w:hAnsi="Times New Roman;sans-serif"/>
          <w:b w:val="false"/>
          <w:color w:val="000000"/>
          <w:sz w:val="24"/>
        </w:rPr>
        <w:br/>
        <w:t>MISCELLANEOUS</w:t>
      </w:r>
    </w:p>
    <w:p>
      <w:pPr>
        <w:pStyle w:val="TextBody"/>
        <w:spacing w:lineRule="auto" w:line="240" w:before="0" w:after="240"/>
        <w:ind w:left="0" w:right="0" w:firstLine="1440"/>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10.1:</w:t>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If to the Seller or the Seller Parent: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PureTech Health LLC</w:t>
      </w:r>
    </w:p>
    <w:p>
      <w:pPr>
        <w:pStyle w:val="TextBody"/>
        <w:spacing w:lineRule="auto" w:line="240" w:before="0" w:after="0"/>
        <w:rPr/>
      </w:pPr>
      <w:r>
        <w:rPr>
          <w:rFonts w:ascii="Times New Roman;sans-serif" w:hAnsi="Times New Roman;sans-serif"/>
          <w:b w:val="false"/>
          <w:color w:val="000000"/>
          <w:sz w:val="24"/>
        </w:rPr>
        <w:t>6 Tide Street, 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Boston, MA 02210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President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before="0" w:after="0"/>
        <w:rPr/>
      </w:pPr>
      <w:r>
        <w:rPr/>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With a copy to Legal Department at the above address</w:t>
      </w:r>
    </w:p>
    <w:p>
      <w:pPr>
        <w:pStyle w:val="TextBody"/>
        <w:spacing w:lineRule="auto" w:line="240" w:before="0" w:after="12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And with a copy to: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Sills Cummis &amp; Gross P.C.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One Riverfront Plaza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Newark, NJ 07102</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before="0" w:after="0"/>
        <w:rPr/>
      </w:pPr>
      <w:r>
        <w:rPr/>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If to the Buyer: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RP Management, LLC</w:t>
      </w:r>
    </w:p>
    <w:p>
      <w:pPr>
        <w:pStyle w:val="TextBody"/>
        <w:spacing w:lineRule="auto" w:line="240" w:before="0" w:after="0"/>
        <w:rPr/>
      </w:pPr>
      <w:r>
        <w:rPr>
          <w:rFonts w:ascii="Times New Roman;sans-serif" w:hAnsi="Times New Roman;sans-serif"/>
          <w:b w:val="false"/>
          <w:color w:val="000000"/>
          <w:sz w:val="24"/>
        </w:rPr>
        <w:t>110 E. 59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Street, Suite 3300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New York, New York 10022</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Gibson, Dunn &amp; Crutcher LLP</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555 Mission Street</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San Francisco, CA 94105</w:t>
      </w:r>
      <w:r>
        <w:br w:type="page"/>
      </w:r>
    </w:p>
    <w:p>
      <w:pPr>
        <w:pStyle w:val="TextBody"/>
        <w:spacing w:before="0" w:after="0"/>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75260"/>
                <wp:effectExtent l="0" t="0" r="0" b="0"/>
                <wp:wrapNone/>
                <wp:docPr id="397" name="Frame3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All notices and communications under this Agreement shall be deemed to have been duly given (i) when delivered by hand, if personally delivered, (ii) when received by a recipient, if sent by email, with such receipt to be effective the date acknowledged by such recipient, or (iii) one Business Day following sending within the United States by overnight delivery via commercial one-day overnight courier service. </w:t>
      </w:r>
    </w:p>
    <w:p>
      <w:pPr>
        <w:pStyle w:val="TextBody"/>
        <w:spacing w:lineRule="auto" w:line="240" w:before="0" w:after="240"/>
        <w:ind w:left="0" w:right="0" w:firstLine="1440"/>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spacing w:lineRule="auto" w:line="240" w:before="0" w:after="240"/>
        <w:ind w:left="0" w:right="0" w:firstLine="1440"/>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The Seller shall not sell, assign or otherwise transfer all or any portion of its interest (including its rights or obligations) under this Agreement to any Person, including by contract, operation of law, merger, change of control, or otherwise, unless in connection therewith (i) such Person acquires all of the Seller’s interest in all of the Licensed Products, Licensed Patents, the License Agreement and this Agreement and (ii) prior to closing any such transaction, the Seller causes such Person to first enter into an assumption agreement with the Buyer in substantially the form attached hereto as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in which (x) if such Person is not Licensee, such Person assumes all of the obligations of the Seller to the Buyer under this Agreement, and (y) if such Person is Licensee, Licensee assumes all of the obligations of the Seller to the Buyer hereunder and agrees to pay the Purchased Royalty to the Buyer notwithstanding any subsequent termination of the License Agreement by Licensee. Notwithstanding the foregoing, the Seller may sell, assign or otherwise transfer its right to receive any or all of the Additional Purchase Price Payments under this Agreement to any Person without the written consent of the Buyer; provided that the Seller gives prompt written notice of such sale, assignment or transfer to the Buyer. Following the Closing, the Buyer may assign this Agreement, provided that (1) the Buyer promptly notifies the Seller of such assignment, (2) the Buyer shall not assign this Agreement to any biopharmaceutical company competitor of the Seller without the Seller’s prior written consent, and (3) no such assignment shall relieve the Buyer of its obligations under this Agreement to pay any Additional Purchase Price Payments when due. This Agreement shall be binding upon, inure to the benefit of and be enforceable by, the parties hereto and their respective permitted successors and assigns. Any purported assignment in violation of this Section 10.3 shall be null and void.</w:t>
      </w:r>
    </w:p>
    <w:p>
      <w:pPr>
        <w:pStyle w:val="TextBody"/>
        <w:spacing w:lineRule="auto" w:line="240" w:before="0" w:after="240"/>
        <w:ind w:left="0" w:right="0" w:firstLine="1440"/>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Amendment and Waiver</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may be amended, modified or supplemented only in a writing signed by each of the parties hereto. Any provision of this Agreement may be waived only in a writing signed by the parties hereto granting such waiver.</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spacing w:lineRule="auto" w:line="240" w:before="0" w:after="240"/>
        <w:ind w:left="0" w:right="0" w:firstLine="1440"/>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the Exhibits annexed hereto and the Disclosure Schedule constitute the entire understanding between the parties hereto with respect to the subject matter hereof and supersede all other understandings and negotiations with respect thereto. </w:t>
      </w:r>
      <w:r>
        <w:br w:type="page"/>
      </w:r>
    </w:p>
    <w:p>
      <w:pPr>
        <w:pStyle w:val="TextBody"/>
        <w:spacing w:before="0" w:after="0"/>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75260"/>
                <wp:effectExtent l="0" t="0" r="0" b="0"/>
                <wp:wrapNone/>
                <wp:docPr id="398" name="Frame3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pStyle w:val="TextBody"/>
        <w:spacing w:lineRule="auto" w:line="240" w:before="0" w:after="240"/>
        <w:ind w:left="0" w:right="0" w:firstLine="1440"/>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spacing w:lineRule="auto" w:line="240" w:before="0" w:after="240"/>
        <w:ind w:left="0" w:right="0" w:firstLine="1440"/>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JURISDICTION; VENUE</w:t>
      </w:r>
      <w:r>
        <w:rPr>
          <w:rFonts w:ascii="Times New Roman;sans-serif" w:hAnsi="Times New Roman;sans-serif"/>
          <w:b w:val="false"/>
          <w:color w:val="000000"/>
          <w:sz w:val="24"/>
        </w:rPr>
        <w:t xml:space="preserve">. </w:t>
      </w:r>
    </w:p>
    <w:p>
      <w:pPr>
        <w:pStyle w:val="TextBody"/>
        <w:spacing w:lineRule="auto" w:line="240" w:before="0" w:after="240"/>
        <w:ind w:left="0" w:right="0" w:firstLine="1440"/>
        <w:rPr/>
      </w:pPr>
      <w:r>
        <w:rPr>
          <w:rFonts w:ascii="Times New Roman;sans-serif" w:hAnsi="Times New Roman;sans-serif"/>
          <w:b w:val="false"/>
          <w:color w:val="010000"/>
          <w:sz w:val="24"/>
        </w:rPr>
        <w:t>(a)</w:t>
      </w:r>
      <w:r>
        <w:rPr>
          <w:rFonts w:ascii="Times New Roman;sans-serif" w:hAnsi="Times New Roman;sans-serif"/>
          <w:b w:val="false"/>
          <w:color w:val="000000"/>
          <w:sz w:val="24"/>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10.1 HEREOF.</w:t>
      </w:r>
    </w:p>
    <w:p>
      <w:pPr>
        <w:pStyle w:val="TextBody"/>
        <w:spacing w:lineRule="auto" w:line="240" w:before="0" w:after="240"/>
        <w:ind w:left="0" w:right="0" w:firstLine="1440"/>
        <w:rPr/>
      </w:pPr>
      <w:r>
        <w:rPr>
          <w:rFonts w:ascii="Times New Roman;sans-serif" w:hAnsi="Times New Roman;sans-serif"/>
          <w:b w:val="false"/>
          <w:color w:val="010000"/>
          <w:sz w:val="24"/>
        </w:rPr>
        <w:t>(b)</w:t>
      </w:r>
      <w:r>
        <w:rPr>
          <w:rFonts w:ascii="Times New Roman;sans-serif" w:hAnsi="Times New Roman;sans-serif"/>
          <w:b w:val="false"/>
          <w:color w:val="000000"/>
          <w:sz w:val="24"/>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SITTING IN NEW YORK COUNTY, NEW YORK, AND ANY APPELLATE COURT THEREOF. EACH OF THE BUYER AND THE SELLER HEREBY IRREVOCABLY WAIVES, TO THE FULLEST EXTENT PERMITTED BY APPLICABLE LAW, THE DEFENSE OF AN INCONVENIENT FORUM TO THE MAINTENANCE OF SUCH ACTION OR PROCEEDING IN ANY SUCH COURT.</w:t>
      </w:r>
    </w:p>
    <w:p>
      <w:pPr>
        <w:pStyle w:val="TextBody"/>
        <w:spacing w:lineRule="auto" w:line="240" w:before="0" w:after="240"/>
        <w:ind w:left="0" w:right="0" w:firstLine="1440"/>
        <w:rPr/>
      </w:pPr>
      <w:r>
        <w:rPr>
          <w:rFonts w:ascii="Times New Roman;sans-serif" w:hAnsi="Times New Roman;sans-serif"/>
          <w:b w:val="false"/>
          <w:color w:val="010000"/>
          <w:sz w:val="24"/>
        </w:rPr>
        <w:t>(c)</w:t>
      </w:r>
      <w:r>
        <w:rPr>
          <w:rFonts w:ascii="Times New Roman;sans-serif" w:hAnsi="Times New Roman;sans-serif"/>
          <w:b w:val="false"/>
          <w:color w:val="000000"/>
          <w:sz w:val="24"/>
        </w:rPr>
        <w:t>EACH PARTY HERETO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HERETO REPRESENTS THAT THIS WAIVER IS KNOWINGLY, WILLINGLY, AND VOLUNTARILY GIVEN.</w:t>
      </w:r>
      <w:r>
        <w:br w:type="page"/>
      </w:r>
    </w:p>
    <w:p>
      <w:pPr>
        <w:pStyle w:val="TextBody"/>
        <w:spacing w:before="0" w:after="0"/>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75260"/>
                <wp:effectExtent l="0" t="0" r="0" b="0"/>
                <wp:wrapNone/>
                <wp:docPr id="399" name="Frame3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 </w:t>
      </w:r>
    </w:p>
    <w:p>
      <w:pPr>
        <w:pStyle w:val="TextBody"/>
        <w:spacing w:lineRule="auto" w:line="240" w:before="0" w:after="240"/>
        <w:ind w:left="0" w:right="0" w:firstLine="1440"/>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Each of the parties hereto acknowledges and agrees that the other parties hereto may be damaged irreparably in the event any of the provisions of this Agreement are not performed in accordance with their specific terms or otherwise are breached or violated. Accordingly, notwithstanding Section 8.5, each of the parties hereto agrees that, without posting bond or other undertaking, the other parties hereto shall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hereto and the matter in addition to any other remedy to which it may be entitled, at law or in equity. Each party hereto further agrees that, in the event of any action for specific performance in respect of such breach or violation, it shall not assert the defense that a remedy at law would be adequate.</w:t>
      </w:r>
    </w:p>
    <w:p>
      <w:pPr>
        <w:pStyle w:val="TextBody"/>
        <w:spacing w:lineRule="auto" w:line="240" w:before="0" w:after="240"/>
        <w:ind w:left="0" w:right="0" w:firstLine="1440"/>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or other similar means of electronic transmission, including “PDF,” shall be considered original executed counterparts, provided receipt of such counterparts is confirmed.</w:t>
      </w:r>
    </w:p>
    <w:p>
      <w:pPr>
        <w:pStyle w:val="TextBody"/>
        <w:spacing w:lineRule="auto" w:line="240" w:before="0" w:after="240"/>
        <w:ind w:left="0" w:right="0" w:firstLine="1440"/>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Relationships of the Parties</w:t>
      </w:r>
      <w:r>
        <w:rPr>
          <w:rFonts w:ascii="Times New Roman;sans-serif" w:hAnsi="Times New Roman;sans-serif"/>
          <w:b w:val="false"/>
          <w:color w:val="000000"/>
          <w:sz w:val="24"/>
        </w:rPr>
        <w:t xml:space="preserve">. The relationship between the Buyer and the Seller is solely that of purchaser and seller, and neither the Buyer nor the Seller has any fiduciary or other special relationship with the other party hereto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 </w:t>
      </w:r>
    </w:p>
    <w:p>
      <w:pPr>
        <w:pStyle w:val="TextBody"/>
        <w:spacing w:lineRule="auto" w:line="240" w:before="0" w:after="240"/>
        <w:ind w:left="0" w:right="0" w:firstLine="1440"/>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Seller Parent Guarantee</w:t>
      </w:r>
      <w:r>
        <w:rPr>
          <w:rFonts w:ascii="Times New Roman;sans-serif" w:hAnsi="Times New Roman;sans-serif"/>
          <w:b w:val="false"/>
          <w:color w:val="000000"/>
          <w:sz w:val="24"/>
        </w:rPr>
        <w:t>. The Seller Parent hereby guarantees to the Buyer the full and timely performance of all of the obligations of the Seller under this Agreement (the “</w:t>
      </w:r>
      <w:r>
        <w:rPr>
          <w:rFonts w:ascii="Times New Roman;sans-serif" w:hAnsi="Times New Roman;sans-serif"/>
          <w:b w:val="false"/>
          <w:color w:val="000000"/>
          <w:sz w:val="24"/>
          <w:u w:val="single"/>
        </w:rPr>
        <w:t>Guaranteed Obligations</w:t>
      </w:r>
      <w:r>
        <w:rPr>
          <w:color w:val="000000"/>
        </w:rPr>
        <w:t>”</w:t>
      </w:r>
      <w:r>
        <w:rPr>
          <w:rFonts w:ascii="Times New Roman;sans-serif" w:hAnsi="Times New Roman;sans-serif"/>
          <w:b w:val="false"/>
          <w:color w:val="000000"/>
          <w:sz w:val="24"/>
        </w:rPr>
        <w:t xml:space="preserve">). This is a guarantee of performance, and not merely of collection, and the Seller Parent acknowledges and agrees that this guarantee is full and unconditional, and no amendment, modification, release or extinguishment of the Seller’s obligations or liabilities, whether by decree in any bankruptcy proceeding or otherwise, shall affect the continuing validity and enforceability of this guarantee. The Seller Parent hereby waives, for the benefit of the Buyer, (i) any right to require the Buyer, as a condition of performance by the Seller Parent, to proceed in any legal action against the Seller or pursue any other remedies whatsoever and (ii) to the fullest extent permitted by applicable law, any defenses or benefits that may be derived from or afforded by any law that limits the liability of or exonerates guarantors or sureties, other than defense of performance in full of the Guaranteed Obligations. The Seller Parent will reimburse the Buyer for all reasonable and documented out-of-pocket costs and expenses (including court costs and reasonable attorneys’ fees) incurred by the Buyer in connection with the enforcement of its rights under this Section 10.13. If all or any part of any payment to or for the benefit of the Buyer in respect of a Guaranteed Obligation is invalidated, declared to be fraudulent or preferential or set aside and, in each such case, required for any reason to be repaid or paid to a </w:t>
      </w:r>
      <w:r>
        <w:br w:type="page"/>
      </w:r>
    </w:p>
    <w:p>
      <w:pPr>
        <w:pStyle w:val="TextBody"/>
        <w:spacing w:before="0" w:after="0"/>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175260"/>
                <wp:effectExtent l="0" t="0" r="0" b="0"/>
                <wp:wrapNone/>
                <wp:docPr id="400" name="Frame3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trustee, receiver or other Person that is not the Buyer, the Guaranteed Obligations that otherwise would have been satisfied by that payment or partial payment will be revived and will continue in full force and effect as if that payment had not been made. The Seller Parent understands and acknowledges that the Buyer is relying on this guarantee and the representations and warranties of the Seller Parent in Article 4 in entering into this Agreement.</w:t>
      </w:r>
    </w:p>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175260"/>
                <wp:effectExtent l="0" t="0" r="0" b="0"/>
                <wp:wrapNone/>
                <wp:docPr id="401" name="Frame4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Royalty Purchase Agreement to be executed and delivered by their respective representatives thereunto duly authorized as of the date first above written.</w:t>
      </w:r>
    </w:p>
    <w:tbl>
      <w:tblPr>
        <w:tblW w:w="9000" w:type="dxa"/>
        <w:jc w:val="left"/>
        <w:tblInd w:w="0" w:type="dxa"/>
        <w:tblCellMar>
          <w:top w:w="28" w:type="dxa"/>
          <w:left w:w="28" w:type="dxa"/>
          <w:bottom w:w="28" w:type="dxa"/>
          <w:right w:w="28" w:type="dxa"/>
        </w:tblCellMar>
      </w:tblPr>
      <w:tblGrid>
        <w:gridCol w:w="866"/>
        <w:gridCol w:w="760"/>
        <w:gridCol w:w="760"/>
        <w:gridCol w:w="1920"/>
        <w:gridCol w:w="1920"/>
        <w:gridCol w:w="2774"/>
      </w:tblGrid>
      <w:tr>
        <w:trPr/>
        <w:tc>
          <w:tcPr>
            <w:tcW w:w="866"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31"/>
              <w:jc w:val="left"/>
              <w:rPr>
                <w:rFonts w:ascii="Times New Roman;sans-serif" w:hAnsi="Times New Roman;sans-serif"/>
                <w:b w:val="false"/>
                <w:color w:val="000000"/>
                <w:sz w:val="24"/>
              </w:rPr>
            </w:pPr>
            <w:r>
              <w:rPr>
                <w:rFonts w:ascii="Times New Roman;sans-serif" w:hAnsi="Times New Roman;sans-serif"/>
                <w:b w:val="false"/>
                <w:color w:val="000000"/>
                <w:sz w:val="24"/>
              </w:rPr>
              <w:t>PURETECH HEALTH LLC</w:t>
            </w:r>
          </w:p>
        </w:tc>
      </w:tr>
      <w:tr>
        <w:trPr/>
        <w:tc>
          <w:tcPr>
            <w:tcW w:w="90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Bharatt Chowrira</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PureTech Health</w:t>
            </w:r>
          </w:p>
        </w:tc>
      </w:tr>
      <w:tr>
        <w:trPr/>
        <w:tc>
          <w:tcPr>
            <w:tcW w:w="9000" w:type="dxa"/>
            <w:gridSpan w:val="6"/>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Solely for purposes of Article 4 and Section 10.13, PURETECH HEALTH PLC</w:t>
            </w:r>
          </w:p>
          <w:p>
            <w:pPr>
              <w:pStyle w:val="TableContents"/>
              <w:spacing w:before="0" w:after="0"/>
              <w:jc w:val="left"/>
              <w:rPr/>
            </w:pPr>
            <w:r>
              <w:rPr/>
            </w:r>
          </w:p>
          <w:p>
            <w:pPr>
              <w:pStyle w:val="TableContents"/>
              <w:spacing w:lineRule="auto" w:line="240" w:before="0" w:after="0"/>
              <w:jc w:val="left"/>
              <w:rPr>
                <w:color w:val="000000"/>
              </w:rPr>
            </w:pPr>
            <w:r>
              <w:rPr>
                <w:color w:val="000000"/>
              </w:rPr>
              <w:t>    </w:t>
            </w:r>
          </w:p>
          <w:p>
            <w:pPr>
              <w:pStyle w:val="TableContents"/>
              <w:spacing w:lineRule="auto" w:line="240" w:before="0" w:after="0"/>
              <w:jc w:val="left"/>
              <w:rPr>
                <w:color w:val="000000"/>
              </w:rPr>
            </w:pPr>
            <w:r>
              <w:rPr>
                <w:color w:val="000000"/>
              </w:rPr>
              <w:t>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/s/_Bharatt Chowrira __________________________</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 Bharatt Chowrira</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Title: President, PureTech Health</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ROYALTY PHARMA INVESTMENTS 2019 ICAV</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RP Management, LLC, its Manager and lawfully appointed attorney</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Arthur McGivern</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Arthur McGivern</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Investments &amp; General Counsel</w:t>
            </w:r>
          </w:p>
        </w:tc>
      </w:tr>
      <w:tr>
        <w:trPr/>
        <w:tc>
          <w:tcPr>
            <w:tcW w:w="2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16840"/>
                <wp:effectExtent l="0" t="0" r="0" b="0"/>
                <wp:wrapNone/>
                <wp:docPr id="402" name="Frame401"/>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THE ROYALTY PURCHASE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THE ROYALTY PURCHASE AGREEMENT]</w:t>
                      </w:r>
                    </w:p>
                  </w:txbxContent>
                </v:textbox>
              </v:rect>
            </w:pict>
          </mc:Fallback>
        </mc:AlternateContent>
      </w:r>
    </w:p>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4.38</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175260"/>
                <wp:effectExtent l="0" t="0" r="0" b="0"/>
                <wp:wrapNone/>
                <wp:docPr id="403" name="Frame4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BY THIS NOTE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pStyle w:val="TextBody"/>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NOTE IS SUBJECT TO THE TERMS OF A SUBORDINATION AGREEMENT DATED [●], 2023 BY AND AMONG THE COMPANY, THE HOLDERS OF THE NOTES (AS DEFINED BELOW), K2 HEALTHVENTURES LLC, AND ANKURA TRUST COMPANY, LLC.</w:t>
      </w:r>
    </w:p>
    <w:p>
      <w:pPr>
        <w:pStyle w:val="TextBody"/>
        <w:spacing w:lineRule="auto" w:line="240" w:before="0" w:after="1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SECURED SUBORDINATED CONVERTIBLE PROMISSORY NOTE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    [●], 2023</w:t>
      </w:r>
    </w:p>
    <w:p>
      <w:pPr>
        <w:pStyle w:val="TextBody"/>
        <w:spacing w:lineRule="auto" w:line="240" w:before="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Cambridge, MA</w:t>
      </w:r>
    </w:p>
    <w:p>
      <w:pPr>
        <w:pStyle w:val="TextBody"/>
        <w:spacing w:lineRule="auto" w:line="240" w:before="0" w:after="120"/>
        <w:rPr>
          <w:color w:val="000000"/>
        </w:rPr>
      </w:pPr>
      <w:r>
        <w:rPr>
          <w:color w:val="000000"/>
        </w:rPr>
        <w:t>    </w:t>
      </w:r>
    </w:p>
    <w:p>
      <w:pPr>
        <w:pStyle w:val="TextBody"/>
        <w:spacing w:lineRule="auto" w:line="240" w:before="0" w:after="120"/>
        <w:ind w:left="0" w:right="0" w:firstLine="720"/>
        <w:jc w:val="both"/>
        <w:rPr/>
      </w:pPr>
      <w:r>
        <w:rPr>
          <w:rFonts w:ascii="Times New Roman;sans-serif" w:hAnsi="Times New Roman;sans-serif"/>
          <w:b w:val="false"/>
          <w:color w:val="000000"/>
          <w:sz w:val="22"/>
        </w:rPr>
        <w:t>For value received, Vedanta Biosciences,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promises to pay to [●] (the “</w:t>
      </w:r>
      <w:r>
        <w:rPr>
          <w:rFonts w:ascii="Times New Roman;sans-serif" w:hAnsi="Times New Roman;sans-serif"/>
          <w:b/>
          <w:color w:val="000000"/>
          <w:sz w:val="22"/>
        </w:rPr>
        <w:t>Holder</w:t>
      </w:r>
      <w:r>
        <w:rPr>
          <w:color w:val="000000"/>
        </w:rPr>
        <w:t>”</w:t>
      </w:r>
      <w:r>
        <w:rPr>
          <w:rFonts w:ascii="Times New Roman;sans-serif" w:hAnsi="Times New Roman;sans-serif"/>
          <w:b w:val="false"/>
          <w:color w:val="000000"/>
          <w:sz w:val="22"/>
        </w:rPr>
        <w:t>), or its permitted assigns, in lawful money of the United States of America the principal sum of [●]. Interest shall accrue from the date of this Secured Convertible Promissory Note (this “</w:t>
      </w:r>
      <w:r>
        <w:rPr>
          <w:rFonts w:ascii="Times New Roman;sans-serif" w:hAnsi="Times New Roman;sans-serif"/>
          <w:b/>
          <w:color w:val="000000"/>
          <w:sz w:val="22"/>
        </w:rPr>
        <w:t>Note</w:t>
      </w:r>
      <w:r>
        <w:rPr>
          <w:color w:val="000000"/>
        </w:rPr>
        <w:t>”</w:t>
      </w:r>
      <w:r>
        <w:rPr>
          <w:rFonts w:ascii="Times New Roman;sans-serif" w:hAnsi="Times New Roman;sans-serif"/>
          <w:b w:val="false"/>
          <w:color w:val="000000"/>
          <w:sz w:val="22"/>
        </w:rPr>
        <w:t>) on the unpaid principal amount at a rate equal to nine percent (9.0%) based on a 365-day year, which interest shall accrue daily and compound annually. Any capitalized terms not defined herein shall have the meaning as set forth in the Purchase Agreement (as defined below). This Note is subject to the following terms and conditions:</w:t>
      </w:r>
    </w:p>
    <w:p>
      <w:pPr>
        <w:pStyle w:val="TextBody"/>
        <w:spacing w:lineRule="auto" w:line="240" w:before="0" w:after="120"/>
        <w:ind w:left="0" w:right="0" w:firstLine="72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Issuance of Notes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Note is one of a series of Secured Subordinated Convertible Promissory Notes (collectively, the “</w:t>
      </w:r>
      <w:r>
        <w:rPr>
          <w:rFonts w:ascii="Times New Roman;sans-serif" w:hAnsi="Times New Roman;sans-serif"/>
          <w:b/>
          <w:color w:val="000000"/>
          <w:sz w:val="22"/>
        </w:rPr>
        <w:t>Notes</w:t>
      </w:r>
      <w:r>
        <w:rPr>
          <w:color w:val="000000"/>
        </w:rPr>
        <w:t xml:space="preserve">” </w:t>
      </w:r>
      <w:r>
        <w:rPr>
          <w:rFonts w:ascii="Times New Roman;sans-serif" w:hAnsi="Times New Roman;sans-serif"/>
          <w:b w:val="false"/>
          <w:color w:val="000000"/>
          <w:sz w:val="22"/>
        </w:rPr>
        <w:t>and the holders of such Notes, the “</w:t>
      </w:r>
      <w:r>
        <w:rPr>
          <w:rFonts w:ascii="Times New Roman;sans-serif" w:hAnsi="Times New Roman;sans-serif"/>
          <w:b/>
          <w:color w:val="000000"/>
          <w:sz w:val="22"/>
        </w:rPr>
        <w:t>Holders</w:t>
      </w:r>
      <w:r>
        <w:rPr>
          <w:color w:val="000000"/>
        </w:rPr>
        <w:t>”</w:t>
      </w:r>
      <w:r>
        <w:rPr>
          <w:rFonts w:ascii="Times New Roman;sans-serif" w:hAnsi="Times New Roman;sans-serif"/>
          <w:b w:val="false"/>
          <w:color w:val="000000"/>
          <w:sz w:val="22"/>
        </w:rPr>
        <w:t>) being issued pursuant to that certain Secured Convertible Promissory Note Purchase Agreement, dated as of [●], 2023, by and among the Company, the Holder and certain other investors listed on Exhibit A thereto (as may be amended from time to time,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and is subject to, and the Holder and Company shall be bound by, all the terms, conditions and provisions of the Purchase Agreement. This Note is subordinated to certain other indebtedness of the Company on the terms set forth in that certain Subordination Agreement dated [__________], 2023, by and among the Holder, K2 HealthVentures LLC (“</w:t>
      </w:r>
      <w:r>
        <w:rPr>
          <w:rFonts w:ascii="Times New Roman;sans-serif" w:hAnsi="Times New Roman;sans-serif"/>
          <w:b/>
          <w:color w:val="000000"/>
          <w:sz w:val="22"/>
        </w:rPr>
        <w:t>K2</w:t>
      </w:r>
      <w:r>
        <w:rPr>
          <w:color w:val="000000"/>
        </w:rPr>
        <w:t>”</w:t>
      </w:r>
      <w:r>
        <w:rPr>
          <w:rFonts w:ascii="Times New Roman;sans-serif" w:hAnsi="Times New Roman;sans-serif"/>
          <w:b w:val="false"/>
          <w:color w:val="000000"/>
          <w:sz w:val="22"/>
        </w:rPr>
        <w:t>) as administrative agent, Ankura Trust Company, LLC as collateral trustee, and certain other parties (as amended from time to time, the “</w:t>
      </w:r>
      <w:r>
        <w:rPr>
          <w:rFonts w:ascii="Times New Roman;sans-serif" w:hAnsi="Times New Roman;sans-serif"/>
          <w:b/>
          <w:color w:val="000000"/>
          <w:sz w:val="22"/>
        </w:rPr>
        <w:t>Subordination Agreement</w:t>
      </w:r>
      <w:r>
        <w:rPr>
          <w:color w:val="000000"/>
        </w:rPr>
        <w:t>”</w:t>
      </w:r>
      <w:r>
        <w:rPr>
          <w:rFonts w:ascii="Times New Roman;sans-serif" w:hAnsi="Times New Roman;sans-serif"/>
          <w:b w:val="false"/>
          <w:color w:val="000000"/>
          <w:sz w:val="22"/>
        </w:rPr>
        <w:t xml:space="preserve">), if in effect and outstanding at the relevant time. </w:t>
      </w:r>
    </w:p>
    <w:p>
      <w:pPr>
        <w:pStyle w:val="TextBody"/>
        <w:spacing w:lineRule="auto" w:line="240" w:before="0" w:after="120"/>
        <w:ind w:left="0" w:right="0" w:firstLine="72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Repayment</w:t>
      </w:r>
      <w:r>
        <w:rPr>
          <w:rFonts w:ascii="Times New Roman;sans-serif" w:hAnsi="Times New Roman;sans-serif"/>
          <w:b w:val="false"/>
          <w:color w:val="000000"/>
          <w:sz w:val="22"/>
        </w:rPr>
        <w:t>. If this Note is not earlier converted or repaid, the entire then-outstanding and unpaid principal amount of this Note, together with any accrued but unpaid interest under this Note (the “</w:t>
      </w:r>
      <w:r>
        <w:rPr>
          <w:rFonts w:ascii="Times New Roman;sans-serif" w:hAnsi="Times New Roman;sans-serif"/>
          <w:b/>
          <w:color w:val="000000"/>
          <w:sz w:val="22"/>
        </w:rPr>
        <w:t>Outstanding Amount</w:t>
      </w:r>
      <w:r>
        <w:rPr>
          <w:color w:val="000000"/>
        </w:rPr>
        <w:t>”</w:t>
      </w:r>
      <w:r>
        <w:rPr>
          <w:rFonts w:ascii="Times New Roman;sans-serif" w:hAnsi="Times New Roman;sans-serif"/>
          <w:b w:val="false"/>
          <w:color w:val="000000"/>
          <w:sz w:val="22"/>
        </w:rPr>
        <w:t xml:space="preserve">), shall be due and payable upon the earliest to occur of (i) the later of (x) November 1, 2025 and (y) the date which is sixty (60) days after all amounts owed under or in connection with the K2 Loan Agreement </w:t>
      </w:r>
      <w:r>
        <w:rPr>
          <w:rFonts w:ascii="Times New Roman;sans-serif" w:hAnsi="Times New Roman;sans-serif"/>
          <w:b w:val="false"/>
          <w:color w:val="000000"/>
          <w:sz w:val="22"/>
          <w:highlight w:val="white"/>
        </w:rPr>
        <w:t xml:space="preserve">(if then in effect and outstanding) </w:t>
      </w:r>
      <w:r>
        <w:rPr>
          <w:rFonts w:ascii="Times New Roman;sans-serif" w:hAnsi="Times New Roman;sans-serif"/>
          <w:b w:val="false"/>
          <w:color w:val="000000"/>
          <w:sz w:val="22"/>
        </w:rPr>
        <w:t>have been paid in full (the “</w:t>
      </w:r>
      <w:r>
        <w:rPr>
          <w:rFonts w:ascii="Times New Roman;sans-serif" w:hAnsi="Times New Roman;sans-serif"/>
          <w:b/>
          <w:color w:val="000000"/>
          <w:sz w:val="22"/>
        </w:rPr>
        <w:t>Maturity Date</w:t>
      </w:r>
      <w:r>
        <w:rPr>
          <w:color w:val="000000"/>
        </w:rPr>
        <w:t>”</w:t>
      </w:r>
      <w:r>
        <w:rPr>
          <w:rFonts w:ascii="Times New Roman;sans-serif" w:hAnsi="Times New Roman;sans-serif"/>
          <w:b w:val="false"/>
          <w:color w:val="000000"/>
          <w:sz w:val="22"/>
        </w:rPr>
        <w:t>), (ii) the consummation of a Deemed Liquidation Event (as defined in the Company’s Amended and Restated Certificate of Incorporation in effect at the Initial Closing (the “</w:t>
      </w:r>
      <w:r>
        <w:rPr>
          <w:rFonts w:ascii="Times New Roman;sans-serif" w:hAnsi="Times New Roman;sans-serif"/>
          <w:b/>
          <w:color w:val="000000"/>
          <w:sz w:val="22"/>
        </w:rPr>
        <w:t>Current Certificate</w:t>
      </w:r>
      <w:r>
        <w:rPr>
          <w:color w:val="000000"/>
        </w:rPr>
        <w:t>”</w:t>
      </w:r>
      <w:r>
        <w:rPr>
          <w:rFonts w:ascii="Times New Roman;sans-serif" w:hAnsi="Times New Roman;sans-serif"/>
          <w:b w:val="false"/>
          <w:color w:val="000000"/>
          <w:sz w:val="22"/>
        </w:rPr>
        <w:t xml:space="preserve">)) to the extent the Outstanding Amount is not converted pursuant to </w:t>
      </w:r>
      <w:r>
        <w:rPr>
          <w:rFonts w:ascii="Times New Roman;sans-serif" w:hAnsi="Times New Roman;sans-serif"/>
          <w:b w:val="false"/>
          <w:color w:val="000000"/>
          <w:sz w:val="22"/>
          <w:u w:val="single"/>
        </w:rPr>
        <w:t>Section 4(c)</w:t>
      </w:r>
      <w:r>
        <w:rPr>
          <w:color w:val="000000"/>
        </w:rPr>
        <w:t xml:space="preserve"> </w:t>
      </w:r>
      <w:r>
        <w:rPr>
          <w:rFonts w:ascii="Times New Roman;sans-serif" w:hAnsi="Times New Roman;sans-serif"/>
          <w:b w:val="false"/>
          <w:color w:val="000000"/>
          <w:sz w:val="22"/>
        </w:rPr>
        <w:t xml:space="preserve">below and after all amounts owed under or in connection with the K2 Loan Agreement </w:t>
      </w:r>
      <w:r>
        <w:rPr>
          <w:rFonts w:ascii="Times New Roman;sans-serif" w:hAnsi="Times New Roman;sans-serif"/>
          <w:b w:val="false"/>
          <w:color w:val="000000"/>
          <w:sz w:val="22"/>
          <w:highlight w:val="white"/>
        </w:rPr>
        <w:t xml:space="preserve">(if then in effect and outstanding) </w:t>
      </w:r>
      <w:r>
        <w:rPr>
          <w:rFonts w:ascii="Times New Roman;sans-serif" w:hAnsi="Times New Roman;sans-serif"/>
          <w:b w:val="false"/>
          <w:color w:val="000000"/>
          <w:sz w:val="22"/>
        </w:rPr>
        <w:t xml:space="preserve">have been paid in full, or (iii) the occurrence of an Event of Default (as defined below), when such amounts are declared due and payable by the Holder in accordance with the terms hereof and in accordance with the terms of (and strictly to the extent permitted under) the Subordination Agreement </w:t>
      </w:r>
      <w:r>
        <w:rPr>
          <w:rFonts w:ascii="Times New Roman;sans-serif" w:hAnsi="Times New Roman;sans-serif"/>
          <w:b w:val="false"/>
          <w:color w:val="000000"/>
          <w:sz w:val="22"/>
          <w:highlight w:val="white"/>
        </w:rPr>
        <w:t>(if then in effect and outstanding)</w:t>
      </w:r>
      <w:r>
        <w:rPr>
          <w:rFonts w:ascii="Times New Roman;sans-serif" w:hAnsi="Times New Roman;sans-serif"/>
          <w:b w:val="false"/>
          <w:color w:val="000000"/>
          <w:sz w:val="22"/>
        </w:rPr>
        <w:t xml:space="preserve">. The Notes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with respect to each other Note, and all payments to each of the Holders under the Notes shall be made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among the Holders based upon the aggregate unpaid principal amount of the Notes outstanding immediately prior to any such payment. All payments shall be made in lawful money of the United States of America at such place as the Holder hereof may from time to time designate in writing to the Company. Subject to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below, interest shall accrue on this Note but shall not be due and payable until the Maturity Date. The Company shall have the right to prepay all or any portion of this Note only with the prior written consent of the Majority Holders, which must include the Lead Investor Majority.</w:t>
      </w:r>
    </w:p>
    <w:p>
      <w:pPr>
        <w:pStyle w:val="TextBody"/>
        <w:spacing w:lineRule="auto" w:line="240" w:before="0" w:after="120"/>
        <w:ind w:left="0" w:right="0" w:firstLine="72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Security</w:t>
      </w:r>
      <w:r>
        <w:rPr>
          <w:rFonts w:ascii="Times New Roman;sans-serif" w:hAnsi="Times New Roman;sans-serif"/>
          <w:b w:val="false"/>
          <w:color w:val="000000"/>
          <w:sz w:val="22"/>
        </w:rPr>
        <w:t xml:space="preserve">. The payment obligations of the Company arising under this Note are secured pursuant to the terms of (i) that certain Security Agreement dated as of [●], 2023 by and among the </w:t>
      </w:r>
      <w:r>
        <w:br w:type="page"/>
      </w:r>
    </w:p>
    <w:p>
      <w:pPr>
        <w:pStyle w:val="TextBody"/>
        <w:spacing w:before="0" w:after="0"/>
        <w:rPr/>
      </w:pPr>
      <w:r>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711835"/>
                <wp:effectExtent l="0" t="0" r="0" b="0"/>
                <wp:wrapNone/>
                <wp:docPr id="404" name="Frame403"/>
                <a:graphic xmlns:a="http://schemas.openxmlformats.org/drawingml/2006/main">
                  <a:graphicData uri="http://schemas.microsoft.com/office/word/2010/wordprocessingShape">
                    <wps:wsp>
                      <wps:cNvSpPr txBox="1"/>
                      <wps:spPr>
                        <a:xfrm>
                          <a:off x="0" y="0"/>
                          <a:ext cx="6480175" cy="711835"/>
                        </a:xfrm>
                        <a:prstGeom prst="rect"/>
                      </wps:spPr>
                      <wps:txbx>
                        <w:txbxContent>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120"/>
        <w:jc w:val="both"/>
        <w:rPr/>
      </w:pPr>
      <w:r>
        <w:rPr>
          <w:rFonts w:ascii="Times New Roman;sans-serif" w:hAnsi="Times New Roman;sans-serif"/>
          <w:b w:val="false"/>
          <w:color w:val="000000"/>
          <w:sz w:val="22"/>
        </w:rPr>
        <w:t>Company, the Collateral Agent (as defined therein) and the Purchasers (as defined therein) (as amended from time to time, the “</w:t>
      </w:r>
      <w:r>
        <w:rPr>
          <w:rFonts w:ascii="Times New Roman;sans-serif" w:hAnsi="Times New Roman;sans-serif"/>
          <w:b/>
          <w:color w:val="000000"/>
          <w:sz w:val="22"/>
        </w:rPr>
        <w:t>Security Agreement</w:t>
      </w:r>
      <w:r>
        <w:rPr>
          <w:color w:val="000000"/>
        </w:rPr>
        <w:t>”</w:t>
      </w:r>
      <w:r>
        <w:rPr>
          <w:rFonts w:ascii="Times New Roman;sans-serif" w:hAnsi="Times New Roman;sans-serif"/>
          <w:b w:val="false"/>
          <w:color w:val="000000"/>
          <w:sz w:val="22"/>
        </w:rPr>
        <w:t>) and (ii) that certain Intellectual Property Security Agreement dated as of [●], 2023 by and among the Company, the Collateral Agent (as defined therein) and the Purchasers (as defined therein) (as amended from time to time, the “</w:t>
      </w:r>
      <w:r>
        <w:rPr>
          <w:rFonts w:ascii="Times New Roman;sans-serif" w:hAnsi="Times New Roman;sans-serif"/>
          <w:b/>
          <w:color w:val="000000"/>
          <w:sz w:val="22"/>
        </w:rPr>
        <w:t>IP Security Agreement</w:t>
      </w:r>
      <w:r>
        <w:rPr>
          <w:color w:val="000000"/>
        </w:rPr>
        <w:t>”</w:t>
      </w:r>
      <w:r>
        <w:rPr>
          <w:rFonts w:ascii="Times New Roman;sans-serif" w:hAnsi="Times New Roman;sans-serif"/>
          <w:b w:val="false"/>
          <w:color w:val="000000"/>
          <w:sz w:val="22"/>
        </w:rPr>
        <w:t>). Reference hereby is made to the Security Agreement and the IP Security Agreement for a description of the nature and extent of the collateral serving as security for this Note and the rights of the Holder with respect to such security.</w:t>
      </w:r>
    </w:p>
    <w:p>
      <w:pPr>
        <w:pStyle w:val="TextBody"/>
        <w:spacing w:lineRule="auto" w:line="240" w:before="0" w:after="120"/>
        <w:ind w:left="0" w:right="0" w:firstLine="72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Conversion</w:t>
      </w:r>
      <w:r>
        <w:rPr>
          <w:rFonts w:ascii="Times New Roman;sans-serif" w:hAnsi="Times New Roman;sans-serif"/>
          <w:b/>
          <w:color w:val="000000"/>
          <w:sz w:val="22"/>
        </w:rPr>
        <w:t xml:space="preserve">. </w:t>
      </w:r>
    </w:p>
    <w:p>
      <w:pPr>
        <w:pStyle w:val="TextBody"/>
        <w:spacing w:lineRule="auto" w:line="240" w:before="0" w:after="120"/>
        <w:ind w:left="0" w:right="0" w:firstLine="144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Certain Definitions</w:t>
      </w:r>
      <w:r>
        <w:rPr>
          <w:rFonts w:ascii="Times New Roman;sans-serif" w:hAnsi="Times New Roman;sans-serif"/>
          <w:b w:val="false"/>
          <w:color w:val="000000"/>
          <w:sz w:val="22"/>
        </w:rPr>
        <w:t>.</w:t>
      </w:r>
    </w:p>
    <w:p>
      <w:pPr>
        <w:pStyle w:val="TextBody"/>
        <w:spacing w:lineRule="auto" w:line="240" w:before="0" w:after="240"/>
        <w:ind w:left="0" w:right="0" w:firstLine="216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color w:val="000000"/>
          <w:sz w:val="22"/>
        </w:rPr>
        <w:t>K2 Loan Agreement</w:t>
      </w:r>
      <w:r>
        <w:rPr>
          <w:color w:val="000000"/>
        </w:rPr>
        <w:t xml:space="preserve">” </w:t>
      </w:r>
      <w:r>
        <w:rPr>
          <w:rFonts w:ascii="Times New Roman;sans-serif" w:hAnsi="Times New Roman;sans-serif"/>
          <w:b w:val="false"/>
          <w:color w:val="000000"/>
          <w:sz w:val="22"/>
        </w:rPr>
        <w:t>means that certain Loan and Security Agreement, dated on or about [_______], 2023, by and between, among others, K2 HealthVentures LLC as administrative agent, the Lenders party from time to time party thereto and the Company (as amended, restated, amended and restated, extended, supplemented or otherwise modified from time to time).</w:t>
      </w:r>
    </w:p>
    <w:p>
      <w:pPr>
        <w:pStyle w:val="TextBody"/>
        <w:spacing w:lineRule="auto" w:line="240" w:before="0" w:after="120"/>
        <w:ind w:left="0" w:right="0" w:firstLine="2160"/>
        <w:jc w:val="both"/>
        <w:rPr/>
      </w:pPr>
      <w:r>
        <w:rPr>
          <w:rFonts w:ascii="Times New Roman;sans-serif" w:hAnsi="Times New Roman;sans-serif"/>
          <w:b w:val="false"/>
          <w:color w:val="000000"/>
          <w:sz w:val="22"/>
        </w:rPr>
        <w:t>(ii)</w:t>
      </w:r>
      <w:r>
        <w:rPr>
          <w:color w:val="000000"/>
        </w:rPr>
        <w:t>“</w:t>
      </w:r>
      <w:r>
        <w:rPr>
          <w:rFonts w:ascii="Times New Roman;sans-serif" w:hAnsi="Times New Roman;sans-serif"/>
          <w:b/>
          <w:color w:val="000000"/>
          <w:sz w:val="22"/>
        </w:rPr>
        <w:t>Outstanding Shares</w:t>
      </w:r>
      <w:r>
        <w:rPr>
          <w:color w:val="000000"/>
        </w:rPr>
        <w:t xml:space="preserve">” </w:t>
      </w:r>
      <w:r>
        <w:rPr>
          <w:rFonts w:ascii="Times New Roman;sans-serif" w:hAnsi="Times New Roman;sans-serif"/>
          <w:b w:val="false"/>
          <w:color w:val="000000"/>
          <w:sz w:val="22"/>
        </w:rPr>
        <w:t xml:space="preserve">means the number of shares of the capital stock of the Company deemed to be outstanding as of immediately prior to the applicable Transaction Closing on a fully-diluted, as-converted basis (specifically including all shares of issued and outstanding capital stock, all outstanding options and promised options, any shares reserved for issuance under the Company’s equity incentive plans, as well as any increase to such reserve to be effected in connection with such Transaction Closing and any subsequent closing thereof (whether such increases are effective prior to, in connection with or following the closing thereof) and all securities exercisable or exchangeable for or convertible into shares of the Company’s capital stock, including, but not limited to warrants, convertible notes and other convertible debt instruments, SAFEs and other convertible securities that have the right to convert into shares of the Company’s capital stock, but excluding the Notes. </w:t>
      </w:r>
    </w:p>
    <w:p>
      <w:pPr>
        <w:pStyle w:val="TextBody"/>
        <w:spacing w:lineRule="auto" w:line="240" w:before="0" w:after="120"/>
        <w:ind w:left="0" w:right="0" w:firstLine="2160"/>
        <w:jc w:val="both"/>
        <w:rPr/>
      </w:pPr>
      <w:r>
        <w:rPr>
          <w:rFonts w:ascii="Times New Roman;sans-serif" w:hAnsi="Times New Roman;sans-serif"/>
          <w:b w:val="false"/>
          <w:color w:val="000000"/>
          <w:sz w:val="22"/>
        </w:rPr>
        <w:t>(iii)</w:t>
      </w:r>
      <w:r>
        <w:rPr>
          <w:color w:val="000000"/>
        </w:rPr>
        <w:t>“</w:t>
      </w:r>
      <w:r>
        <w:rPr>
          <w:rFonts w:ascii="Times New Roman;sans-serif" w:hAnsi="Times New Roman;sans-serif"/>
          <w:b/>
          <w:color w:val="000000"/>
          <w:sz w:val="22"/>
        </w:rPr>
        <w:t>Qualified Equity Financing</w:t>
      </w:r>
      <w:r>
        <w:rPr>
          <w:color w:val="000000"/>
        </w:rPr>
        <w:t xml:space="preserve">” </w:t>
      </w:r>
      <w:r>
        <w:rPr>
          <w:rFonts w:ascii="Times New Roman;sans-serif" w:hAnsi="Times New Roman;sans-serif"/>
          <w:b w:val="false"/>
          <w:color w:val="000000"/>
          <w:sz w:val="22"/>
        </w:rPr>
        <w:t>means the first bona fide equity financing consummated after the Initial Closing in which the Company sells and issues shares of Preferred Stock resulting in aggregate gross proceeds actually received by the Company of at least $75,000,000 (excluding the Debt, other outstanding indebtedness for borrowed money and other convertible instruments (e.g. SAFEs or other similar instruments)) (the “</w:t>
      </w:r>
      <w:r>
        <w:rPr>
          <w:rFonts w:ascii="Times New Roman;sans-serif" w:hAnsi="Times New Roman;sans-serif"/>
          <w:b/>
          <w:color w:val="000000"/>
          <w:sz w:val="22"/>
        </w:rPr>
        <w:t>QEF Threshold Amount</w:t>
      </w:r>
      <w:r>
        <w:rPr>
          <w:color w:val="000000"/>
        </w:rPr>
        <w:t>”</w:t>
      </w:r>
      <w:r>
        <w:rPr>
          <w:rFonts w:ascii="Times New Roman;sans-serif" w:hAnsi="Times New Roman;sans-serif"/>
          <w:b w:val="false"/>
          <w:color w:val="000000"/>
          <w:sz w:val="22"/>
        </w:rPr>
        <w:t>) in a single transaction or series of related transactions.</w:t>
      </w:r>
    </w:p>
    <w:p>
      <w:pPr>
        <w:pStyle w:val="TextBody"/>
        <w:spacing w:lineRule="auto" w:line="240" w:before="0" w:after="120"/>
        <w:ind w:left="0" w:right="0" w:firstLine="2160"/>
        <w:jc w:val="both"/>
        <w:rPr/>
      </w:pPr>
      <w:r>
        <w:rPr>
          <w:rFonts w:ascii="Times New Roman;sans-serif" w:hAnsi="Times New Roman;sans-serif"/>
          <w:b w:val="false"/>
          <w:color w:val="000000"/>
          <w:sz w:val="22"/>
        </w:rPr>
        <w:t>(iv)</w:t>
      </w:r>
      <w:r>
        <w:rPr>
          <w:color w:val="000000"/>
        </w:rPr>
        <w:t>“</w:t>
      </w:r>
      <w:r>
        <w:rPr>
          <w:rFonts w:ascii="Times New Roman;sans-serif" w:hAnsi="Times New Roman;sans-serif"/>
          <w:b/>
          <w:color w:val="000000"/>
          <w:sz w:val="22"/>
        </w:rPr>
        <w:t>Transaction Closing</w:t>
      </w:r>
      <w:r>
        <w:rPr>
          <w:color w:val="000000"/>
        </w:rPr>
        <w:t xml:space="preserve">” </w:t>
      </w:r>
      <w:r>
        <w:rPr>
          <w:rFonts w:ascii="Times New Roman;sans-serif" w:hAnsi="Times New Roman;sans-serif"/>
          <w:b w:val="false"/>
          <w:color w:val="000000"/>
          <w:sz w:val="22"/>
        </w:rPr>
        <w:t>means, as applicable, (v) the closing of a Qualified Equity Financing</w:t>
      </w:r>
      <w:r>
        <w:rPr>
          <w:color w:val="000000"/>
          <w:highlight w:val="white"/>
        </w:rPr>
        <w:t xml:space="preserve"> </w:t>
      </w:r>
      <w:r>
        <w:rPr>
          <w:rFonts w:ascii="Times New Roman;sans-serif" w:hAnsi="Times New Roman;sans-serif"/>
          <w:b w:val="false"/>
          <w:color w:val="000000"/>
          <w:sz w:val="22"/>
          <w:highlight w:val="white"/>
        </w:rPr>
        <w:t>upon which the Company has actually received, in the aggregate at such closing and at all earlier closings of such financing, aggregate gross proceeds of such financing at least equal to the QEF Threshold Amount</w:t>
      </w:r>
      <w:r>
        <w:rPr>
          <w:rFonts w:ascii="Times New Roman;sans-serif" w:hAnsi="Times New Roman;sans-serif"/>
          <w:b w:val="false"/>
          <w:color w:val="000000"/>
          <w:sz w:val="22"/>
        </w:rPr>
        <w:t>, (w) the initial closing of an Optional Equity Financing, (x) immediately prior to the effectiveness of a Maturity Conversion (as defined below), (y) the closing of a transaction constituting a Sale Transaction, or (z) the closing of a Qualified Public Offering (as defined in the Current Certificate).</w:t>
      </w:r>
    </w:p>
    <w:p>
      <w:pPr>
        <w:pStyle w:val="TextBody"/>
        <w:spacing w:lineRule="auto" w:line="240" w:before="0" w:after="120"/>
        <w:ind w:left="0" w:right="0" w:firstLine="2160"/>
        <w:jc w:val="both"/>
        <w:rPr/>
      </w:pPr>
      <w:r>
        <w:rPr>
          <w:rFonts w:ascii="Times New Roman;sans-serif" w:hAnsi="Times New Roman;sans-serif"/>
          <w:b w:val="false"/>
          <w:color w:val="000000"/>
          <w:sz w:val="22"/>
        </w:rPr>
        <w:t>(v)</w:t>
      </w:r>
      <w:r>
        <w:rPr>
          <w:color w:val="000000"/>
        </w:rPr>
        <w:t>“</w:t>
      </w:r>
      <w:r>
        <w:rPr>
          <w:rFonts w:ascii="Times New Roman;sans-serif" w:hAnsi="Times New Roman;sans-serif"/>
          <w:b/>
          <w:color w:val="000000"/>
          <w:sz w:val="22"/>
        </w:rPr>
        <w:t>Valuation Cap Amount</w:t>
      </w:r>
      <w:r>
        <w:rPr>
          <w:color w:val="000000"/>
        </w:rPr>
        <w:t xml:space="preserve">” </w:t>
      </w:r>
      <w:r>
        <w:rPr>
          <w:rFonts w:ascii="Times New Roman;sans-serif" w:hAnsi="Times New Roman;sans-serif"/>
          <w:b w:val="false"/>
          <w:color w:val="000000"/>
          <w:sz w:val="22"/>
        </w:rPr>
        <w:t>means US $160,000,000.00.</w:t>
      </w:r>
    </w:p>
    <w:p>
      <w:pPr>
        <w:pStyle w:val="TextBody"/>
        <w:spacing w:lineRule="auto" w:line="240" w:before="0" w:after="120"/>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Automatic Conversion Upon a Qualified Financing</w:t>
      </w:r>
      <w:r>
        <w:rPr>
          <w:rFonts w:ascii="Times New Roman;sans-serif" w:hAnsi="Times New Roman;sans-serif"/>
          <w:b/>
          <w:color w:val="000000"/>
          <w:sz w:val="22"/>
        </w:rPr>
        <w:t xml:space="preserve">. </w:t>
      </w:r>
      <w:r>
        <w:rPr>
          <w:rFonts w:ascii="Times New Roman;sans-serif" w:hAnsi="Times New Roman;sans-serif"/>
          <w:b w:val="false"/>
          <w:color w:val="000000"/>
          <w:sz w:val="22"/>
        </w:rPr>
        <w:t>Immediately upon the initial closing of a Qualified Equity Financing, the Outstanding Amount shall automatically convert into shares of the Company’s Preferred Stock sold and issued in the Qualified Equity Financing to cash investors (the “</w:t>
      </w:r>
      <w:r>
        <w:rPr>
          <w:rFonts w:ascii="Times New Roman;sans-serif" w:hAnsi="Times New Roman;sans-serif"/>
          <w:b/>
          <w:color w:val="000000"/>
          <w:sz w:val="22"/>
        </w:rPr>
        <w:t>Equity Securities</w:t>
      </w:r>
      <w:r>
        <w:rPr>
          <w:color w:val="000000"/>
        </w:rPr>
        <w:t>”</w:t>
      </w:r>
      <w:r>
        <w:rPr>
          <w:rFonts w:ascii="Times New Roman;sans-serif" w:hAnsi="Times New Roman;sans-serif"/>
          <w:b w:val="false"/>
          <w:color w:val="000000"/>
          <w:sz w:val="22"/>
        </w:rPr>
        <w:t xml:space="preserve">) at a per share conversion equal to the lesser of (i) 80% of the lowest per share price paid for the Equity Securities by the other investors participating in the Qualified Equity Financing and (ii) an amount equal to (y) the Valuation Cap Amount divided by (z) the number of Outstanding Shares. The issuance of the Equity Securities upon conversion of this Note pursuant to this </w:t>
      </w:r>
      <w:r>
        <w:rPr>
          <w:rFonts w:ascii="Times New Roman;sans-serif" w:hAnsi="Times New Roman;sans-serif"/>
          <w:b w:val="false"/>
          <w:color w:val="000000"/>
          <w:sz w:val="22"/>
          <w:u w:val="single"/>
        </w:rPr>
        <w:t>Section 4(b)</w:t>
      </w:r>
      <w:r>
        <w:rPr>
          <w:color w:val="000000"/>
        </w:rPr>
        <w:t xml:space="preserve"> </w:t>
      </w:r>
      <w:r>
        <w:rPr>
          <w:rFonts w:ascii="Times New Roman;sans-serif" w:hAnsi="Times New Roman;sans-serif"/>
          <w:b w:val="false"/>
          <w:color w:val="000000"/>
          <w:sz w:val="22"/>
        </w:rPr>
        <w:t xml:space="preserve">shall otherwise be on the same terms and conditions provided to the cash investors purchasing Equity Securities in the Qualified Equity Financing. </w:t>
      </w:r>
    </w:p>
    <w:p>
      <w:pPr>
        <w:pStyle w:val="TextBody"/>
        <w:spacing w:lineRule="auto" w:line="240" w:before="0" w:after="120"/>
        <w:ind w:left="0" w:right="0" w:firstLine="144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Optional Conversion Upon Non-Qualified Equity Financing</w:t>
      </w:r>
      <w:r>
        <w:rPr>
          <w:rFonts w:ascii="Times New Roman;sans-serif" w:hAnsi="Times New Roman;sans-serif"/>
          <w:b w:val="false"/>
          <w:color w:val="000000"/>
          <w:sz w:val="22"/>
        </w:rPr>
        <w:t>. In the event that, prior to the repayment in full or conversion of this Note, the Company consummates an equity financing, which is not a Qualified Equity Financing (an “</w:t>
      </w:r>
      <w:r>
        <w:rPr>
          <w:rFonts w:ascii="Times New Roman;sans-serif" w:hAnsi="Times New Roman;sans-serif"/>
          <w:b/>
          <w:color w:val="000000"/>
          <w:sz w:val="22"/>
        </w:rPr>
        <w:t>Optional Equity Financing</w:t>
      </w:r>
      <w:r>
        <w:rPr>
          <w:color w:val="000000"/>
        </w:rPr>
        <w:t>”</w:t>
      </w:r>
      <w:r>
        <w:rPr>
          <w:rFonts w:ascii="Times New Roman;sans-serif" w:hAnsi="Times New Roman;sans-serif"/>
          <w:b w:val="false"/>
          <w:color w:val="000000"/>
          <w:sz w:val="22"/>
        </w:rPr>
        <w:t xml:space="preserve">), the entire outstanding Debt with respect to such Notes may, upon the written election of the Lead Investor Majority in connection therewith or anytime thereafter, be converted into shares of the Company’s capital stock sold and issued to cash investors in the Optional Equity Financing at a per share conversion price equal to the lesser of (i) 80% of the lowest per share price paid for the capital stock by the other investors </w:t>
      </w:r>
      <w:r>
        <w:br w:type="page"/>
      </w:r>
    </w:p>
    <w:p>
      <w:pPr>
        <w:pStyle w:val="TextBody"/>
        <w:spacing w:before="0" w:after="0"/>
        <w:rPr/>
      </w:pPr>
      <w:r>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864235"/>
                <wp:effectExtent l="0" t="0" r="0" b="0"/>
                <wp:wrapNone/>
                <wp:docPr id="405" name="Frame404"/>
                <a:graphic xmlns:a="http://schemas.openxmlformats.org/drawingml/2006/main">
                  <a:graphicData uri="http://schemas.microsoft.com/office/word/2010/wordprocessingShape">
                    <wps:wsp>
                      <wps:cNvSpPr txBox="1"/>
                      <wps:spPr>
                        <a:xfrm>
                          <a:off x="0" y="0"/>
                          <a:ext cx="6480175" cy="864235"/>
                        </a:xfrm>
                        <a:prstGeom prst="rect"/>
                      </wps:spPr>
                      <wps:txbx>
                        <w:txbxContent>
                          <w:p>
                            <w:pPr>
                              <w:pStyle w:val="TextBody"/>
                              <w:spacing w:lineRule="auto" w:line="208" w:before="0" w:after="0"/>
                              <w:rPr/>
                            </w:pPr>
                            <w:r>
                              <w:rPr>
                                <w:color w:val="000000"/>
                              </w:rPr>
                              <w:t>    </w:t>
                            </w:r>
                            <w:r>
                              <w:rPr>
                                <w:rFonts w:ascii="Times New Roman;sans-serif" w:hAnsi="Times New Roman;sans-serif"/>
                                <w:b w:val="false"/>
                                <w:color w:val="000000"/>
                                <w:sz w:val="22"/>
                              </w:rPr>
                              <w:t>-2-</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08" w:before="0" w:after="0"/>
                        <w:rPr/>
                      </w:pPr>
                      <w:r>
                        <w:rPr>
                          <w:color w:val="000000"/>
                        </w:rPr>
                        <w:t>    </w:t>
                      </w:r>
                      <w:r>
                        <w:rPr>
                          <w:rFonts w:ascii="Times New Roman;sans-serif" w:hAnsi="Times New Roman;sans-serif"/>
                          <w:b w:val="false"/>
                          <w:color w:val="000000"/>
                          <w:sz w:val="22"/>
                        </w:rPr>
                        <w:t>-2-</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120"/>
        <w:jc w:val="both"/>
        <w:rPr/>
      </w:pPr>
      <w:r>
        <w:rPr>
          <w:rFonts w:ascii="Times New Roman;sans-serif" w:hAnsi="Times New Roman;sans-serif"/>
          <w:b w:val="false"/>
          <w:color w:val="000000"/>
          <w:sz w:val="22"/>
        </w:rPr>
        <w:t xml:space="preserve">participating in the Optional Equity Financing and (ii) an amount equal to (y) the Valuation Cap Amount divided by (z) the number of Outstanding Shares. The issuance of the capital stock upon conversion of this Note pursuant to this </w:t>
      </w:r>
      <w:r>
        <w:rPr>
          <w:rFonts w:ascii="Times New Roman;sans-serif" w:hAnsi="Times New Roman;sans-serif"/>
          <w:b w:val="false"/>
          <w:color w:val="000000"/>
          <w:sz w:val="22"/>
          <w:u w:val="single"/>
        </w:rPr>
        <w:t>Section 4(c)</w:t>
      </w:r>
      <w:r>
        <w:rPr>
          <w:color w:val="000000"/>
        </w:rPr>
        <w:t xml:space="preserve"> </w:t>
      </w:r>
      <w:r>
        <w:rPr>
          <w:rFonts w:ascii="Times New Roman;sans-serif" w:hAnsi="Times New Roman;sans-serif"/>
          <w:b w:val="false"/>
          <w:color w:val="000000"/>
          <w:sz w:val="22"/>
        </w:rPr>
        <w:t xml:space="preserve">shall otherwise be on the same terms and conditions provided to the cash investors purchasing Equity Securities in the Qualified Equity Financing. </w:t>
      </w:r>
    </w:p>
    <w:p>
      <w:pPr>
        <w:pStyle w:val="TextBody"/>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Optional Conversion upon Deemed Liquidation Event</w:t>
      </w:r>
      <w:r>
        <w:rPr>
          <w:rFonts w:ascii="Times New Roman;sans-serif" w:hAnsi="Times New Roman;sans-serif"/>
          <w:b w:val="false"/>
          <w:color w:val="000000"/>
          <w:sz w:val="22"/>
        </w:rPr>
        <w:t>. If the Company consummates a Deemed Liquidation Event (as defined in the Current Certificate) or a similar change of control transaction (including a transaction or series of related transactions in which a Person, or a group of related Persons, acquires from stockholders of the Company shares representing more than fifty percent (50%) of the outstanding voting power of the Company) (collectively, a “</w:t>
      </w:r>
      <w:r>
        <w:rPr>
          <w:rFonts w:ascii="Times New Roman;sans-serif" w:hAnsi="Times New Roman;sans-serif"/>
          <w:b/>
          <w:color w:val="000000"/>
          <w:sz w:val="22"/>
        </w:rPr>
        <w:t>Sale Transaction</w:t>
      </w:r>
      <w:r>
        <w:rPr>
          <w:color w:val="000000"/>
        </w:rPr>
        <w:t>”</w:t>
      </w:r>
      <w:r>
        <w:rPr>
          <w:rFonts w:ascii="Times New Roman;sans-serif" w:hAnsi="Times New Roman;sans-serif"/>
          <w:b w:val="false"/>
          <w:color w:val="000000"/>
          <w:sz w:val="22"/>
        </w:rPr>
        <w:t xml:space="preserve">) at any time prior to the repayment or conversion of the entire Outstanding Amount, the Holder shall be entitled, in satisfaction of all amounts owed under the Note, to receive the greater of (i) payment equal to 1.5 times the Outstanding Amount as of immediately prior to the closing of such Sale Transaction, or (ii) such amount per share as would have been payable had the Outstanding Amount as of immediately prior to the closing of such Sale Transaction been converted into shares of Common Stock at a per share conversion price equal to (y) the Valuation Cap Amount divided by (z) the number of Outstanding Shares. </w:t>
      </w:r>
    </w:p>
    <w:p>
      <w:pPr>
        <w:pStyle w:val="TextBody"/>
        <w:spacing w:lineRule="auto" w:line="240" w:before="0" w:after="120"/>
        <w:ind w:left="0" w:right="0" w:firstLine="1354"/>
        <w:jc w:val="both"/>
        <w:rPr/>
      </w:pPr>
      <w:r>
        <w:rPr>
          <w:rFonts w:ascii="Times New Roman;sans-serif" w:hAnsi="Times New Roman;sans-serif"/>
          <w:b w:val="false"/>
          <w:color w:val="000000"/>
          <w:sz w:val="22"/>
        </w:rPr>
        <w:t>(e)</w:t>
      </w:r>
      <w:r>
        <w:rPr>
          <w:rFonts w:ascii="Times New Roman;sans-serif" w:hAnsi="Times New Roman;sans-serif"/>
          <w:b/>
          <w:color w:val="000000"/>
          <w:sz w:val="22"/>
          <w:highlight w:val="white"/>
          <w:u w:val="single"/>
        </w:rPr>
        <w:t>Maturity Conversion</w:t>
      </w:r>
      <w:r>
        <w:rPr>
          <w:rFonts w:ascii="Times New Roman;sans-serif" w:hAnsi="Times New Roman;sans-serif"/>
          <w:b w:val="false"/>
          <w:color w:val="000000"/>
          <w:sz w:val="22"/>
          <w:highlight w:val="white"/>
        </w:rPr>
        <w:t xml:space="preserve">. Upon the occurrence of an Event of Default or if the Note has not been converted or repaid prior to the Maturity Date, </w:t>
      </w:r>
      <w:r>
        <w:rPr>
          <w:rFonts w:ascii="Times New Roman;sans-serif" w:hAnsi="Times New Roman;sans-serif"/>
          <w:b w:val="false"/>
          <w:color w:val="000000"/>
          <w:sz w:val="22"/>
        </w:rPr>
        <w:t>the Holder shall be entitled, upon Holder’s election</w:t>
      </w:r>
      <w:r>
        <w:rPr>
          <w:rFonts w:ascii="Times New Roman;sans-serif" w:hAnsi="Times New Roman;sans-serif"/>
          <w:b w:val="false"/>
          <w:color w:val="000000"/>
          <w:sz w:val="22"/>
          <w:highlight w:val="white"/>
        </w:rPr>
        <w:t>, to convert the Outstanding Amount of this Note into shares of a newly created series of Preferred Stock at a per share conversion price equal to (i) the Valuation Cap Amount divided by (ii) the number of Outstanding Shares (a “</w:t>
      </w:r>
      <w:r>
        <w:rPr>
          <w:rFonts w:ascii="Times New Roman;sans-serif" w:hAnsi="Times New Roman;sans-serif"/>
          <w:b/>
          <w:color w:val="000000"/>
          <w:sz w:val="22"/>
          <w:highlight w:val="white"/>
        </w:rPr>
        <w:t>Maturity Conversion</w:t>
      </w:r>
      <w:r>
        <w:rPr>
          <w:color w:val="000000"/>
          <w:highlight w:val="white"/>
        </w:rPr>
        <w:t>”</w:t>
      </w:r>
      <w:r>
        <w:rPr>
          <w:rFonts w:ascii="Times New Roman;sans-serif" w:hAnsi="Times New Roman;sans-serif"/>
          <w:b w:val="false"/>
          <w:color w:val="000000"/>
          <w:sz w:val="22"/>
          <w:highlight w:val="white"/>
        </w:rPr>
        <w:t xml:space="preserve">). The shares of such newly created series of Preferred Stock issued pursuant to this </w:t>
      </w:r>
      <w:r>
        <w:rPr>
          <w:rFonts w:ascii="Times New Roman;sans-serif" w:hAnsi="Times New Roman;sans-serif"/>
          <w:b w:val="false"/>
          <w:color w:val="000000"/>
          <w:sz w:val="22"/>
          <w:highlight w:val="white"/>
          <w:u w:val="single"/>
        </w:rPr>
        <w:t>Section 4(e)</w:t>
      </w:r>
      <w:r>
        <w:rPr>
          <w:color w:val="000000"/>
          <w:highlight w:val="white"/>
        </w:rPr>
        <w:t xml:space="preserve"> </w:t>
      </w:r>
      <w:r>
        <w:rPr>
          <w:rFonts w:ascii="Times New Roman;sans-serif" w:hAnsi="Times New Roman;sans-serif"/>
          <w:b w:val="false"/>
          <w:color w:val="000000"/>
          <w:sz w:val="22"/>
          <w:highlight w:val="white"/>
        </w:rPr>
        <w:t xml:space="preserve">shall have terms which are substantially the same as the Company’s Series D Preferred Stock (or, if (x) the Company issues, in an Option Equity Financing, shares of a newly created series of Preferred Stock for aggregate gross cash proceeds of such Option Equity Financing actually received by the Company (excluding, for the avoidance of doubt, any proceeds from conversion of indebtedness) of not less than $25,000,000, (y) any of the Notes remain outstanding after such Option Equity Financing, and (z) such newly created series of Preferred Stock issued in connection with the Option Equity Financing ranks either senior to or </w:t>
      </w:r>
      <w:r>
        <w:rPr>
          <w:rFonts w:ascii="Times New Roman;sans-serif" w:hAnsi="Times New Roman;sans-serif"/>
          <w:b w:val="false"/>
          <w:i/>
          <w:color w:val="000000"/>
          <w:sz w:val="22"/>
          <w:highlight w:val="white"/>
        </w:rPr>
        <w:t>pari passu</w:t>
      </w:r>
      <w:r>
        <w:rPr>
          <w:color w:val="000000"/>
          <w:highlight w:val="white"/>
        </w:rPr>
        <w:t xml:space="preserve"> </w:t>
      </w:r>
      <w:r>
        <w:rPr>
          <w:rFonts w:ascii="Times New Roman;sans-serif" w:hAnsi="Times New Roman;sans-serif"/>
          <w:b w:val="false"/>
          <w:color w:val="000000"/>
          <w:sz w:val="22"/>
          <w:highlight w:val="white"/>
        </w:rPr>
        <w:t xml:space="preserve">with the rights, preferences and privileges of the Company’s Series D Preferred Stock, then the shares of the newly created series of Preferred Stock issued pursuant to this </w:t>
      </w:r>
      <w:r>
        <w:rPr>
          <w:rFonts w:ascii="Times New Roman;sans-serif" w:hAnsi="Times New Roman;sans-serif"/>
          <w:b w:val="false"/>
          <w:color w:val="000000"/>
          <w:sz w:val="22"/>
          <w:highlight w:val="white"/>
          <w:u w:val="single"/>
        </w:rPr>
        <w:t>Section 4(e)</w:t>
      </w:r>
      <w:r>
        <w:rPr>
          <w:color w:val="000000"/>
          <w:highlight w:val="white"/>
        </w:rPr>
        <w:t xml:space="preserve"> </w:t>
      </w:r>
      <w:r>
        <w:rPr>
          <w:rFonts w:ascii="Times New Roman;sans-serif" w:hAnsi="Times New Roman;sans-serif"/>
          <w:b w:val="false"/>
          <w:color w:val="000000"/>
          <w:sz w:val="22"/>
          <w:highlight w:val="white"/>
        </w:rPr>
        <w:t>shall have terms which are substantially the same as the newly created series of Preferred Stock issued in connection with the Option Equity Financing (the series of Preferred Stock issued pursuant to this Section 4(e) being referred to herein as the “</w:t>
      </w:r>
      <w:r>
        <w:rPr>
          <w:rFonts w:ascii="Times New Roman;sans-serif" w:hAnsi="Times New Roman;sans-serif"/>
          <w:b/>
          <w:color w:val="000000"/>
          <w:sz w:val="22"/>
          <w:highlight w:val="white"/>
        </w:rPr>
        <w:t>New Preferred Stock</w:t>
      </w:r>
      <w:r>
        <w:rPr>
          <w:color w:val="000000"/>
          <w:highlight w:val="white"/>
        </w:rPr>
        <w:t>”</w:t>
      </w:r>
      <w:r>
        <w:rPr>
          <w:rFonts w:ascii="Times New Roman;sans-serif" w:hAnsi="Times New Roman;sans-serif"/>
          <w:b w:val="false"/>
          <w:color w:val="000000"/>
          <w:sz w:val="22"/>
          <w:highlight w:val="white"/>
        </w:rPr>
        <w:t>)), except that (i) such shares shall be senior in all respects to the Series D Preferred Stock and all other Preferred Stock, (ii) such shares shall provide for customary terms and conditions with respect thereto (including reasonable provisions to protect its seniority), (iii) the holders of record of shares of the New Preferred Stock, exclusively and as a separate class, shall be entitled to elect seven (7) directors of the Company, (iv) the provisions of Section 3.3.5 of Article IV, Part B of the Current Certificate as amended and/or restated to reflect the authorization and issuance of the New Preferred Stock shall be modified to delete therefrom the words “or unless such debt security or other indebtedness for borrowed money has received the prior approval of the Board of Directors” and (v) in connection with the issuance of shares of New Preferred Stock upon a Maturity Conversion, the Investors’ Rights Agreement shall be amended by adding thereto a provision substantially similar to Section 5.5 of the National Venture Capital Association’s model form of Investors’ Rights Agreement (as then available at https://nvca.org/model-legal-documents/; the “</w:t>
      </w:r>
      <w:r>
        <w:rPr>
          <w:rFonts w:ascii="Times New Roman;sans-serif" w:hAnsi="Times New Roman;sans-serif"/>
          <w:b/>
          <w:color w:val="000000"/>
          <w:sz w:val="22"/>
          <w:highlight w:val="white"/>
        </w:rPr>
        <w:t>Model Form</w:t>
      </w:r>
      <w:r>
        <w:rPr>
          <w:color w:val="000000"/>
          <w:highlight w:val="white"/>
        </w:rPr>
        <w:t>”</w:t>
      </w:r>
      <w:r>
        <w:rPr>
          <w:rFonts w:ascii="Times New Roman;sans-serif" w:hAnsi="Times New Roman;sans-serif"/>
          <w:b w:val="false"/>
          <w:color w:val="000000"/>
          <w:sz w:val="22"/>
          <w:highlight w:val="white"/>
        </w:rPr>
        <w:t xml:space="preserve">) requiring approval of matters enumerated in such Section 5.5 of the Model Form by a “Requisite Preferred Director Vote”, with the term “Preferred Director” defined for that purpose as meaning any director of the Company elected by the holders of New Preferred Stock as set forth in clause (iii) of this </w:t>
      </w:r>
      <w:r>
        <w:rPr>
          <w:rFonts w:ascii="Times New Roman;sans-serif" w:hAnsi="Times New Roman;sans-serif"/>
          <w:b w:val="false"/>
          <w:color w:val="000000"/>
          <w:sz w:val="22"/>
          <w:highlight w:val="white"/>
          <w:u w:val="single"/>
        </w:rPr>
        <w:t>Section 4(e)</w:t>
      </w:r>
      <w:r>
        <w:rPr>
          <w:color w:val="000000"/>
          <w:highlight w:val="white"/>
        </w:rPr>
        <w:t xml:space="preserve"> </w:t>
      </w:r>
      <w:r>
        <w:rPr>
          <w:rFonts w:ascii="Times New Roman;sans-serif" w:hAnsi="Times New Roman;sans-serif"/>
          <w:b w:val="false"/>
          <w:color w:val="000000"/>
          <w:sz w:val="22"/>
          <w:highlight w:val="white"/>
        </w:rPr>
        <w:t>or designated to serve on the Board of Directors pursuant to clause 3.2(g), (h) or (i) of the Investors’ Rights Agreement, and with the term “Requisite Preferred Director Vote” defined for that purpose as meaning approval of the Board of Directors including the vote of a majority of the Preferred Directors then seated.</w:t>
      </w:r>
    </w:p>
    <w:p>
      <w:pPr>
        <w:pStyle w:val="TextBody"/>
        <w:spacing w:lineRule="auto" w:line="240" w:before="0" w:after="120"/>
        <w:ind w:left="0" w:right="0" w:firstLine="1354"/>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Conversion Upon Initial Public Offering</w:t>
      </w:r>
      <w:r>
        <w:rPr>
          <w:rFonts w:ascii="Times New Roman;sans-serif" w:hAnsi="Times New Roman;sans-serif"/>
          <w:b w:val="false"/>
          <w:color w:val="000000"/>
          <w:sz w:val="22"/>
        </w:rPr>
        <w:t>. If the Company consummates a Qualified Public Offering at any time prior to the repayment or conversion of the Outstanding Amount, the Outstanding Amount shall automatically convert into shares of Common Stock at a per share conversion price equal to the lesser of (i) 80% of the per share price at which shares of Common Stock are sold to the public in such Qualified Public Offering and (ii) (y) the Valuation Cap Amount divided by (z) the number of Outstanding Shares.</w:t>
      </w:r>
      <w:r>
        <w:br w:type="page"/>
      </w:r>
    </w:p>
    <w:p>
      <w:pPr>
        <w:pStyle w:val="TextBody"/>
        <w:spacing w:before="0" w:after="0"/>
        <w:rPr/>
      </w:pPr>
      <w:r>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864235"/>
                <wp:effectExtent l="0" t="0" r="0" b="0"/>
                <wp:wrapNone/>
                <wp:docPr id="406" name="Frame405"/>
                <a:graphic xmlns:a="http://schemas.openxmlformats.org/drawingml/2006/main">
                  <a:graphicData uri="http://schemas.microsoft.com/office/word/2010/wordprocessingShape">
                    <wps:wsp>
                      <wps:cNvSpPr txBox="1"/>
                      <wps:spPr>
                        <a:xfrm>
                          <a:off x="0" y="0"/>
                          <a:ext cx="6480175" cy="864235"/>
                        </a:xfrm>
                        <a:prstGeom prst="rect"/>
                      </wps:spPr>
                      <wps:txbx>
                        <w:txbxContent>
                          <w:p>
                            <w:pPr>
                              <w:pStyle w:val="TextBody"/>
                              <w:spacing w:lineRule="auto" w:line="208" w:before="0" w:after="0"/>
                              <w:rPr/>
                            </w:pPr>
                            <w:r>
                              <w:rPr>
                                <w:color w:val="000000"/>
                              </w:rPr>
                              <w:t>    </w:t>
                            </w:r>
                            <w:r>
                              <w:rPr>
                                <w:rFonts w:ascii="Times New Roman;sans-serif" w:hAnsi="Times New Roman;sans-serif"/>
                                <w:b w:val="false"/>
                                <w:color w:val="000000"/>
                                <w:sz w:val="22"/>
                              </w:rPr>
                              <w:t>-3-</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08" w:before="0" w:after="0"/>
                        <w:rPr/>
                      </w:pPr>
                      <w:r>
                        <w:rPr>
                          <w:color w:val="000000"/>
                        </w:rPr>
                        <w:t>    </w:t>
                      </w:r>
                      <w:r>
                        <w:rPr>
                          <w:rFonts w:ascii="Times New Roman;sans-serif" w:hAnsi="Times New Roman;sans-serif"/>
                          <w:b w:val="false"/>
                          <w:color w:val="000000"/>
                          <w:sz w:val="22"/>
                        </w:rPr>
                        <w:t>-3-</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120"/>
        <w:ind w:left="0" w:right="0" w:firstLine="1354"/>
        <w:jc w:val="both"/>
        <w:rPr/>
      </w:pPr>
      <w:r>
        <w:rPr>
          <w:rFonts w:ascii="Times New Roman;sans-serif" w:hAnsi="Times New Roman;sans-serif"/>
          <w:b w:val="false"/>
          <w:color w:val="000000"/>
          <w:sz w:val="22"/>
        </w:rPr>
        <w:t>(g)</w:t>
      </w:r>
      <w:r>
        <w:rPr>
          <w:rFonts w:ascii="Times New Roman;sans-serif" w:hAnsi="Times New Roman;sans-serif"/>
          <w:b/>
          <w:color w:val="000000"/>
          <w:sz w:val="22"/>
          <w:u w:val="single"/>
        </w:rPr>
        <w:t>Mechanics and Effect of Conversion</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No fractional shares of the Company’s capital stock will be issued upon conversion of this Note. Upon conversion of this Note pursuant to this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the Holder shall surrender this Note, duly endorsed, at the principal offices of the Company or any transfer agent of the Company. At its expense, the Company will, as soon as practicable thereafter, issue and deliver to the Holder, at such principal office, a certificate or certificates for the number of shares to which the Holder is entitled upon such conversion, together with any other securities and property to which the Holder is entitled upon such conversion under the terms of this Note. Upon conversion of this Note, the Company will be forever released from all of its obligations and liabilities under this Note with regard to that portion of the Outstanding Amount being converted including, without limitation, the obligation to pay such portion of the Outstanding Amount.</w:t>
      </w:r>
    </w:p>
    <w:p>
      <w:pPr>
        <w:pStyle w:val="TextBody"/>
        <w:spacing w:lineRule="auto" w:line="240" w:before="0" w:after="120"/>
        <w:ind w:left="0" w:right="0" w:firstLine="1354"/>
        <w:jc w:val="both"/>
        <w:rPr/>
      </w:pPr>
      <w:r>
        <w:rPr>
          <w:rFonts w:ascii="Times New Roman;sans-serif" w:hAnsi="Times New Roman;sans-serif"/>
          <w:b w:val="false"/>
          <w:color w:val="000000"/>
          <w:sz w:val="22"/>
        </w:rPr>
        <w:t>(h)</w:t>
      </w:r>
      <w:r>
        <w:rPr>
          <w:rFonts w:ascii="Times New Roman;sans-serif" w:hAnsi="Times New Roman;sans-serif"/>
          <w:b/>
          <w:color w:val="000000"/>
          <w:sz w:val="22"/>
          <w:u w:val="single"/>
        </w:rPr>
        <w:t>No Rights as Stockholder</w:t>
      </w:r>
      <w:r>
        <w:rPr>
          <w:rFonts w:ascii="Times New Roman;sans-serif" w:hAnsi="Times New Roman;sans-serif"/>
          <w:b w:val="false"/>
          <w:color w:val="000000"/>
          <w:sz w:val="22"/>
        </w:rPr>
        <w:t>. Without derogation from any of the provisions of the Investors’ Rights Agreement, this Note does not by itself entitle the Holder to any voting rights or other rights as a stockholder of the Company, and in the absence of conversion of this Note, no provisions of this Note, and no enumeration herein of the rights or privileges of the Holder shall cause the Holder to be a stockholder of the Company for any purpose.</w:t>
      </w:r>
    </w:p>
    <w:p>
      <w:pPr>
        <w:pStyle w:val="TextBody"/>
        <w:spacing w:lineRule="auto" w:line="240" w:before="0" w:after="120"/>
        <w:ind w:left="0" w:right="0" w:firstLine="72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Events of Default</w:t>
      </w:r>
      <w:r>
        <w:rPr>
          <w:rFonts w:ascii="Times New Roman;sans-serif" w:hAnsi="Times New Roman;sans-serif"/>
          <w:b w:val="false"/>
          <w:color w:val="000000"/>
          <w:sz w:val="22"/>
        </w:rPr>
        <w:t>. Promptly following the Company becoming aware of an occurrence of any Event of Default, the Company shall furnish to the Holder written notice of the occurrence thereof. The occurrence of any of the following shall constitute an “</w:t>
      </w:r>
      <w:r>
        <w:rPr>
          <w:rFonts w:ascii="Times New Roman;sans-serif" w:hAnsi="Times New Roman;sans-serif"/>
          <w:b/>
          <w:color w:val="000000"/>
          <w:sz w:val="22"/>
        </w:rPr>
        <w:t>Event of Default</w:t>
      </w:r>
      <w:r>
        <w:rPr>
          <w:color w:val="000000"/>
        </w:rPr>
        <w:t xml:space="preserve">” </w:t>
      </w:r>
      <w:r>
        <w:rPr>
          <w:rFonts w:ascii="Times New Roman;sans-serif" w:hAnsi="Times New Roman;sans-serif"/>
          <w:b w:val="false"/>
          <w:color w:val="000000"/>
          <w:sz w:val="22"/>
        </w:rPr>
        <w:t>under this Note:</w:t>
      </w:r>
    </w:p>
    <w:p>
      <w:pPr>
        <w:pStyle w:val="TextBody"/>
        <w:spacing w:lineRule="auto" w:line="240" w:before="0" w:after="120"/>
        <w:ind w:left="0" w:right="0" w:firstLine="1354"/>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shall fail to pay Holder in full the Outstanding Amount when due;</w:t>
      </w:r>
    </w:p>
    <w:p>
      <w:pPr>
        <w:pStyle w:val="TextBody"/>
        <w:spacing w:lineRule="auto" w:line="240" w:before="0" w:after="120"/>
        <w:ind w:left="0" w:right="0" w:firstLine="1354"/>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Company, or any of its subsidiaries, fails or neglects to perform, keep, or observe any other term, provision, condition, covenant or agreement contained in the Purchase Agreement, and as to any default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the Company be cured within such ten (10) day period, and such default is likely to be cured within a reasonable time, then the Company shall have an additional period (which shall not in any case exceed thirty (30) days) to attempt to cure such default, and within such reasonable time period the failure to cure the default shall not be deemed an Event of Default.</w:t>
      </w:r>
    </w:p>
    <w:p>
      <w:pPr>
        <w:pStyle w:val="TextBody"/>
        <w:spacing w:lineRule="auto" w:line="240" w:before="0" w:after="120"/>
        <w:ind w:left="0" w:right="0" w:firstLine="1354"/>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 Material Adverse Change occurs;</w:t>
      </w:r>
    </w:p>
    <w:p>
      <w:pPr>
        <w:pStyle w:val="TextBody"/>
        <w:spacing w:lineRule="auto" w:line="240" w:before="0" w:after="120"/>
        <w:ind w:left="0" w:right="0" w:firstLine="1354"/>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 the service of process seeking to attach, by trustee or similar process, any funds of the Company or any of its subsidiaries or of any entity under control of the Company or its subsidiaries on deposit with any bank or other institution at which the Company or any of its subsidiaries maintains Collateral, or (ii) a notice of lien, levy, or assessment is filed against the Company or any of its subsidiaries or their respective assets by any government agency, and the same under subclauses (i) and (ii) hereof are not, within ten (10) days after the occurrence thereof, discharged or stayed (whether through the posting of a bond or otherwise); </w:t>
      </w:r>
    </w:p>
    <w:p>
      <w:pPr>
        <w:pStyle w:val="TextBody"/>
        <w:spacing w:lineRule="auto" w:line="240" w:before="0" w:after="120"/>
        <w:ind w:left="0" w:right="0" w:firstLine="1354"/>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 any material portion of the Company’s or any of its subsidiaries’ assets is attached, seized, levied on, or comes into possession of a trustee or receiver, or (ii) any court order enjoins, restrains, or prevents the Company or any of its subsidiaries from conducting any part of its business;</w:t>
      </w:r>
    </w:p>
    <w:p>
      <w:pPr>
        <w:pStyle w:val="TextBody"/>
        <w:spacing w:lineRule="auto" w:line="240" w:before="0" w:after="120"/>
        <w:ind w:left="0" w:right="0" w:firstLine="1354"/>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 the Company or any of its subsidiaries is or becomes Insolvent; (ii) the Company or any of its subsidiaries begins an Insolvency Proceeding; or (iii) an Insolvency Proceeding is begun against the Company or any of its subsidiaries and not dismissed or stayed within forty-five (45) days;</w:t>
      </w:r>
    </w:p>
    <w:p>
      <w:pPr>
        <w:pStyle w:val="TextBody"/>
        <w:spacing w:lineRule="auto" w:line="240" w:before="0" w:after="120"/>
        <w:ind w:left="0" w:right="0" w:firstLine="1354"/>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there is a default in any agreement to which the Company or any of its subsidiaries is a party with a third party or parties resulting in a right by such third party or parties, whether or not exercised, to accelerate the maturity of any indebtedness in an amount in excess of Five Hundred Thousand Dollars ($500,000.00) or that could reasonably be expected to have a Material Adverse Change; </w:t>
      </w:r>
    </w:p>
    <w:p>
      <w:pPr>
        <w:pStyle w:val="TextBody"/>
        <w:spacing w:lineRule="auto" w:line="240" w:before="0" w:after="120"/>
        <w:ind w:left="0" w:right="0" w:firstLine="1354"/>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one or more judgments, orders, or decrees for the payment of money in an amount, individually or in the aggregate, of at least Five Hundred Thousand Dollars ($500,000.00) (not covered by independent third-party insurance as to which liability has been accepted by such insurance </w:t>
      </w:r>
      <w:r>
        <w:br w:type="page"/>
      </w:r>
    </w:p>
    <w:p>
      <w:pPr>
        <w:pStyle w:val="TextBody"/>
        <w:spacing w:before="0" w:after="0"/>
        <w:rPr/>
      </w:pPr>
      <w:r>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864235"/>
                <wp:effectExtent l="0" t="0" r="0" b="0"/>
                <wp:wrapNone/>
                <wp:docPr id="407" name="Frame406"/>
                <a:graphic xmlns:a="http://schemas.openxmlformats.org/drawingml/2006/main">
                  <a:graphicData uri="http://schemas.microsoft.com/office/word/2010/wordprocessingShape">
                    <wps:wsp>
                      <wps:cNvSpPr txBox="1"/>
                      <wps:spPr>
                        <a:xfrm>
                          <a:off x="0" y="0"/>
                          <a:ext cx="6480175" cy="864235"/>
                        </a:xfrm>
                        <a:prstGeom prst="rect"/>
                      </wps:spPr>
                      <wps:txbx>
                        <w:txbxContent>
                          <w:p>
                            <w:pPr>
                              <w:pStyle w:val="TextBody"/>
                              <w:spacing w:lineRule="auto" w:line="208" w:before="0" w:after="0"/>
                              <w:rPr/>
                            </w:pPr>
                            <w:r>
                              <w:rPr>
                                <w:color w:val="000000"/>
                              </w:rPr>
                              <w:t>    </w:t>
                            </w:r>
                            <w:r>
                              <w:rPr>
                                <w:rFonts w:ascii="Times New Roman;sans-serif" w:hAnsi="Times New Roman;sans-serif"/>
                                <w:b w:val="false"/>
                                <w:color w:val="000000"/>
                                <w:sz w:val="22"/>
                              </w:rPr>
                              <w:t>-4-</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08" w:before="0" w:after="0"/>
                        <w:rPr/>
                      </w:pPr>
                      <w:r>
                        <w:rPr>
                          <w:color w:val="000000"/>
                        </w:rPr>
                        <w:t>    </w:t>
                      </w:r>
                      <w:r>
                        <w:rPr>
                          <w:rFonts w:ascii="Times New Roman;sans-serif" w:hAnsi="Times New Roman;sans-serif"/>
                          <w:b w:val="false"/>
                          <w:color w:val="000000"/>
                          <w:sz w:val="22"/>
                        </w:rPr>
                        <w:t>-4-</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carrier) shall be rendered against the Company or any of its subsidiaries and shall remain unsatisfied, unvacated, or unstayed for a period of ten (10) days after the entry thereof;</w:t>
      </w:r>
    </w:p>
    <w:p>
      <w:pPr>
        <w:pStyle w:val="TextBody"/>
        <w:spacing w:lineRule="auto" w:line="240" w:before="0" w:after="120"/>
        <w:ind w:left="0" w:right="0" w:firstLine="1354"/>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Company’s representations or warranties contained in the Purchase Agreement shall prove to have been incorrect in any material respect when made; </w:t>
      </w:r>
    </w:p>
    <w:p>
      <w:pPr>
        <w:pStyle w:val="TextBody"/>
        <w:spacing w:lineRule="auto" w:line="240" w:before="0" w:after="120"/>
        <w:ind w:left="0" w:right="0" w:firstLine="1354"/>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a default or breach occurs under any agreement between the Company or any of its subsidiaries and any creditor of the Company or any of its subsidiaries that signed a subordination, intercreditor, or other similar agreement with Collateral Agent or the Holders, or any creditor that has signed such an agreement with Collateral Agent or the Holders breaches any terms of such agreement; </w:t>
      </w:r>
    </w:p>
    <w:p>
      <w:pPr>
        <w:pStyle w:val="TextBody"/>
        <w:spacing w:lineRule="auto" w:line="240" w:before="0" w:after="120"/>
        <w:ind w:left="0" w:right="0" w:firstLine="1354"/>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any Governmental Approval shall have been revoked, rescinded, suspended, modified in an adverse manner, or not renewed in the ordinary course for a full term and such revocation, rescission, suspension, modification or non-renewal has resulted in or could reasonably be expected to result in a Material Adverse Change;</w:t>
      </w:r>
    </w:p>
    <w:p>
      <w:pPr>
        <w:pStyle w:val="TextBody"/>
        <w:spacing w:lineRule="auto" w:line="240" w:before="0" w:after="120"/>
        <w:ind w:left="0" w:right="0" w:firstLine="1354"/>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any Lien (as defined in the Security Agreement) created hereunder or by the Transaction Agreements shall at any time fail to constitute a valid and perfected Lien on any of the Collateral purported to be secured thereby, subject to no prior or equal Lien, other than Permitted Liens (as defined in the Security Agreement) which are permitted to have priority in accordance with the terms of this Agreement; provided that such circumstance is not due to Collateral Agent’s failure to file an appropriate continuation financing statement, amendment financing statement or initial financing statement; or</w:t>
      </w:r>
    </w:p>
    <w:p>
      <w:pPr>
        <w:pStyle w:val="TextBody"/>
        <w:spacing w:lineRule="auto" w:line="240" w:before="0" w:after="120"/>
        <w:ind w:left="0" w:right="0" w:firstLine="1354"/>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after the initial public offering of any class of equity securities of the Company, the shares of such class of equity securities of the Company are delisted from the primary stock exchange on which they are traded because of failure to comply with continued listing standards thereof or due to a voluntary delisting, or for any other reason, which results in such shares not promptly being listed on any other nationally recognized stock exchange in the United States having listing standards at least as restrictive as the aforementioned primary stock exchange.</w:t>
      </w:r>
    </w:p>
    <w:p>
      <w:pPr>
        <w:pStyle w:val="TextBody"/>
        <w:spacing w:lineRule="auto" w:line="240" w:before="0" w:after="120"/>
        <w:ind w:left="0" w:right="0" w:firstLine="72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More Favorable Terms</w:t>
      </w:r>
      <w:r>
        <w:rPr>
          <w:rFonts w:ascii="Times New Roman;sans-serif" w:hAnsi="Times New Roman;sans-serif"/>
          <w:b w:val="false"/>
          <w:color w:val="000000"/>
          <w:sz w:val="22"/>
        </w:rPr>
        <w:t>. So long as any portion of the Outstanding Amount is unpaid and outstanding, if after the date hereof the Company issues a convertible promissory note(s) (each, a “</w:t>
      </w:r>
      <w:r>
        <w:rPr>
          <w:rFonts w:ascii="Times New Roman;sans-serif" w:hAnsi="Times New Roman;sans-serif"/>
          <w:b/>
          <w:color w:val="000000"/>
          <w:sz w:val="22"/>
        </w:rPr>
        <w:t>Future Note</w:t>
      </w:r>
      <w:r>
        <w:rPr>
          <w:color w:val="000000"/>
        </w:rPr>
        <w:t>”</w:t>
      </w:r>
      <w:r>
        <w:rPr>
          <w:rFonts w:ascii="Times New Roman;sans-serif" w:hAnsi="Times New Roman;sans-serif"/>
          <w:b w:val="false"/>
          <w:color w:val="000000"/>
          <w:sz w:val="22"/>
        </w:rPr>
        <w:t xml:space="preserve">) to any lender having terms and conditions regarding (a) the conversion of such Future Note or (b) the repayment of such Future Note in connection with a Deemed Liquidation Event or a Sale Transaction, that are, individually or in the aggregate, more favorable than the terms and conditions granted to the Holder hereunder, then this Note shall be deemed to immediately be amended as of the date of the first issuance of such Future Note to reflect substantially equivalent terms and conditions to the Holder hereunder. For purposes of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the determination regarding whether any such terms and conditions are more favorable than those granted hereunder shall be made by the Lead Investor Majority in their good faith judgment. Notwithstanding the foregoing, the rights to convert a portion of the outstanding principal amount pursuant to the K2 Loan Agreement shall not be deemed a Future Note for the purposes of this provision.</w:t>
      </w:r>
    </w:p>
    <w:p>
      <w:pPr>
        <w:pStyle w:val="TextBody"/>
        <w:spacing w:lineRule="auto" w:line="240" w:before="0" w:after="120"/>
        <w:ind w:left="0" w:right="0" w:firstLine="72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Transfer; Successors and Assigns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This Note and any rights hereunder may not be assigned, conveyed or transferred, in whole or in part, without the prior written consent of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assignment, conveyance or transfer to an Affiliate (as defined in the Investors’ Rights Agreement) of the Holder shall not be subject to such requirement for prior written consent. The terms and conditions of this Note shall inure to the benefit of and be binding upon the respective successors and permitted assigns of the parties. Subject to the preceding sentences,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Interest and principal are payable only to the registered holder of this Note. </w:t>
      </w:r>
    </w:p>
    <w:p>
      <w:pPr>
        <w:pStyle w:val="TextBody"/>
        <w:spacing w:lineRule="auto" w:line="240" w:before="0" w:after="120"/>
        <w:ind w:left="0" w:right="0" w:firstLine="72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w:t>
      </w:r>
      <w:r>
        <w:rPr>
          <w:rFonts w:ascii="Times New Roman;sans-serif" w:hAnsi="Times New Roman;sans-serif"/>
          <w:b w:val="false"/>
          <w:color w:val="000000"/>
          <w:sz w:val="22"/>
        </w:rPr>
        <w:t>This Note and all acts and transactions pursuant hereto and the rights and obligations of the parties hereto shall be governed, construed and interpreted in accordance with the laws of the State of Delaware, without giving effect to principles of conflicts of law.</w:t>
      </w:r>
    </w:p>
    <w:p>
      <w:pPr>
        <w:pStyle w:val="TextBody"/>
        <w:spacing w:lineRule="auto" w:line="240" w:before="0" w:after="120"/>
        <w:ind w:left="0" w:right="0" w:firstLine="72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Notices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All notices and other communications given or made pursuant to this Note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w:t>
      </w:r>
      <w:r>
        <w:br w:type="page"/>
      </w:r>
    </w:p>
    <w:p>
      <w:pPr>
        <w:pStyle w:val="TextBody"/>
        <w:spacing w:before="0" w:after="0"/>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864235"/>
                <wp:effectExtent l="0" t="0" r="0" b="0"/>
                <wp:wrapNone/>
                <wp:docPr id="408" name="Frame407"/>
                <a:graphic xmlns:a="http://schemas.openxmlformats.org/drawingml/2006/main">
                  <a:graphicData uri="http://schemas.microsoft.com/office/word/2010/wordprocessingShape">
                    <wps:wsp>
                      <wps:cNvSpPr txBox="1"/>
                      <wps:spPr>
                        <a:xfrm>
                          <a:off x="0" y="0"/>
                          <a:ext cx="6480175" cy="864235"/>
                        </a:xfrm>
                        <a:prstGeom prst="rect"/>
                      </wps:spPr>
                      <wps:txbx>
                        <w:txbxContent>
                          <w:p>
                            <w:pPr>
                              <w:pStyle w:val="TextBody"/>
                              <w:spacing w:lineRule="auto" w:line="208" w:before="0" w:after="0"/>
                              <w:rPr/>
                            </w:pPr>
                            <w:r>
                              <w:rPr>
                                <w:color w:val="000000"/>
                              </w:rPr>
                              <w:t>    </w:t>
                            </w:r>
                            <w:r>
                              <w:rPr>
                                <w:rFonts w:ascii="Times New Roman;sans-serif" w:hAnsi="Times New Roman;sans-serif"/>
                                <w:b w:val="false"/>
                                <w:color w:val="000000"/>
                                <w:sz w:val="22"/>
                              </w:rPr>
                              <w:t>-5-</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08" w:before="0" w:after="0"/>
                        <w:rPr/>
                      </w:pPr>
                      <w:r>
                        <w:rPr>
                          <w:color w:val="000000"/>
                        </w:rPr>
                        <w:t>    </w:t>
                      </w:r>
                      <w:r>
                        <w:rPr>
                          <w:rFonts w:ascii="Times New Roman;sans-serif" w:hAnsi="Times New Roman;sans-serif"/>
                          <w:b w:val="false"/>
                          <w:color w:val="000000"/>
                          <w:sz w:val="22"/>
                        </w:rPr>
                        <w:t>-5-</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120"/>
        <w:jc w:val="both"/>
        <w:rPr/>
      </w:pPr>
      <w:r>
        <w:rPr>
          <w:rFonts w:ascii="Times New Roman;sans-serif" w:hAnsi="Times New Roman;sans-serif"/>
          <w:b w:val="false"/>
          <w:color w:val="000000"/>
          <w:sz w:val="22"/>
        </w:rPr>
        <w:t xml:space="preserve">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(i) to the Company at its corporate headquarters, to the Holder at the address as set forth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to the Purchase Agreement, or to such e-mail address, facsimile number or address as subsequently modified by written notice given in accordance with this subsection.</w:t>
      </w:r>
    </w:p>
    <w:p>
      <w:pPr>
        <w:pStyle w:val="TextBody"/>
        <w:spacing w:lineRule="auto" w:line="240" w:before="0" w:after="120"/>
        <w:ind w:left="0" w:right="0" w:firstLine="72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Amendments and Waivers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Any term of this Note may be amended or waived only with the written consent of the Company and the Lead Investor Majority,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amendment of this Note does not impose any additional financial liability or funding obligations on the Holder, and (b) in the event that an amendment or waiver (i) adversely affects the obligations or rights of the Holder in a different manner than other Holders by its terms, without reference to the principal amount of this Note, or (ii) would reduce the amount of principal or accrued interest due on the Note (regardless of whether such amendment also applies to other Notes), then such amendment or waiver shall also require the written consent of the Holder. Any amendment or waiver effected in accordance with this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shall be binding upon the Company, the Holder and each transferee of this Note.</w:t>
      </w:r>
    </w:p>
    <w:p>
      <w:pPr>
        <w:pStyle w:val="TextBody"/>
        <w:spacing w:lineRule="auto" w:line="240" w:before="0" w:after="120"/>
        <w:ind w:left="0" w:right="0" w:firstLine="720"/>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Stockholders, Officers and Directors Not Liable</w:t>
      </w:r>
      <w:r>
        <w:rPr>
          <w:rFonts w:ascii="Times New Roman;sans-serif" w:hAnsi="Times New Roman;sans-serif"/>
          <w:b/>
          <w:color w:val="000000"/>
          <w:sz w:val="22"/>
        </w:rPr>
        <w:t xml:space="preserve">. </w:t>
      </w:r>
      <w:r>
        <w:rPr>
          <w:rFonts w:ascii="Times New Roman;sans-serif" w:hAnsi="Times New Roman;sans-serif"/>
          <w:b w:val="false"/>
          <w:color w:val="000000"/>
          <w:sz w:val="22"/>
        </w:rPr>
        <w:t>In no event shall any stockholder, officer or director of the Company be liable for any amounts due or payable pursuant to this Note.</w:t>
      </w:r>
    </w:p>
    <w:p>
      <w:pPr>
        <w:pStyle w:val="TextBody"/>
        <w:spacing w:lineRule="auto" w:line="240" w:before="0" w:after="120"/>
        <w:ind w:left="0" w:right="0" w:firstLine="720"/>
        <w:jc w:val="both"/>
        <w:rPr/>
      </w:pPr>
      <w:r>
        <w:rPr>
          <w:rFonts w:ascii="Times New Roman;sans-serif" w:hAnsi="Times New Roman;sans-serif"/>
          <w:b w:val="false"/>
          <w:color w:val="000000"/>
          <w:sz w:val="22"/>
        </w:rPr>
        <w:t>12.</w:t>
      </w:r>
      <w:r>
        <w:rPr>
          <w:rFonts w:ascii="Times New Roman;sans-serif" w:hAnsi="Times New Roman;sans-serif"/>
          <w:b/>
          <w:color w:val="000000"/>
          <w:sz w:val="22"/>
          <w:u w:val="single"/>
        </w:rPr>
        <w:t>Usury</w:t>
      </w:r>
      <w:r>
        <w:rPr>
          <w:rFonts w:ascii="Times New Roman;sans-serif" w:hAnsi="Times New Roman;sans-serif"/>
          <w:b w:val="false"/>
          <w:color w:val="000000"/>
          <w:sz w:val="22"/>
        </w:rPr>
        <w:t>. If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pStyle w:val="TextBody"/>
        <w:spacing w:lineRule="auto" w:line="240" w:before="0" w:after="120"/>
        <w:ind w:left="0" w:right="0" w:firstLine="720"/>
        <w:jc w:val="both"/>
        <w:rPr/>
      </w:pPr>
      <w:r>
        <w:rPr>
          <w:rFonts w:ascii="Times New Roman;sans-serif" w:hAnsi="Times New Roman;sans-serif"/>
          <w:b w:val="false"/>
          <w:color w:val="000000"/>
          <w:sz w:val="22"/>
        </w:rPr>
        <w:t>13.</w:t>
      </w:r>
      <w:r>
        <w:rPr>
          <w:rFonts w:ascii="Times New Roman;sans-serif" w:hAnsi="Times New Roman;sans-serif"/>
          <w:b/>
          <w:color w:val="000000"/>
          <w:sz w:val="22"/>
          <w:u w:val="single"/>
        </w:rPr>
        <w:t>Tax Matters</w:t>
      </w:r>
      <w:r>
        <w:rPr>
          <w:rFonts w:ascii="Times New Roman;sans-serif" w:hAnsi="Times New Roman;sans-serif"/>
          <w:b w:val="false"/>
          <w:color w:val="000000"/>
          <w:sz w:val="22"/>
        </w:rPr>
        <w:t>. All payments made by the Company shall be made free and clear of, and without any deduction or withholding of, any taxes, except as otherwise required by applicable law. Upon request, the Holder shall provide the Company with a properly executed IRS Form W-9 or IRS Form W-8 and supporting documentation (if any). In addition, the Company shall pay upon demand any stamp or other taxes, levies or charges of any jurisdiction with respect to the execution, delivery, registration, performance and enforcement of the Note. Upon request by the Collateral Agent, the Company shall furnish evidence reasonably satisfactory to the Collateral Agent that all requisite authorizations and approvals by, and notices to and filings with, governmental authorities and regulatory bodies have been obtained and made and that all requisite taxes, levies and charges have been paid.</w:t>
      </w:r>
    </w:p>
    <w:p>
      <w:pPr>
        <w:pStyle w:val="TextBody"/>
        <w:spacing w:lineRule="auto" w:line="240" w:before="0" w:after="120"/>
        <w:ind w:left="0" w:right="0" w:firstLine="720"/>
        <w:jc w:val="both"/>
        <w:rPr/>
      </w:pPr>
      <w:r>
        <w:rPr>
          <w:rFonts w:ascii="Times New Roman;sans-serif" w:hAnsi="Times New Roman;sans-serif"/>
          <w:b w:val="false"/>
          <w:color w:val="000000"/>
          <w:sz w:val="22"/>
        </w:rPr>
        <w:t>14.</w:t>
      </w:r>
      <w:r>
        <w:rPr>
          <w:rFonts w:ascii="Times New Roman;sans-serif" w:hAnsi="Times New Roman;sans-serif"/>
          <w:b/>
          <w:color w:val="000000"/>
          <w:sz w:val="22"/>
          <w:u w:val="single"/>
        </w:rPr>
        <w:t>Register</w:t>
      </w:r>
      <w:r>
        <w:rPr>
          <w:rFonts w:ascii="Times New Roman;sans-serif" w:hAnsi="Times New Roman;sans-serif"/>
          <w:b w:val="false"/>
          <w:color w:val="000000"/>
          <w:sz w:val="22"/>
        </w:rPr>
        <w:t>. The Company shall maintain at one of its offices a copy of each assignment and a register for the recordation of the name and address of, and the principal amounts (and stated interest) of the obligations owing to, each Holder from time to time (the “</w:t>
      </w:r>
      <w:r>
        <w:rPr>
          <w:rFonts w:ascii="Times New Roman;sans-serif" w:hAnsi="Times New Roman;sans-serif"/>
          <w:b/>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parties hereto shall treat each Person whose name is recorded in the Register as a Holder hereunder for all purposes of this Note. The Register shall be available for inspection by any Holder at any reasonable time and from time to time upon reasonable prior notice. The Register is intended to cause the Note to be in “registered form” within the meaning of Section 5f.103-1(c) of the United States Treasury Regulations and within the meaning of Sections 163(f), 871(h)(2) and 881(c)(2) of the Internal Revenue Code of 1986, as amended.</w:t>
      </w:r>
    </w:p>
    <w:p>
      <w:pPr>
        <w:pStyle w:val="TextBody"/>
        <w:spacing w:lineRule="auto" w:line="240" w:before="0" w:after="120"/>
        <w:jc w:val="center"/>
        <w:rPr/>
      </w:pP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864235"/>
                <wp:effectExtent l="0" t="0" r="0" b="0"/>
                <wp:wrapNone/>
                <wp:docPr id="409" name="Frame408"/>
                <a:graphic xmlns:a="http://schemas.openxmlformats.org/drawingml/2006/main">
                  <a:graphicData uri="http://schemas.microsoft.com/office/word/2010/wordprocessingShape">
                    <wps:wsp>
                      <wps:cNvSpPr txBox="1"/>
                      <wps:spPr>
                        <a:xfrm>
                          <a:off x="0" y="0"/>
                          <a:ext cx="6480175" cy="864235"/>
                        </a:xfrm>
                        <a:prstGeom prst="rect"/>
                      </wps:spPr>
                      <wps:txbx>
                        <w:txbxContent>
                          <w:p>
                            <w:pPr>
                              <w:pStyle w:val="TextBody"/>
                              <w:spacing w:lineRule="auto" w:line="208" w:before="0" w:after="0"/>
                              <w:rPr/>
                            </w:pPr>
                            <w:r>
                              <w:rPr>
                                <w:color w:val="000000"/>
                              </w:rPr>
                              <w:t>    </w:t>
                            </w:r>
                            <w:r>
                              <w:rPr>
                                <w:rFonts w:ascii="Times New Roman;sans-serif" w:hAnsi="Times New Roman;sans-serif"/>
                                <w:b w:val="false"/>
                                <w:color w:val="000000"/>
                                <w:sz w:val="22"/>
                              </w:rPr>
                              <w:t>-6-</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08" w:before="0" w:after="0"/>
                        <w:rPr/>
                      </w:pPr>
                      <w:r>
                        <w:rPr>
                          <w:color w:val="000000"/>
                        </w:rPr>
                        <w:t>    </w:t>
                      </w:r>
                      <w:r>
                        <w:rPr>
                          <w:rFonts w:ascii="Times New Roman;sans-serif" w:hAnsi="Times New Roman;sans-serif"/>
                          <w:b w:val="false"/>
                          <w:color w:val="000000"/>
                          <w:sz w:val="22"/>
                        </w:rPr>
                        <w:t>-6-</w:t>
                      </w:r>
                    </w:p>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caused this Secured Convertible Promissory Note to be issued as of the date first written above.</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COMPANY</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VEDANTA BIOSCIENCES, INC.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rPr>
        <w:br/>
        <w:t>Name: Bernat Olle</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AGREED AND ACCEPTED: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HOLDER:</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By:</w:t>
      </w:r>
      <w:r>
        <w:rPr>
          <w:color w:val="000000"/>
          <w:u w:val="single"/>
        </w:rPr>
        <w:t>    </w:t>
      </w:r>
    </w:p>
    <w:p>
      <w:pPr>
        <w:pStyle w:val="TextBody"/>
        <w:spacing w:lineRule="auto" w:line="240" w:before="0" w:after="0"/>
        <w:rPr/>
      </w:pPr>
      <w:r>
        <w:rPr>
          <w:rFonts w:ascii="Times New Roman;sans-serif" w:hAnsi="Times New Roman;sans-serif"/>
          <w:b w:val="false"/>
          <w:color w:val="000000"/>
          <w:sz w:val="22"/>
        </w:rPr>
        <w:t>Name:</w:t>
      </w:r>
      <w:r>
        <w:rPr>
          <w:color w:val="000000"/>
          <w:u w:val="single"/>
        </w:rPr>
        <w:t>    </w:t>
      </w:r>
    </w:p>
    <w:p>
      <w:pPr>
        <w:pStyle w:val="TextBody"/>
        <w:spacing w:lineRule="auto" w:line="240" w:before="0" w:after="0"/>
        <w:rPr/>
      </w:pPr>
      <w:r>
        <w:rPr>
          <w:rFonts w:ascii="Times New Roman;sans-serif" w:hAnsi="Times New Roman;sans-serif"/>
          <w:b w:val="false"/>
          <w:color w:val="000000"/>
          <w:sz w:val="22"/>
        </w:rPr>
        <w:t>Its:</w:t>
      </w:r>
      <w:r>
        <w:rPr>
          <w:color w:val="000000"/>
          <w:u w:val="single"/>
        </w:rPr>
        <w:t>    </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711835"/>
                <wp:effectExtent l="0" t="0" r="0" b="0"/>
                <wp:wrapNone/>
                <wp:docPr id="410" name="Frame409"/>
                <a:graphic xmlns:a="http://schemas.openxmlformats.org/drawingml/2006/main">
                  <a:graphicData uri="http://schemas.microsoft.com/office/word/2010/wordprocessingShape">
                    <wps:wsp>
                      <wps:cNvSpPr txBox="1"/>
                      <wps:spPr>
                        <a:xfrm>
                          <a:off x="0" y="0"/>
                          <a:ext cx="6480175" cy="711835"/>
                        </a:xfrm>
                        <a:prstGeom prst="rect"/>
                      </wps:spPr>
                      <wps:txbx>
                        <w:txbxContent>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1814" w:type="dxa"/>
                        <w:jc w:val="left"/>
                        <w:tblInd w:w="0" w:type="dxa"/>
                        <w:tblCellMar>
                          <w:top w:w="28" w:type="dxa"/>
                          <w:left w:w="28" w:type="dxa"/>
                          <w:bottom w:w="28" w:type="dxa"/>
                          <w:right w:w="28" w:type="dxa"/>
                        </w:tblCellMar>
                      </w:tblPr>
                      <w:tblGrid>
                        <w:gridCol w:w="580"/>
                        <w:gridCol w:w="509"/>
                        <w:gridCol w:w="725"/>
                      </w:tblGrid>
                      <w:tr>
                        <w:trPr/>
                        <w:tc>
                          <w:tcPr>
                            <w:tcW w:w="58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spacing w:before="0" w:after="0"/>
                              <w:rPr/>
                            </w:pPr>
                            <w:r>
                              <w:rPr/>
                            </w:r>
                          </w:p>
                        </w:tc>
                      </w:tr>
                    </w:tbl>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12.1</w:t>
      </w:r>
    </w:p>
    <w:p>
      <w:pPr>
        <w:pStyle w:val="TextBody"/>
        <w:spacing w:lineRule="auto" w:line="333" w:before="0" w:after="0"/>
        <w:rPr>
          <w:color w:val="000000"/>
        </w:rPr>
      </w:pPr>
      <w:r>
        <w:rPr>
          <w:color w:val="000000"/>
        </w:rPr>
        <w:t> </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by the Principal Executive Officer pursuant to</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 and 15d-14(a)</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I, Daphne Zohar, certify that:</w:t>
      </w:r>
    </w:p>
    <w:p>
      <w:pPr>
        <w:pStyle w:val="TextBody"/>
        <w:spacing w:lineRule="auto" w:line="333" w:before="0" w:after="0"/>
        <w:rPr>
          <w:color w:val="000000"/>
        </w:rPr>
      </w:pPr>
      <w:r>
        <w:rPr>
          <w:color w:val="000000"/>
        </w:rPr>
        <w:t> </w:t>
      </w:r>
    </w:p>
    <w:tbl>
      <w:tblPr>
        <w:tblW w:w="6341" w:type="dxa"/>
        <w:jc w:val="left"/>
        <w:tblInd w:w="0" w:type="dxa"/>
        <w:tblCellMar>
          <w:top w:w="28" w:type="dxa"/>
          <w:left w:w="28" w:type="dxa"/>
          <w:bottom w:w="28" w:type="dxa"/>
          <w:right w:w="28" w:type="dxa"/>
        </w:tblCellMar>
      </w:tblPr>
      <w:tblGrid>
        <w:gridCol w:w="124"/>
        <w:gridCol w:w="109"/>
        <w:gridCol w:w="109"/>
        <w:gridCol w:w="1755"/>
        <w:gridCol w:w="1755"/>
        <w:gridCol w:w="24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PureTech Health plc;</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pacing w:lineRule="auto" w:line="333" w:before="120" w:after="283"/>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33" w:before="120" w:after="283"/>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525780"/>
                <wp:effectExtent l="0" t="0" r="0" b="0"/>
                <wp:wrapNone/>
                <wp:docPr id="411" name="Frame41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spacing w:lineRule="auto" w:line="333" w:before="120" w:after="283"/>
        <w:rPr>
          <w:color w:val="000000"/>
        </w:rPr>
      </w:pPr>
      <w:r>
        <w:rPr>
          <w:color w:val="000000"/>
        </w:rPr>
        <w:t> </w:t>
      </w:r>
    </w:p>
    <w:tbl>
      <w:tblPr>
        <w:tblW w:w="3779" w:type="dxa"/>
        <w:jc w:val="left"/>
        <w:tblInd w:w="0" w:type="dxa"/>
        <w:tblCellMar>
          <w:top w:w="28" w:type="dxa"/>
          <w:left w:w="28" w:type="dxa"/>
          <w:bottom w:w="28" w:type="dxa"/>
          <w:right w:w="28" w:type="dxa"/>
        </w:tblCellMar>
      </w:tblPr>
      <w:tblGrid>
        <w:gridCol w:w="472"/>
        <w:gridCol w:w="416"/>
        <w:gridCol w:w="417"/>
        <w:gridCol w:w="724"/>
        <w:gridCol w:w="724"/>
        <w:gridCol w:w="1026"/>
      </w:tblGrid>
      <w:tr>
        <w:trPr/>
        <w:tc>
          <w:tcPr>
            <w:tcW w:w="47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Daphne Zohar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Daphne Zohar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120" w:after="283"/>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525780"/>
                <wp:effectExtent l="0" t="0" r="0" b="0"/>
                <wp:wrapNone/>
                <wp:docPr id="412" name="Frame41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12.2</w:t>
      </w:r>
    </w:p>
    <w:p>
      <w:pPr>
        <w:pStyle w:val="TextBody"/>
        <w:spacing w:lineRule="auto" w:line="333" w:before="0" w:after="0"/>
        <w:rPr>
          <w:color w:val="000000"/>
        </w:rPr>
      </w:pPr>
      <w:r>
        <w:rPr>
          <w:color w:val="000000"/>
        </w:rPr>
        <w:t> </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by the Principal Financial Officer pursuant to</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Securities Exchange Act Rules 13a-14(a) and 15d-14(a)</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 the Sarbanes-Oxley Act of 2002</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I, Bharatt Chowrira, certify that:</w:t>
      </w:r>
    </w:p>
    <w:p>
      <w:pPr>
        <w:pStyle w:val="TextBody"/>
        <w:spacing w:lineRule="auto" w:line="333" w:before="0" w:after="0"/>
        <w:rPr>
          <w:color w:val="000000"/>
        </w:rPr>
      </w:pPr>
      <w:r>
        <w:rPr>
          <w:color w:val="000000"/>
        </w:rPr>
        <w:t> </w:t>
      </w:r>
    </w:p>
    <w:tbl>
      <w:tblPr>
        <w:tblW w:w="6341" w:type="dxa"/>
        <w:jc w:val="left"/>
        <w:tblInd w:w="0" w:type="dxa"/>
        <w:tblCellMar>
          <w:top w:w="28" w:type="dxa"/>
          <w:left w:w="28" w:type="dxa"/>
          <w:bottom w:w="28" w:type="dxa"/>
          <w:right w:w="28" w:type="dxa"/>
        </w:tblCellMar>
      </w:tblPr>
      <w:tblGrid>
        <w:gridCol w:w="124"/>
        <w:gridCol w:w="109"/>
        <w:gridCol w:w="109"/>
        <w:gridCol w:w="1755"/>
        <w:gridCol w:w="1755"/>
        <w:gridCol w:w="24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PureTech Health plc;</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pacing w:lineRule="auto" w:line="333" w:before="120" w:after="283"/>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33" w:before="120" w:after="283"/>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525780"/>
                <wp:effectExtent l="0" t="0" r="0" b="0"/>
                <wp:wrapNone/>
                <wp:docPr id="413" name="Frame41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0"/>
        <w:gridCol w:w="2880"/>
        <w:gridCol w:w="410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10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spacing w:lineRule="auto" w:line="333" w:before="120" w:after="283"/>
        <w:rPr>
          <w:color w:val="000000"/>
        </w:rPr>
      </w:pPr>
      <w:r>
        <w:rPr>
          <w:color w:val="000000"/>
        </w:rPr>
        <w:t> </w:t>
      </w:r>
    </w:p>
    <w:tbl>
      <w:tblPr>
        <w:tblW w:w="6345" w:type="dxa"/>
        <w:jc w:val="left"/>
        <w:tblInd w:w="0" w:type="dxa"/>
        <w:tblCellMar>
          <w:top w:w="28" w:type="dxa"/>
          <w:left w:w="28" w:type="dxa"/>
          <w:bottom w:w="28" w:type="dxa"/>
          <w:right w:w="28" w:type="dxa"/>
        </w:tblCellMar>
      </w:tblPr>
      <w:tblGrid>
        <w:gridCol w:w="472"/>
        <w:gridCol w:w="416"/>
        <w:gridCol w:w="417"/>
        <w:gridCol w:w="1475"/>
        <w:gridCol w:w="1475"/>
        <w:gridCol w:w="2090"/>
      </w:tblGrid>
      <w:tr>
        <w:trPr/>
        <w:tc>
          <w:tcPr>
            <w:tcW w:w="47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Business, Finance and Operating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120" w:after="283"/>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525780"/>
                <wp:effectExtent l="0" t="0" r="0" b="0"/>
                <wp:wrapNone/>
                <wp:docPr id="414" name="Frame41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0"/>
        <w:jc w:val="right"/>
        <w:rPr/>
      </w:pPr>
      <w:r>
        <w:rPr>
          <w:rFonts w:ascii="Times New Roman;sans-serif" w:hAnsi="Times New Roman;sans-serif"/>
          <w:b/>
          <w:color w:val="000000"/>
          <w:sz w:val="20"/>
          <w:u w:val="single"/>
        </w:rPr>
        <w:t>Exhibit 13.1</w:t>
      </w:r>
      <w:r>
        <w:rPr>
          <w:color w:val="000000"/>
        </w:rPr>
        <w:t> </w:t>
      </w:r>
    </w:p>
    <w:p>
      <w:pPr>
        <w:pStyle w:val="TextBody"/>
        <w:spacing w:before="0" w:after="0"/>
        <w:jc w:val="right"/>
        <w:rPr/>
      </w:pPr>
      <w:r>
        <w:rPr/>
      </w:r>
    </w:p>
    <w:p>
      <w:pPr>
        <w:pStyle w:val="TextBody"/>
        <w:spacing w:before="0" w:after="0"/>
        <w:jc w:val="right"/>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18 U.S.C. SECTION 1350, AS ADOPTED PURSUANT TO SECTION 906 OF THE SARBANES-OXLEY ACT OF 2002</w:t>
      </w:r>
    </w:p>
    <w:p>
      <w:pPr>
        <w:pStyle w:val="TextBody"/>
        <w:spacing w:lineRule="auto" w:line="333" w:before="0" w:after="0"/>
        <w:rPr>
          <w:color w:val="000000"/>
        </w:rPr>
      </w:pPr>
      <w:r>
        <w:rPr>
          <w:color w:val="000000"/>
        </w:rPr>
        <w:t> </w:t>
      </w:r>
    </w:p>
    <w:p>
      <w:pPr>
        <w:pStyle w:val="TextBody"/>
        <w:spacing w:lineRule="auto" w:line="333" w:before="0" w:after="0"/>
        <w:ind w:left="0" w:right="0" w:firstLine="257"/>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20-F of PureTech Health plc (the “Company”) for the fiscal year ended December 31, 2022 (the “Report”), I, Daphne Zohar, Chief Executive Officer of the Company, hereby certify, pursuant to 18 U.S.C. Section 1350, as adopted pursuant to Section 906 of the Sarbanes-Oxley Act of 2002, that to the best of my knowledge:</w:t>
      </w:r>
    </w:p>
    <w:p>
      <w:pPr>
        <w:pStyle w:val="TextBody"/>
        <w:spacing w:lineRule="auto" w:line="333"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333" w:before="120" w:after="283"/>
        <w:rPr>
          <w:color w:val="000000"/>
        </w:rPr>
      </w:pPr>
      <w:r>
        <w:rPr>
          <w:color w:val="000000"/>
        </w:rPr>
        <w:t> </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before="0" w:after="0"/>
        <w:rPr/>
      </w:pPr>
      <w:r>
        <w:rPr/>
      </w:r>
    </w:p>
    <w:tbl>
      <w:tblPr>
        <w:tblW w:w="2816" w:type="dxa"/>
        <w:jc w:val="left"/>
        <w:tblInd w:w="0" w:type="dxa"/>
        <w:tblCellMar>
          <w:top w:w="28" w:type="dxa"/>
          <w:left w:w="28" w:type="dxa"/>
          <w:bottom w:w="28" w:type="dxa"/>
          <w:right w:w="28" w:type="dxa"/>
        </w:tblCellMar>
      </w:tblPr>
      <w:tblGrid>
        <w:gridCol w:w="124"/>
        <w:gridCol w:w="109"/>
        <w:gridCol w:w="109"/>
        <w:gridCol w:w="724"/>
        <w:gridCol w:w="724"/>
        <w:gridCol w:w="10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Daphne Zohar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Daphne Zohar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120" w:after="283"/>
        <w:rPr/>
      </w:pPr>
      <w:r>
        <w:rPr/>
      </w:r>
    </w:p>
    <w:p>
      <w:pPr>
        <w:pStyle w:val="TextBody"/>
        <w:spacing w:lineRule="auto" w:line="333" w:before="0" w:after="0"/>
        <w:rPr>
          <w:color w:val="000000"/>
        </w:rPr>
      </w:pPr>
      <w:r>
        <w:rPr>
          <w:color w:val="000000"/>
        </w:rPr>
        <w:t> </w:t>
      </w:r>
    </w:p>
    <w:p>
      <w:pPr>
        <w:pStyle w:val="TextBody"/>
        <w:spacing w:lineRule="auto" w:line="333"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lineRule="auto" w:line="333" w:before="0" w:after="0"/>
        <w:rPr>
          <w:color w:val="000000"/>
        </w:rPr>
      </w:pPr>
      <w:r>
        <w:rPr>
          <w:color w:val="000000"/>
        </w:rPr>
        <w:t> </w:t>
      </w:r>
    </w:p>
    <w:p>
      <w:pPr>
        <w:pStyle w:val="TextBody"/>
        <w:spacing w:lineRule="auto" w:line="333"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350520"/>
                <wp:effectExtent l="0" t="0" r="0" b="0"/>
                <wp:wrapNone/>
                <wp:docPr id="415" name="Frame41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13.2</w:t>
      </w:r>
    </w:p>
    <w:p>
      <w:pPr>
        <w:pStyle w:val="TextBody"/>
        <w:spacing w:lineRule="auto" w:line="333" w:before="0" w:after="0"/>
        <w:rPr>
          <w:color w:val="000000"/>
        </w:rPr>
      </w:pPr>
      <w:r>
        <w:rPr>
          <w:color w:val="000000"/>
        </w:rPr>
        <w: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18 U.S.C. SECTION 1350, AS ADOPTED PURSUANT TO SECTION 906 OF THE SARBANES-OXLEY ACT OF 2002</w:t>
      </w:r>
    </w:p>
    <w:p>
      <w:pPr>
        <w:pStyle w:val="TextBody"/>
        <w:spacing w:before="0" w:after="0"/>
        <w:rPr/>
      </w:pPr>
      <w:r>
        <w:rPr/>
      </w:r>
    </w:p>
    <w:p>
      <w:pPr>
        <w:pStyle w:val="TextBody"/>
        <w:spacing w:lineRule="auto" w:line="268" w:before="0" w:after="0"/>
        <w:ind w:left="0" w:right="0" w:firstLine="257"/>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20-F of PureTech Health plc (the “Company”) for the fiscal year ended December 31, 2022 (the “Report”), I, Bharatt Chowrira, President and Chief Business, Finance and Operating Officer of the Company, hereby certify, pursuant to 18 U.S.C. Section 1350, as adopted pursuant to Section 906 of the Sarbanes-Oxley Act of 2002, that to the best of my knowledge:</w:t>
      </w:r>
    </w:p>
    <w:p>
      <w:pPr>
        <w:pStyle w:val="TextBody"/>
        <w:spacing w:lineRule="auto" w:line="333"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p>
      <w:pPr>
        <w:pStyle w:val="TextBody"/>
        <w:spacing w:lineRule="auto" w:line="333" w:before="120" w:after="283"/>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333" w:before="120" w:after="283"/>
        <w:rPr>
          <w:color w:val="000000"/>
        </w:rPr>
      </w:pPr>
      <w:r>
        <w:rPr>
          <w:color w:val="000000"/>
        </w:rPr>
        <w:t> </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before="0" w:after="0"/>
        <w:rPr/>
      </w:pPr>
      <w:r>
        <w:rPr/>
      </w:r>
    </w:p>
    <w:tbl>
      <w:tblPr>
        <w:tblW w:w="5441" w:type="dxa"/>
        <w:jc w:val="left"/>
        <w:tblInd w:w="0" w:type="dxa"/>
        <w:tblCellMar>
          <w:top w:w="28" w:type="dxa"/>
          <w:left w:w="28" w:type="dxa"/>
          <w:bottom w:w="28" w:type="dxa"/>
          <w:right w:w="28" w:type="dxa"/>
        </w:tblCellMar>
      </w:tblPr>
      <w:tblGrid>
        <w:gridCol w:w="124"/>
        <w:gridCol w:w="109"/>
        <w:gridCol w:w="109"/>
        <w:gridCol w:w="1492"/>
        <w:gridCol w:w="1492"/>
        <w:gridCol w:w="211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33" w:before="53" w:after="283"/>
              <w:jc w:val="left"/>
              <w:rPr/>
            </w:pPr>
            <w:r>
              <w:rPr>
                <w:rFonts w:ascii="Times New Roman;sans-serif" w:hAnsi="Times New Roman;sans-serif"/>
                <w:b w:val="false"/>
                <w:color w:val="000000"/>
                <w:sz w:val="20"/>
              </w:rPr>
              <w:t>President and Chief Business, Finance and Operating Officer</w:t>
            </w:r>
            <w:r>
              <w:rPr>
                <w:color w:val="000000"/>
              </w:rPr>
              <w:t xml:space="preserve"> </w:t>
            </w:r>
          </w:p>
          <w:p>
            <w:pPr>
              <w:pStyle w:val="TableContents"/>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120" w:after="283"/>
        <w:rPr/>
      </w:pPr>
      <w:r>
        <w:rPr/>
      </w:r>
      <w:r>
        <w:br w:type="page"/>
      </w:r>
    </w:p>
    <w:p>
      <w:pPr>
        <w:pStyle w:val="TextBody"/>
        <w:spacing w:before="0" w:after="0"/>
        <w:jc w:val="center"/>
        <w:rPr/>
      </w:pPr>
      <w:bookmarkStart w:id="0" w:name="ex151puretecharadecember.htm"/>
      <w:bookmarkStart w:id="1" w:name="ksex151puretecharadecember"/>
      <w:bookmarkEnd w:id="0"/>
      <w:bookmarkEnd w:id="1"/>
      <w:r>
        <w:rPr/>
        <w:drawing>
          <wp:inline distT="0" distB="0" distL="0" distR="0">
            <wp:extent cx="9191625" cy="13001625"/>
            <wp:effectExtent l="0" t="0" r="0" b="0"/>
            <wp:docPr id="4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175260"/>
                <wp:effectExtent l="0" t="0" r="0" b="0"/>
                <wp:wrapNone/>
                <wp:docPr id="417" name="Frame4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center"/>
        <w:rPr>
          <w:color w:val="FFFFFF"/>
          <w:sz w:val="2"/>
        </w:rPr>
      </w:pPr>
      <w:r>
        <w:rPr>
          <w:color w:val="FFFFFF"/>
          <w:sz w:val="2"/>
        </w:rPr>
        <w:t xml:space="preserve">P U R E T E C H H E A L T H P L C – A N N U A L R E P O R T A N D A C C O U N T S 2 0 2 2 ptar_cover_art_2023_final.indd 1 27/03/2023 15:10 P ureTech H ealth p lc A nnual rep ort and acco unts 2022 Exhibit 15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Directors’ Report 78 Report of the Nomination Committee 82 Report of the Audit Committee 83 Directors’ Remuneration Report 86 Directors’ Remuneration Policy 90 Annual Report on Remuneration 95 Financial statements Independent Auditor’s Report to the Members of PureTech Health plc 103 Consolidated Statements of Comprehensive Income/(Loss) 112 Consolidated Statements of Financial Position 113 Consolidated Statements of Changes in Equity 114 Consolidated Statements of Cash Flows 115 Notes to the Consolidated Financial Statements 117 PureTech Health plc Statement of Financial Position 169 PureTech Health plc Statements of Cash Flows 170 PureTech Health plc Statements of Changes in Equity 171 Notes to the Financial Statements 172 Additional information History and Development of the Company 174 Risk Factor Annex 175 Directors, Secretary and Advisors to PureTech Health plc 212 Overview Highlights of the Year 1 Letter from the Chair 2 Strategic report Letter from the Chief Executive Officer 3 Components of Our Value 6 PureTech’s Wholly Owned Programs 8 PureTech’s Founded Entities 12 ESG report Our Approach to ESG and Sustainable Business 15 Governance Risk Management 44 Viability 48 Key Performance Indicators 49 Financial Review 50 Chair’s Overview 65 Board of Directors 66 Management Team 69 The Board 71 Relations with Stakeholders 76 Headquarters Boston, MA Nasdaq PRTC LSE PRTC PureTech Health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4"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 O ve rv ie w 1 Our Founded Entities are comprised of our Controlled Founded Entities and our Non-Controlled Founded Entities, all of which are incorporated in the United States. References in this report to our “Controlled Founded Entities” refer to Follica, Incorporated, and Entrega, Inc., for all periods prior to March 1, 2023, Vedanta Biosciences, Inc., for all periods prior to May 25, 2022, Sonde Health Inc., and for all periods prior to June 10, 2021, Alivio Therapeutics, Inc. References to our “Non-Controlled Founded Entities” refer to Akili Interactive Labs, Inc., Karuna Therapeutics, Inc., Vor Bio, Inc., Gelesis, Inc., for all periods following May 25, 2022, Sonde Health, Inc., for all periods following March 1, 2023, Vedanta Biosciences, Inc., and, for all periods prior to December 18, 2019, resTORbio, Inc. We formed each of our Founded Entities and have been involved in development efforts in varying degrees. In the case of our Controlled Founded Entities Follica, Incorporated and Entrega, Inc., we continue to maintain majority voting control. With respect to our Non-Controlled Founded Entities, we may benefit from appreciation in our minority equity investment as a shareholder of such companies. 2 References in this report to “Wholly Owned Programs” refer to the Company’s five therapeutic candidates (LYT-100, LYT-200, LYT-300, LYT-310, and LYT-503/IMB-150), Glyph platform and potential future therapeutic candidates and platforms that the Company may develop or obtain. References to “Wholly Owned Pipeline” refer to LYT-100, LYT-200, LYT-300, LYT-310, and LYT-503/IMB-150. On July 23, 2021, Imbrium Therapeutics exercised its option to license LYT-503/IMB-150 pursuant to which it is responsible for all future development activities and funding for LYT-503/IMB-150. 3 Industry average data measures the probability of clinical trial success of therapeutics by calculating the number of programs progressing to the next phase vs. the number progressing and suspended (Phase 1=52%, Phase 2=29%, Phase 3=58%). BIO, PharmaIntelligence, QLS (2021) Clinical Development Success Rates 2011 – 2020. This study did not include therapeutics regulated as devices. PureTech’s aggregate percentages include all therapeutic candidates advanced through at least Phase 1 by PureTech or its Founded Entities from 2009 onward, calculated by multiplying the individual phase percentages of the following, Phase 1 (n = 6/8; 75%), Phase 2 (n = 10/12; 83%), Phase 3 (n = 3/4; 75%), last updated on August 8, 2022; Phase 2 and Phase 3 percentages include some therapeutic candidates where Phase 1 trials were not conducted by PureTech or its Founded Entities (i) due to the requirements of the medical device regulatory pathway or (ii) because a prior Phase 1 trial was conducted by a third party, which Phase 1 trials were not included in this analysis. 4 PureTech level cash, cash equivalents and short-term investments is a non-IFRS measure. For more information in relation to the PureTech level cash, cash equivalents and short-term investments and Consolidated cash, cash equivalents and short-term investments measures used in this Annual Report, please see pages 51 to 52 of the Financial Review. For comparative periods from 2016 to 2019, balances included cash, cash equivalents and short-term investments and for 2020 and 2021 balances included cash and cash equivalents. 5 Funding figure includes private equity financings, loans and promissory notes, public offerings or grant awards. Funding figure excludes future milestone considerations received in conjunction with partnerships and collaborations. Funding figure does not include proceeds from Vedanta’s 2023 post-period financing. 6 Number represents figure for the relevant fiscal year only and is not cumulative. Highlights of the Year – 2022 Amount of Funding Secured for Founded Entities $1.28b5,6 $1.25b (98%) came from third parties PureTech Level Cash, Cash Equivalents and Short-term Investments as of Year End $339.5m4 Consolidated Cash, Cash Equivalents and Short-term Investments as of Year End $350.1m4 Includes cash held at the PureTech level and at Controlled Founded Entities (Follica, Entrega, and Vedanta) 2021: $731.9m 2020: $247.8m 2019: $666.8m 2018: $274.0m 2017: $102.9m 2021: $418.9m 2020: $349.4m 2019: $120.6m 2018: $177.7m 2017: $126.7m 2021: $465.7m 2020: $403.9m 2019: $162.4m 2018: $250.9m 2017: $188.7m Giving Life to Science PureTech Health plc (“PureTech Health”, “PureTech” or “the Company”) is a clinical-stage biotherapeutics company dedicated to giving life to new classes of medicine to change the lives of patients with devastating diseases. We have created a broad and deep pipeline through our experienced research and development team and our extensive network of scientists, clinicians and industry leaders that is being advanced both internally and through our Founded Entities.1 Our R&amp;D engine has resulted in the development of 27 therapeutics and therapeutic candidates, including two (Plenity® and EndeavorRx®) that have received both US FDA clearance and European marketing authorization and a third (KarXT) that is expected to be filed soon for FDA approval. A number of these programs are being advanced by PureTech or our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 The common theme underlying all of our programs has been to start with a serious patient need. In many cases, these programs are identified based on previous signals of human efficacy, which has enabled us to advance therapeutic candidates with substantially de-risked profiles and robust development rationales. Within our Wholly Owned Programs,2 the majority of our candidates are centered on enhancing on-target efficacy, enabling oral administration or improving tolerability to unlock new classes of medicine that have been held back by one of these issues. We do this by applying our unique insights or technology. Our track record of success is six times3 the industry average, which is due to our unique approach to R&amp;D and our seasoned management team. We are led by a team of proven industry leaders who have significant experience in discovering and developing important new medicines, delivering them to patients and maximizing shareholder value.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5"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PureTech Health plc Annual report and accounts 2022 O ve rv ie w Letter from the Chair Another remarkable aspect about PureTech is the team’s ability to be ahead of the times. One example is its potential impact on mental health through its Founded Entities Karuna (Nasdaq: KRTX), Akili (Nasdaq: AKLI) and Sonde, as well as a number of PureTech’s wholly-owned CNS programs enabled by its Glyph™ platform. As the greater industry has started to produce disease modifying therapies for chronic neurologic disorders, the importance of remote screening – and even remote early diagnosis – could provide a much less expensive and invasive way to identify and stratify those who may benefit from the treatments. PureTech also took a leading position in the role of the microbiome in medicine. Our Founded Entity Vedanta was formed on the idea of harnessing the power of the body’s ecosystem by using bacteria to make medicines to the same standards as traditional drugs. In a similar way, PureTech’s Wholly Owned Pipeline is rich with programs that could have a substantial impact on patients’ needs. LYT-100 (deupirfenidone) for idiopathic pulmonary fibrosis (IPF) and LYT-300 (oral allopregnanolone) for anxiety and postpartum depression are just two examples of unique innovations generated by PureTech that could address the significant drawbacks of standard of care treatments. I am proud to have worked so closely with such a talented and passionate team as I conclude my tenure as Board Chair. As PureTech embarks on a new phase of clinical expansion, I look forward to the multiple exciting milestones ahead in important areas of medical need. The groundbreaking business model and seasoned management team of PureTech remain standouts in the industry, and I believe this will steer the enterprise through continued success in 2023 and beyond. On behalf of the Board, I thank our shareholders for your continued support of our work to change the treatment paradigm for patients. Sincerely, Christopher Viehbacher Chair April 27, 2023 As a member of PureTech’s Board of Directors for nearly a decade, I have seen the Company grow as a biopharmaceutical pioneer, and 2022 was the most noteworthy year yet. We achieved multiple firsts as we advanced our goal of delivering new classes of medicines for patients with unmet need. I have been reflecting on how PureTech has grown and evolved. Its track record of clinical success is six times the industry average, and the Company has pioneered new classes of medicine that are positioned to impact the lives of millions of patients. What stands out to me is how our disciplined approach to development and financial management has created a focused, well-capitalized organization with a clear mission and differentiated value. I have consistently been impressed by how much PureTech achieves with very little resources, especially relative to many of its peers. The team takes swift action when they see a potential hurdle, and – while it is never easy to deprioritize a program – being decisive and following the data is what ultimately creates true value for patients and for shareholders. This team is a force, and I believe the discipline and focus demonstrated by its strong management team will continue to inspire employees to achieve great things. PureTech’s “do more with less” ethos is something our industry at large would do well to embrace. To me, it is this approach that makes PureTech an exemplar of impact investing and what can be accomplished in a capital-efficient manner. Given the current macro-economic conditions, this will only become more imperative for companies and the patients and shareholders they serve. PureTech’s model is unique in the industry and keeps the Company well-positioned to weather the current economic downturn. For example, the Company’s Founded Entities are a significant source of non-dilutive cash, and to date, over $780 million has been generated from the sales of Founded Entity equity and royalties to fund PureTech’s operations. PureTech also derives value from its Founded Entities in the form of royalties, milestone payments and sublicense revenues, which will similarly be invested back into the Wholly Owned Programs. This innovative strategy means the Company has not needed to dilute shareholders by tapping the equity market in over five years. “As a member of PureTech’s Board of Directors for nearly a decade, I have seen the Company grow as a biopharmaceutical pioneer, and 2022 was the most noteworthy year yet. We achieved multiple firsts as we advanced our goal of delivering new classes of medicines for patients with unmet need.” Christopher Viehbacher, Chair of the Board of Directors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6"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3 St ra te g ic r ep o rt Letter from the Chief Executive Officer This allows us to pivot resources towards the programs with the highest probability of success. Consistent with this strategy, we have decided to discontinue the Orasome technology platform and Meningeal lymphatics platform, as these research programs have not yielded promising candidates the way our Glyph™ technology platform has. Our Strategy: Unlocking new classes of medicine with proven efficacy A majority of our Wholly Owned Pipeline candidates are based on a strategy of leveraging validated efficacy to rapidly advance therapeutics with proven profiles. For decades, biopharma has devoted time and resources to discovering new modalities and drug candidates and proving they work in patients, but important new medicines have been abandoned after running into issues that seemed insurmountable at the time. At PureTech, we are applying new technologies and proprietary insights to bring these medicines – that weren’t otherwise able to reach their potential – to life by enhancing on-target efficacy, improving tolerability or enabling oral administration. We have a proven track record of success pursuing this approach as highlighted by the extraordinary clinical success of our Founded Entity, Karuna. In August 2022, Karuna announced that it expects to submit an NDA for KarXT in schizophrenia with the FDA in mid-2023. If approved by the FDA, Karuna’s KarXT will become the first truly novel therapy for schizophrenia in more than 50 years. KarXT was built from our recognition of both the promise and the limitations of a neuroactive compound, xanomeline. Xanomeline had demonstrated robust clinical efficacy, but it could not be advanced into later stage development due to its tolerability issues. At PureTech, we found an elegant way to overcome these limitations and enable its potential to meet the needs of the millions of people with schizophrenia. Additional details surrounding Karuna and the KarXT program can be found on page 12. 2022 was an exceptionally productive year that shaped the next phase of PureTech’s development and furthered our mission of giving life to new medicines for patients with devastating diseases. We continue to have one of the most productive track records in biopharma with a clinical trial success rate that is approximately six times better than the industry average.1 Across our Wholly Owned Pipeline and Founded Entities, we’ve developed the platforms and programs resulting in 27 therapeutics and therapeutic candidates. Two (Akili’s EndeavorRx® and Gelesis’ Plenity®) have gone from inception at PureTech through FDA and EU regulatory clearances, and a third (Karuna’s KarXT) is expected to be filed soon for FDA approval. Within our Wholly Owned Pipeline alone, we completed five clinical trials this year, and we expect at least five more important milestones/catalysts over the next 12 months. The key to our strong track record of advancing promising therapeutics lies in our proven innovation and drug development strategy. Our approach is underpinned by three key pillars. The first pillar is our network of collaborators which enables us to learn about advances before the rest of the world. Nearly 30 papers related to our programs have been published in major journals such as Science, Cell and Nature, and – thanks to the deep insights of our advisors – almost all were published after we in-licensed the technology or filed key patents. This brings us to the second pillar: our innovative technologies and approaches. We are experts in applying proprietary insights to medicines that have demonstrated efficacy but that have been held back from reaching their full potential by issues for which we now have innovative solutions, and I’ll detail this further in the next section. Our third pillar is centered on what we call “killer experiments” early in the development process. We believe in disciplined and rigorous R&amp;D, and we are quite decisive in rapidly shutting down programs that don’t reach our prespecified stringent thresholds for advancement. “2022 was an exceptionally productive year that shaped the next phase of PureTech’s development and furthered our mission of giving life to new medicines for patients with devastating diseases.” Daphne Zohar, Founder and Chief Executive Officer 1 Industry average data measures the probability of clinical trial success of therapeutics by calculating the number of programs progressing to the next phase vs. the number progressing and suspended (Phase 1=52%, Phase 2=29%, Phase 3=58%). BIO, PharmaIntelligence, QLS (2021) Clinical Development Success Rates 2011 – 2020. This study did not include therapeutics regulated as devices. PureTech’s aggregate percentages include all therapeutic candidates advanced through at least Phase 1 by PureTech or its Founded Entities from 2009 onward, calculated by multiplying the individual phase percentages of the following, Phase 1 (n = 6/8; 75%), Phase 2 (n = 10/12; 83%), Phase 3 (n = 3/4; 75%), last updated on August 8, 2022; Phase 2 and Phase 3 percentages include some therapeutic candidates where Phase 1 trials were not conducted by PureTech or its Founded Entities (i) due to the requirements of the medical device regulatory pathway or (ii) because a prior Phase 1 trial was conducted by a third party, which Phase 1 trials were not included in this analysis.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7"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PureTech Health plc Annual report and accounts 2022 St ra te g ic r ep o rt Another exemplar of our strategy, deuterated pirfenidone or LYT-100, has progressed into a global registration-enabling Phase 2b study for IPF, a rare, progressive and fatal lung disease where the median survival is two to five years.3 There are two FDA-approved treatments for IPF, but each of them causes significant side effects and is poorly tolerated, which means patients cannot fully benefit from the drugs because they are unable to stay on treatment long enough or at the right dose. One of these treatments, pirfenidone, has been shown to extend life by three years,3 but poor tolerability forces approximately 50% of patients to discontinue, dose adjust or switch treatment.4 Because of this, nearly three out of four patients in the US living with IPF forego treatment with these otherwise efficacious medicines.5 We hope to change this staggering statistic with LYT-100, and we have demonstrated an approximately 50% reduction in GI-related adverse events with LYT-100 in a head-to-head study compared to pirfenidone. We believe this profile may offer improved patient outcomes by both allowing patients to stay on treatment longer and potentially enabling LYT-100 to be dosed at higher exposure levels than the FDA- approved dose of pirfenidone. We look forward to sharing the results of our Phase 2b trial in 2024. Across our Wholly Owned Pipeline, we have generated compelling clinical data this year that supported the progression of our pipeline into more advanced studies. Over the next 12 months, we anticipate multiple important catalysts that will further guide how we prioritize our pipeline. These catalysts will help to inform our decisions regarding which programs we will drive to commercial launches ourselves and which programs could be most successfully advanced through other avenues such as a partnership (for example, LYT-503/IMB-150, which is being advanced by a partner), sale or spinout into another entity. We have also advanced several additional molecules into candidate selection, and we expect to announce progress towards the clinic with these new candidates in due course. Founded Entities Highlights: KarXT headed for FDA submission, commercial progress for EndeavorRx and Plenity, first AML data from Vor We often describe our Founded Entities as akin to partnered programs. Having launched the foundational technologies and programs on which these companies were formed and driven them through key points of validation, we have gained tremendous know-how across R&amp;D, regulatory and business development, and we now gain continual value through equity, royalties, sublicense revenue and/or milestone payments as the Founded Entities mature. It is due to the success of our unique model that we have been able to generate non-dilutive funding to support our innovation engine and have not needed to raise money from the capital markets in over five years. Our approach with KarXT extends to several of our other Founded Entities and our Wholly Owned Pipeline: we identify key unmet medical needs and relevant existing approaches with clearly defined opportunities and challenges, and we pursue the innovations that will unlock the greatest potential for the drug. We pursue rapid proof-of-concept through experiments that rigorously assess our hypotheses and then make the decisions that will maximize the value of our pipeline. Our Wholly Owned Pipeline candidates such as LYT-100, LYT-300 and LYT-310 exemplify this strategy. Wholly Owned Pipeline: Late-stage development in IPF and key proofs-of-principle In our busiest year in the clinic yet, we achieved several notable milestones. We completed five clinical studies including demonstrating compelling safety and tolerability data for LYT-100 (deupirfenidone) and proof-of-principle, oral bioavailability and tolerability for LYT-300 (oral allopregnanolone). We also achieved robust dose escalation with a strong safety profile from the monotherapy portion of our Phase 1 study LYT-200 (anti-galectin 9 mAb) in metastatic solid tumors. LYT-200 has now advanced into combination cohorts for urothelial and head and neck cancers, as well as a second trial as a monotherapy in patients with acute myeloid leukemia (AML). All of these results were important proof points for each candidate. Notably, the results of our LYT-300 study were a significant first clinical validation for our Glyph™ technology platform, which has yielded two candidates to date (LYT-300 and LYT-310) and has great potential utility for a range of other compounds with proven efficacy but previously challenging oral bioavailability, safety and tolerability profiles. LYT-300 is another example of how we take an existing, efficacious therapy, held back by factors that limit its commercial use, and apply novel approaches to address those limitations. With this candidate, we designed an oral treatment that preserves the natural structure of allopregnanolone. . Allopregnanolone is FDA-approved as a 60-hour intravenous infusion to treat postpartum depression but faces challenges due to the method of administration. We applied our Glyph technology to create an oral prodrug of allopregnanolone (LYT-300), and we have achieved oral bioavailability in humans that is ninefold greater than what third parties have published with orally administered allopregnanolone.2 LYT-300 has also demonstrated engagement of GABAA receptors, which are known to regulate mood and other neurological conditions. We believe offering the proven mechanism of natural allopregnanolone via the innovative orally-administered approach of LYT-300 represents an advancement that could have a truly meaningful impact for patients. LYT-300 may also unlock the class of medicines targeting GABAA receptors, which has the potential to offer advantages over current standards of care, such as rapid onset of action, for a range of conditions including depression, anxiety and others. Letter from the Chief Executive Officer — continued 2 Brexanolone NDA 211371 Multi-disciplinary Review and Evaluation, FDA CDER, 2018. 3 Fisher, M., Nathan, S. D., Hill, C., Marshall, J., Dejonckheere, F., Thuresson, P., &amp; Maher, T. M. (2017). Predicting Life Expectancy for Pirfenidone in Idiopathic Pulmonary Fibrosis. Journal of Managed Care &amp; Specialty Pharmacy, 23(3-b Suppl), S17 -S24. https://doi.org/10.18553/jmcp.2017.23.3-b.s17. 4 Cottin, V., Koschel, D., Günther, A., Albera, C., Azuma, A., Sköld, C. M., Tomassetti, S., Hormel, P., Stauffer, J., Kirchgaessler, K., &amp; Maher, T. M. (2018). Long-term safety of pirfenidone: results of the prospective, observational PASSPORT study. ERJ Open Research, 4(4), 00084–02018. https://doi.org/10.1183/23120541.00084-2018 5 Dempsey, T., Payne, S. C., Sangaralingham, L. R., Yao, X., Shah, N., &amp; Limper, A. H. (2021). Adoption of the Antifibrotic Medications Pirfenidone and Nintedanib for Patients with Idiopathic Pulmonary Fibrosis. Annals of the American Thoracic Society, 18(7), 1121–1128. https://doi.org/10.1513/annalsats.202007-901oc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8"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 St ra te g ic r ep o rt One recent example was the approximately $115.4 million generated from the sale of Karuna stock in August 2022. Another example was realized in the March 2023 post- period. We announced that Royalty Pharma acquired an interest in our royalty in Karuna’s KarXT for up to $500 million, with $100 million in upfront cash and up to $400 million in additional payments contingent on the achievement of certain regulatory and commercial milestones. As part of this transaction, we sold our right to receive a 3% royalty from Karuna to Royalty Pharma on sales up to $2 billion annually, after which threshold we will retain 67% of the royalty payments and Royalty Pharma will receive 33%. We retain our 2.8% equity ownership in Karuna as of March 27, 2023, as well as our right to receive milestone payments from Karuna upon the achievement of certain regulatory approvals and 20% of sublicense income. This deal provides us with upfront non-dilutive capital and significant upside based on Karuna’s future regulatory and commercial successes. We’re tremendously proud of the way our model allows us to continue to fund our Wholly Owned Pipeline and operations, and we continue to manage our strong financial position proactively while retaining financial upside. I want to highlight just a few additional key milestones from our Founded Entities in 2022. First, Karuna delivered strong Phase 3 clinical data for KarXT in August of 2022, and in the March 2023 post-period Karuna announced positive results from a second Phase 3 trial, reinforcing the safety and efficacy of KarXT. The consistency in the data to date with KarXT give us confidence in the drug’s potential to change the treatment paradigm for people with schizophrenia, and we look forward to Karuna’s continued work to validate the potential of KarXT in a range of dementias. The company’s value increased by more than 60% over the course of 2022. Gelesis and Akili also continued to advance the commercial development of their first-in-class FDA-cleared products, Plenity and EndeavorRx. Gelesis demonstrated the market potential for Plenity as a highly differentiated weight management aid for people with obesity or who are overweight. The company has generated $39.5 million in sales since launch, $25.5 million of which was in 2022, representing a 129% increase year-over-year. Gelesis also applied with the FDA to make Plenity available without a prescription, which Gelesis has announced could be achieved as soon as the third quarter of 2023 and should significantly expand access to millions of patients not served by other treatment options due to label, affordability or tolerability. Akili has also formed a foundational partnership with global gaming giant Roblox to further expand its growth opportunities for EndeavorRx. Finally, Vor Bio delivered initial data in patients with AML for trem-cell (formerly VOR33), supporting both the candidate’s potential and providing support for the company’s unique approach of combining targeted therapies and antigen- depleted hematopoietic stem cell transplants. Full details for each of our Founded Entities can be found on pages 12 to 14. Letter from the Chief Executive Officer — continued Thanks to our global network for helping us give life to science First and foremost, I would like to extend my deepest gratitude to the patients, families and staff participating in and supporting our clinical trials. The PureTech team is inspired by you. To the PureTech Team: thank you for your unwavering dedication and commitment to making a transformational impact for patients. I am so proud of what we have accomplished together, and I am energized by your passion. Finally, on behalf of the board and management team, I would like to thank our ever-widening network of shareholders, advisors and other stakeholders for your continued support and input. We are grateful for your confidence in our team, our model and our vision, and that you are with us on this journey to change the lives of patients with devastating diseases. PureTech is poised for another dynamic year, building on our momentum from 2022. We are entering the next phase of our growth with a promising Wholly Owned Pipeline, and we are in a position to move these new medicines forward quickly and efficiently. Importantly, we have many important catalysts on the horizon, and we expect to achieve a number of development and regulatory milestones over the course of 2023 and beyond. Daphne Zohar Founder, Chief Executive Officer and Director April 27,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9"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PureTech Health plc Annual report and accounts 2022 St ra te g ic r ep o rt The table to the right depicts the four components of our value: (1) our Wholly Owned Programs, (2) Founded Entities, (3) our available cash, cash equivalents and short-term investments at the PureTech level and (4) our return of capital to shareholders. We hold majority voting control of or otherwise retain significant influence over our Controlled Founded Entities and continue to play a role in the development of their therapeutic candidates through representation on the board of directors. As of December 31, 2022, our board designees represented a majority of the members of the board of directors of Follica and Vedanta and a minority of the members of the board of directors of Entrega. With respect to our Non-Controlled Founded Entities, we do not hold majority equity ownership and are not responsible for the development or commercialization of their therapeutic candidates and therapeutics. Our Non-Controlled Founded Entities have independent management teams, and we do not control the day-to-day development of their respective therapeutic candidates. 1. Our Wholly Owned Programs: We are focused on the advancement of our Wholly Owned Programs and delivering value to our shareholders by driving these programs to key clinical and commercial milestones. We are prioritizing preclinical and clinical advancement, while continuing to generate new wholly-owned candidates through our technology platforms and our unique model for R&amp;D. 2. Our Founded Entities: We established these entities’ underlying programs and platforms and advanced them through key validation points. In certain cases, our value from these entities is solely derived from the potential appreciation of our equity interest. In other cases, we also have the right to royalty payments on product sales and/or sublicense revenues. 3. Cash, cash equivalents and short-term investments: We had PureTech Level cash, cash equivalents and short-term investments of $339.51 million as of December 31, 2022. 4. Our Return of Capital to Shareholders: In light of the strong foundation we have built for PureTech’s future growth, the board and senior leadership team are committed to various approaches to drive additional value to our shareholders. As part of this capital allocation strategy, in 2022 we implemented a share buyback program of up to a maximum consideration of $50 million. We maintain a capital allocation strategy that will see us prioritize funding the continued development and expansion of our Wholly Owned Pipeline and strategic investment in our Founded Entities in accordance with our strategic plan while we will also look to return certain proceeds we may receive in the future to shareholders through various distribution mechanisms, including continued share buybacks or special dividends. Components of Our Value 1 PureTech level cash, cash equivalents and short-term investments is a non-IFRS measure. For more information in relation to the PureTech level cash, cash equivalents and short-term investments and Consolidated cash, cash equivalents and short-term investments measures used in this Annual Report, including a reconciliation between the two measures, please see pages 51 to 52 of the Financial Review.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0"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 St ra te g ic r ep o rt 2 On July 23, 2021, Imbrium Therapeutics exercised its option to license LYT-503/IMB-150 pursuant to which it is responsible for all future development activities and funding for LYT-503/IMB-150; The FDA and corresponding regulatory authorities will ultimately review our clinical results and determine whether our wholly-owned therapeutic candidates are safe and effective. No regulatory agency has made any such determination that our wholly-owned therapeutic candidates are safe or effective for use by the general public for any indication 3 This figure represents the stage of development for each Founded Entity’s most advanced therapeutic candidate. Founded Entities represent companies founded by PureTech in which PureTech maintains ownership of an equity interest and, in certain cases, is eligible to receive sublicense income and royalties on product sales. Relevant ownership interests for Vedanta, Sonde and Entrega were calculated on a partially diluted basis (as opposed to a voting basis) as of December 31, 2022, including outstanding shares, options and warrants, but excluding unallocated shares authorized to be issued pursuant to equity incentive plans. Gelesis, Vor Bio, Akili and Karuna ownerships were calculated on a beneficial ownership basis in accordance with SEC rules as of March 24, 2023, March 17, 2023, March 3, 2023, and March 27, 2023, respectively. With an increased focus on resource allocation towards our Wholly Owned Programs, we decided to hibernate the Follica Founded Entity in the 2023 post- period. We may choose to advance this program at a later date or with partners. 4 As of March 22, 2023, PureTech has sold its right to receive a 3% royalty from Karuna to Royalty Pharma on net sales up to $2 billion annually, after which threshold PureTech will receive 67% of the royalty payments and Royalty Pharma will receive 33%. PureTech retains its equity ownership in Karuna. Additionally, under its license agreement with Karuna, PureTech retains the right to receive milestone payments upon the achievement of certain regulatory approvals and 20% of sublicense income. NASDAQ: KRTX 2.8% Equity + Milestone Payments/20% Sublicense Revenue/Royalties &amp; up to $500M from agreement w/ Royalty Pharma4 Phase 3 23.2% Equity + Royalties Commercial NASDAQ: VOR 4.0% Equity Phase 1/2a 40.8% Equity Phase 3 Ready NASDAQ: AKLI 14.6% Equity Commercial 36.5% Equity Commercial Release 73.8% Equity Preclinical PureTech Level Cash, Cash Equivalents and Short-Term Investments as of December 31, 2022: $339.5m1 Our Return of Capital to Shareholders Wholly Owned Programs Founded Entities3 1 2 3 4 Our Programs2 Discovery Preclinical Phase 1 Phase 2 Phase 3 LYT-100* Deupirfenidone Idiopathic pulmonary fibrosis (IPF) LYT-200 Anti-Galectin-9 mAb Solid tumors &amp; hematological malignancies LYT-300 Oral Allopregnanolone Depression, anxiety &amp; related indications LYT-310 Oral Cannabidiol Epilepsies &amp; other neurological indications Research and Partnered Programs Phase in progress Phase completed *Also being advanced under the Animal Rule for radiation induced fibrosis; plans underway to study LYT-100 in progressive fibrosing interstitial lung disease (PF-ILDs) and exploring LYT-100 in myocardial and other organ system fibrosis Various indications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1"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PureTech Health plc Annual report and accounts 2022 St ra te g ic r ep o rt LYT-100 Therapeutic Candidate PureTech Ownership Indication Stage of Development LYT-100 Wholly-owned Idiopathic pulmonary fibrosis (IPF) Phase 2b (first of two registration enabling studies) Our lead wholly-owned candidate, LYT-100 (deupirfenidone), is being advanced for the potential treatment of conditions involving inflammation and fibrosis, including idiopathic pulmonary fibrosis (IPF) and radiation induced fibrosis.1 We also plan to study LYT-100 in progressive fibrosing interstitial lung diseases (PF-ILDs) and we are exploring its application in other inflammatory and fibrotic conditions, including myocardial and other organ system fibrosis, based on the strength of the existing clinical data around the use of pirfenidone in these indications. LYT-100 is a selectively deuterated form of pirfenidone. It is designed to retain the potent and clinically validated anti-fibrotic and anti-inflammatory activity of pirfenidone, but it has a highly differentiated pharmacokinetic (PK) profile that has the potential to transform the standard of care for IPF. To date, LYT-100 has been studied in more than 400 subjects as part of our ongoing development work and indication prioritization. Key Points of Innovation &amp; Differentiation • LYT-100 has shown a 50% reduction in gastro-intestinal (GI)-related adverse events (AEs) in a head-to-head study versus pirfenidone. We believe the differentiated tolerability profile of LYT-100 will address one of the key reasons that patients on the current standard of care treatments must dose reduce, discontinue or switch from otherwise efficacious treatments.2,3 We have also been able to dose LYT-100 at a higher exposure level, but with a lower Cmax, than the FDA-approved dosage of pirfenidone, potentially enabling improved efficacy. Given this, we believe LYT-100 has the potential to become standard of care and to become a backbone therapy in the treatment for IPF. • Pirfenidone (Esbriet®) is approved for the treatment of IPF in the US and other countries. Pirfenidone has been shown to slow the decline of lung function and research suggests it extends life by approximately 3 years in patients with IPF.4 It is one of two standard of care treatments for IPF, with nintedanib (OFEV®) being the other. Program Discovery Process by the PureTech Team • We acquired LYT-100 in July 2019 based on insights gained internally and via unpublished findings through our network of collaborators. LYT-100 was originally developed by Auspex Pharmaceuticals, Inc. (Auspex), where our President and Chief Business, Finance and Operating Officer, Bharatt Chowrira, Ph.D., J.D., served as Chief Operating Officer. Auspex (now a wholly owned subsidiary of Teva Pharmaceuticals), pioneered the deuteration technology and successfully developed deutetrabenazine (Austedo®), the first deuterated drug that received FDA approval. Patient Need &amp; Market Potential • There are approximately 120,000 people in the US and 110,000 people in the EU5 living with IPF.6 IPF is a progressive condition characterized by irreversible scarring of the lungs that makes it difficult to breathe. The prognosis of IPF is poor, with the median survival after diagnosis generally estimated at two to five years.4 • Only about 25% of IPF patients are currently being treated with either standard of care drug,3 yet combined sales of Esbriet and Ofev in 2022 were more than $4 billion, representing a significant market opportunity in IPF and other fibrotic lung diseases.7 • In 2022, we engaged an independent third-party market research firm to survey pulmonologists who actively treat IPF patients to assess the commercial opportunity for LYT-100 in IPF. The surveyed pulmonologists noted an unmet need for treatments with improved tolerability profiles, and 80-90% highlighted GI AEs as the primary reason their patients discontinue or dose reduce on current treatments. Pulmonologists said they would prescribe a new product with an improved tolerability profile and comparable efficacy to nearly 44% of their new IPF patients, and nearly 80% indicated they would prescribe it more than pirfenidone. Based on this survey, if approved by the FDA, LYT-100 would be expected to have a significant impact on the IPF market if the improved tolerability profile seen in the Phase 1 crossover study is reproduced in later stage trials and demonstrates the same or enhanced efficacy compared to standard of care. • Pirfenidone has also shown activity in patients with non-IPF PF-ILDs, myocardial fibrosis and other organ system fibrosis. Milestones Achieved &amp; Development Status • IPF − In June 2022, we announced the initiation of ELEVATE IPF, a Phase 2b clinical trial of LYT-100 for the potential treatment of IPF. The global, randomized, placebo-controlled registration-enabling trial is designed to evaluate the efficacy, tolerability, safety and dosing regimen of LYT-100. The primary objective of the trial is to demonstrate a clinically meaningful difference versus placebo in a measure of lung function, Forced Vital Capacity (FVC), over 6 months. The trial will also assess the relative efficacy of two doses of LYT-100, one with comparable exposure to the approved dose of pirfenidone and one with a higher level of exposure that has the potential for improved efficacy. Both doses will be compared to pirfenidone. − In January 2022, we announced results from a randomized, double-blind crossover trial in healthy older adults demonstrating that approximately 50% fewer subjects treated with LYT-100 (deupirfenidone) experienced gastrointestinal (GI)-related adverse events (AE) compared to subjects treated with pirfenidone (17.4% vs. 34.0%). In an additional clinical trial, LYT-100 also demonstrated that it can be safely dosed with a higher total drug exposure than the currently approved dose of pirfenidone, which could translate into improved efficacy over pirfenidone. − In May 2022, we presented additional data from the healthy older adults study at the American Thoracic Society 2022 International Conference. Notably, LYT-100 at 550 mg TID (fed state) met the criteria for bioequivalence for exposure compared to the FDA-approved dosage of pirfenidone – 801 mg TID – but with a lower Cmax. Higher dosages of LYT-100 may provide enhanced antifibrotic and anti-inflammatory activity. • Radiation Induced Fibrosis − In 2022, we initiated a preclinical program of LYT-100 for the prevention and treatment of the delayed effects of acute radiation exposure, including radiation induced fibrosis. This program is being developed under the Animal Rule,1 which allows for the approval of drugs based on well-controlled animal models when human efficacy studies are not ethical or feasible. PureTech may be eligible to receive a priority review voucher from the FDA for a medical countermeasure application upon approval. Expected Milestones • Topline results from the Phase 2 dose-ranging trial of LYT-100 in patients with IPF are expected in 2024. We also plan to pursue a streamlined development program for LYT-100 in IPF, capitalizing on efficiencies of the 505(b)(2) pathway. Pending positive clinical and regulatory feedback, the program will advance into a Phase 3 study. We believe the results of the Phase 2 study, together with a Phase 3 study, could serve as the basis for registration in the US and other geographies. Intellectual Property • As of December 31, 2022, the LYT-100 patent portfolio includes 32 active patents acquired from Auspex which provide broad coverage of compositions of matter, formulations and methods of use for deuterated pirfenidone, including the LYT-100 deupirfenidone compound. This IP estate comprises six issued US patents and 26 patents issued in 23 foreign jurisdictions, which are expected to expire in 2028 and may be extended by up to five years. In addition, we have in-licensed one US patent and one US patent application from Auspex directed to formulations of deuterated pirfenidone which expires in 2035, and also filed additional patent applications on deupirfenidone, including 19 pending US patent applications, 17 foreign applications and one international PCT application directed to the use of deuterated pirfenidone, including LYT-100, for the treatment of a range of conditions. Any issued patents claiming priority to these applications are expected to expire in 2039 through 2043, exclusive of possible patent term adjustments or extensions or other exclusivities. PureTech’s Wholly Owned Programs 1 Our program in radiation induced fibrosis is preclinical-stage and is subject to the Animal Rule, which allows for the approval of drugs based on validated animal models when human efficacy studies are not feasible. The use of the Animal Rule is intended for drugs and biological products developed to reduce or prevent serious or life- threatening conditions caused by exposure to lethal or permanently disabling toxic chemical, biological, radiological or nuclear substances. 2 Cottin, V., Koschel, D., Günther, A., Albera, C., Azuma, A., Sköld, C. M., Tomassetti, S., Hormel, P., Stauffer, J., Kirchgaessler, K., &amp; Maher, T. M. (2018). Long-term safety of pirfenidone: results of the prospective, observational PASSPORT study. ERJ Open Research, 4(4), 00084–02018. https://doi.org/10.1183/23120541.00084-2018 3 Dempsey, T., Payne, S. C., Sangaralingham, L. R., Yao, X., Shah, N., &amp; Limper, A. H. (2021). Adoption of the Antifibrotic Medications Pirfenidone and Nintedanib for Patients with Idiopathic Pulmonary Fibrosis. Annals of the American Thoracic Society, 18(7), 1121–1128. https://doi.org/10.1513/annalsats.202007-901oc 4 Fisher, M., Nathan, S. D., Hill, C., Marshall, J., Dejonckheere, F., Thuresson, P., &amp; Maher, T. M. (2017). Predicting Life Expectancy for Pirfenidone in Idiopathic Pulmonary Fibrosis. Journal of Managed Care &amp; Specialty Pharmacy, 23(3-b Suppl), S17 -S24. https://doi.org/10.18553/jmcp.2017.23.3-b.s17 5 United Kingdom, France, Germany, Italy and Spain. 6 GlobalData Epidemiology and Market Size Search. 7 Roche 2022 Annual Report and Boehringer Ingelheim 2022 Financial Results.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2"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 St ra te g ic r ep o rt LYT-300 Therapeutic Candidate PureTech Ownership Indication Stage of Development LYT-300 Wholly-owned Anxiety disorders Postpartum depression Phase 2a ready Phase 2a ready LYT-300, an oral prodrug of allopregnanolone, is being advanced for the potential treatment of anxiety disorders and postpartum depression. We developed LYT-300 using our Glyph™ platform, which harnesses the body’s natural lipid absorption and transport process to enable the oral administration of certain therapeutics that otherwise cannot be administered orally. Key Points of Innovation &amp; Differentiation • We are developing LYT-300 to advance what we believe could be a best-in-class new medicine for treating anxiety and depression. LYT-300 is designed to overcome the poor oral bioavailability of allopregnanolone. LYT-300 has demonstrated oral bioavailability in healthy adults, achieving blood levels of allopregnanolone at or above those associated with therapeutic effect and nine times greater than orally administered allopregnanolone, based on third-party published data.1 LYT-300 has also demonstrated favorable tolerability in addition to target engagement with γ-aminobutyric-acid type A (GABAA)receptors, which are known to regulate mood and other neurological conditions. • Allopregnanolone is a positive allosteric modulator of GABAA receptors that has therapeutic potential across a wide range of neurological conditions, including depression and anxiety disorders, though its therapeutic application has been limited due to high first pass metabolism. To overcome this, the industry has developed synthetic oral analogs of allopregnanolone, though these may not capture the full therapeutic potential of natural allopregnanolone. • Our Glyph platform reversibly links a drug to a dietary fat molecule, creating a novel prodrug. The linked fat molecule re-routes the drug’s normal path to the systemic circulation, bypassing the liver and instead moving from the gut into the lymphatic vessels that normally process dietary fats. We believe this technology has the potential to provide a broadly applicable means of enhancing the bioavailability of certain orally administered drugs that would otherwise be limited by first-pass liver metabolism. Program Discovery Process by the PureTech Team • We sought out different approaches that could selectively transport therapeutic molecules through the lymphatic system to target cells in the lymph nodes. Based on insights gained internally and via unpublished findings through our network of collaborators, we became aware of a technology being developed at Monash University that had the potential to selectively target the lymphatic system. We obtained an exclusive license to this technology and the related intellectual property. We have since further developed the platform and have generated our own intellectual property associated with the Glyph platform. • We conducted a systematic analysis of compounds and indications that could benefit from the application of our Glyph platform. We prioritized areas of high unmet patient need where the broad application of treatment options with validated efficacy was untapped due to poor oral bioavailability. We believe LYT-300 may unlock the full therapeutic potential of allopregnanolone across a range of neurological and psychiatric conditions. Patient Need &amp; Market Potential • Anxiety disorders are the most common mental disorder, affecting nearly 30% of adults.2 There are several types of anxiety disorders, including generalized anxiety disorder, panic disorder and social anxiety disorder. They are characterized by feelings of excessive fear and may impact a person’s ability to function normally. • Postpartum depression (PPD) is a debilitating condition that affects over 400,000 women who have given birth in the United States.3 It is characterized by feelings of extreme sadness, changes in energy, sleep and appetite, and it can impact a mother’s ability to care for her child. • Allopregnanolone and related endogenous neurosteroids have been recognized for their potential to treat depression and other neurological indications with a rapid onset of action. The major hurdles associated with the translation of these compounds have been the inability to create oral formulations of these neurosteroids and chronically administer compounds to patients. − An intravenous formulation of allopregnanolone is approved by the FDA as a 60-hour infusion for the treatment of postpartum depression, though the method of administration has significant challenges and limits the scope of clinical translation with this class of compounds. − Medicinal chemistry approaches have been applied to synthesize orally bioavailable analogs of allopregnanolone. The variable clinical activity of these compounds may be due to the possibility that chemical modifications are interfering with optimal GABAA receptor engagement and consequently their on-target mode of action. Hence, these chemically distinct analogs of allopregnanolone may not have the same pharmacologic effects as the natural unmodified allopregnanolone. Milestones Achieved &amp; Development Status • In February 2023, we announced plans to advance LYT-300 (oral allopregnanolone) for the potential treatment of anxiety disorders and PPD. • In December 2022, we announced topline results from the completed, multi-part Phase 1 trial of LYT-300. The results showed that oral administration of LYT-300 achieved blood levels of allopregnanolone at or above those associated with therapeutic benefit and resulted in exposure-dependent target engagement with GABAA receptors. • In June 2022, we achieved proof-of-principle for the Glyph platform in a healthy adult study of LYT-300. This was the first mechanistic proof-of-principle in the clinic for the Glyph platform. Data from this Phase 1 program of LYT-300 showed bioavailability of allopregnanolone that was approximately ninefold greater than that of orally administered allopregnanolone, based on previously published data. • In December 2021, we presented preclinical proof-of-concept data at the 60th American College of Neuropsychopharmacology (ACNP) Annual Meeting that supported the clinical advancement of LYT-300 for the potential treatment of neurological and neuropsychological conditions. The data presented at ACNP showed that systemic exposure of natural allopregnanolone was achieved after oral administration of LYT-300 in multiple preclinical models of increasing complexity. In contrast, systemic levels of allopregnanolone were not observed following oral administration of natural unmodified allopregnanolone. These results demonstrated the potential of the Glyph technology platform to enhance the systemic absorption of natural bioactive molecules and other small molecules with poor oral bioavailability. Expected Milestones • A placebo-controlled, Phase 2a, proof-of-concept, trial using a validated clinical model of anxiety in healthy volunteers is expected to begin in the first half of 2023, with results anticipated by the end of 2023. • An open-label, Phase 2a, proof-of-concept clinical trial in women with PPD is expected to begin in the second half of 2023. Intellectual Property • Within the extensive Glyph intellectual property portfolio, which covers a wide range of novel linker chemistries, LYT-300 is specifically covered by four patent families comprising six US patent applications and 16 foreign patent applications as of December 31, 2022, which are co-owned with Monash University or PureTech owned. Any patents to issue from these patent applications are expected to expire in 2039 through 2043, exclusive of possible patent term adjustments or extensions or other forms of exclusivity. 1 Brexanolone NDA 211371 Multi-disciplinary Review and Evaluation, FDA CDER, 2018. 2 Any Anxiety Disorder. (n.d.). National Institute of Mental Health (NIMH). https://www.nimh.nih.gov/health/statistics/any-anxiety-disorder 3 Bauman, B. L. (2020, May 15). Vital Signs: Postpartum Depressive Symptoms and Provider . . . Centers for Disease Control and Prevention. https://www.cdc.gov/mmwr/ volumes/69/wr/mm6919a2.htm?s_cid=mm6919a2_w PureTech’s Wholly Owned Programs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3"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PureTech Health plc Annual report and accounts 2022 St ra te g ic r ep o rt LYT-310 Therapeutic Candidate PureTech Ownership Indication Stage of Development LYT-310 Wholly-owned Epilepsies and other neurological indications Preclinical LYT-310, an oral form of cannabidiol (CBD), is being advanced for the potential treatment of epilepsies and other neurological indications. Like LYT-300, we developed LYT-310 using our Glyph™ platform, which harnesses the body’s natural lipid absorption and transport process to enable the oral administration of certain therapeutics that otherwise have poor oral bioavailability. Key Points of Innovation &amp; Differentiation • We are developing LYT-310 to offer improved oral dosing and tolerability of CBD. A CBD-based product has received regulatory approval in the United States and Europe to treat seizures resulting from certain rare conditions, but it requires a large volume of a sesame oil-based formulation, which limits its use in broader indications and age groups. LYT-310 could expand the therapeutic application of CBD across a wider range of age groups and indications, including both rare and more common forms of epilepsy and other central nervous system disorders. LYT-310 is designed to: − enable oral administration in a capsule or other patient-friendly method of administration; − expand the use of CBD into a broad range of therapeutic areas and patient populations (such as adolescents and adults) where higher doses are required to achieve a therapeutic effect; − potentially improve safety and reduce gastrointestinal (GI) tract side effects that are associated with the currently approved CBD-based treatment by reduce GI and liver exposure; and − allow for a readily scalable, consistent product in a cost-effective manner. • Our Glyph platform reversibly links a drug to a dietary fat molecule, creating a novel prodrug. The linked fat molecule re-routes the drug’s normal path to the systemic circulation, bypassing the liver and instead moving from the gut into the lymphatic vessels that normally process dietary fats. We believe this technology has the potential to provide a broadly applicable means of enhancing the bioavailability of certain orally administered drugs that would otherwise be limited by first-pass liver metabolism. Program Discovery Process by the PureTech Team • We sought out different approaches that could selectively transport therapeutic molecules through the lymphatic system to target cells in the lymph nodes. Based on insights gained internally and via unpublished findings through our network of collaborators, we became aware of a technology being developed at Monash University that had the potential to selectively target the lymphatic system. We obtained an exclusive license to this technology and the related intellectual property. We have since further developed the platform and have generated our own intellectual property associated with the Glyph technology platform. • We conducted a systematic analysis of compounds and indications that could benefit from the application of our Glyph platform. We prioritized areas of high unmet patient need where the broad application of treatment options with validated efficacy was untapped due to poor oral bioavailability and tolerability. We believe LYT-310 may expand the therapeutic application and potential of CBD across a range of epilepsies and other neurological indications. Patient Need &amp; Market Potential • A CBD-based product has received regulatory approval in the United States and Europe to treat seizures resulting from certain rare conditions, but it requires a large volume of a sesame oil-based formulation to achieve therapeutic levels of exposure, which limits its use in broader indications and age groups. Milestones Achieved &amp; Development Status • In November 2022, we announced LYT-310 as a new therapeutic candidate leveraging our Glyph platform. • In multiple preclinical models, including large animal and non-human primate, LYT-310 has demonstrated a three to fourfold increase in oral exposure vs. unmodified CBD in a fasted state. This has the potential to translate into improved safety and reduced side effects. Lymphatic transport has also been confirmed in preclinical models, with up to 30% of LYT-310 entering the lymphatics, compared to 5% for unmodified CBD – which further supports the novel Glyph mechanism of enhancing bioavailability. Expected Milestones • We are advancing LYT-310 toward a Phase 1 clinical trial, which is expected to begin in Q4 of 2023. Intellectual Property • Within the extensive Glyph intellectual property portfolio, which covers a wide range of novel linker chemistries, LYT-310 is specifically covered by one patent family comprising one US patent application and four foreign patent applications as of December 31, 2022, which is co-owned with Monash University. Any patents to issue from these patent applications are expected to expire in 2038, exclusive of possible patent term adjustments or extensions or other forms of exclusivity. PureTech’s Wholly Owned Programs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4"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 St ra te g ic r ep o rt LYT-200 Therapeutic Candidate PureTech Ownership Indication Stage of Development LYT-200 Wholly-owned Metastatic/locally advanced solid tumors Hematological malignancies Phase 1b/2a Phase 1b LYT-200 is a fully human IgG4 monoclonal antibody, or mAb, designed to inhibit the activity of galectin-9, an immunomodulatory molecule expressed by tumors and immune cells and shown to suppress the immune system from recognizing and destroying cancer cells. We are developing LYT-200 for the treatment of metastatic/locally advanced solid tumors that have poor survival rates, including urothelial and head and neck cancers. We are also developing LYT-200 for the treatment of hematological malignancies, such as acute myeloid leukemia (AML), where more than 50% of patients either don’t respond to initial treatment or experience relapse after responding to initial treatment1 and have an approximately 12.6% five-year survival rate.2 Key Points of Innovation &amp; Differentiation • Galectin-9 promotes and facilitates multiple immunosuppressive pathways by expanding regulatory T cells, shifting macrophages from the M1 to M2 phenotype, and inducing apoptosis of activated CD4+ and CD8+ T cells. High expression of galectin-9 is evident in solid tumors and in hematological malignancies, both in patients’ tumors and blood, and correlates with poor survival outcomes and aggressive disease. Our preclinical work demonstrates single agent mechanistic and anti-tumor efficacy of LYT- 200 in multiple animal and patient-derived tumor cell models. For example, LYT-200 outperforms anti-PD-1 in a standard B16F10 melanoma model as a single agent. LYT-200 also synergizes with anti-PD-1 in activating CD4 and CD8 T cells in melanoma and pancreatic in vivo models. We are advancing LYT-200 to inhibit the multiple effects of galectin-9 and thereby potentially removing a key immunosuppressive barrier that would enable the immune system to attack and destroy the tumor. • A 2021 study published in Nature Communications proposed that the molecular mechanism by which PD-1 and galectin-9 interact to shield tumors from the immune system demonstrates for the first time that galectin-9 is a ligand for PD-1 and emphasizes its importance as a promising target for immunotherapy3. This provided further evidence that galectin-9 acts as a key regulator of the immune response to tumors and supports its importance as a potential target for cancer treatment. • We believe that LYT-200 is the most advanced clinical program against this target. It has the potential to be used as a single agent and safely in combination with checkpoint inhibitors and other anti-cancer therapies, depending on the cancer type, treatment setting and line of treatment. Additionally, targeting galectin-9 gives LYT-200 the potential to address a high unmet need for more effective therapies with improved tolerability for AML, a devastating disease in which prognosis is poor. Program Discovery Process by the PureTech Team • In order to identify approaches with the potential to provide significant therapeutic benefit to cancer patients, we opportunistically identified a foundational immunosuppressive mechanism involving galectin-9, which was the basis of certain intellectual property that we licensed from New York University prior to its publication in Nature Medicine. Patient Need &amp; Market Potential • Metastatic/locally advanced solid tumors − In the US, there are approximately 82,000 new cases of bladder cancer each year3 of which ~90% are urothelial carcinoma.4 While metastatic disease only accounts for ~5% of bladder cancer diagnoses, prognosis for these patients is extremely poor with a 5-year survival rate of ~5%.4 − In the US, there are approximately 66,000 people diagnosed with head and neck cancers each year.5 At diagnosis, ~10% of patients have metastatic disease though an additional 20-30% will develop metastases during the course of their disease. The prognosis for metastatic disease is unfavorable with a median survival of about 10 months.6 • AML − The National Cancer Institute estimates that about 60,000 new cases of leukemia are diagnosed each year,7 including about 20,000 in AML.8 More than 50% of AML patients either don’t respond to initial treatment or experience relapse or death after responding to initial treatment1 and have an approximately 12.6% five-year survival rate.2 The poor overall survival highlights the need for more effective therapies for patients with relapsed and refractory AML. Milestones Achieved &amp; Development Status • AML − In December 2022, a poster describing new preclinical data supporting the clinical potential of LYT-200 for the treatment of leukemia was presented at the American Society of Hematology (ASH) 64th Annual Meeting. In all models used, LYT-200 demonstrated significant anti-tumor activity and in addition to its established effects on the immune system in solid tumor models, it also notably induced direct apoptosis or cell death across all leukemia cell types. Based on this and other compelling preclinical data generated with LYT-200 in blood cancers, we initiated a clinical trial to evaluate LYT-200 as a single agent for the treatment of AML. • Metastatic/locally advanced solid tumors − In December 2022, we announced results from the monotherapy dose escalation portion of the Phase 1 program of LYT-200 as a potential treatment for metastatic solid tumors. No dose-limiting toxicities were reported, and the full results are planned for presentation in a scientific forum in 2023. − In the first quarter of 2023, we initiated a trial of LYT-200 in combination with tislelizumab in urothelial and head and neck cancers. Expected Milestones • Initial results from a subset of patients from the Phase 1b clinical trial to evaluate LYT-200 as a single agent for the treatment of AML are expected by the end of 2023. • Topline results from the Phase 1b trial of LYT-200 in combination with tislelizumab in urothelial or head and neck cancers are expected in 2024. Intellectual Property • We have broad intellectual property coverage for these antibody-based immunotherapy technologies, including exclusive rights to seven families of patent filings that are exclusively licensed from or co-owned with New York University which cover antibodies that target galectin-9, including LYT-200, methods of using these antibodies, and related immuno-oncology technologies. In addition, the intellectual property portfolio includes ten families of PureTech-owned patent applications covering the use of anti- galectin-9 antibodies in the diagnosis and treatment of solid tumors. • As of December 31, 2022, there are 17 families of intellectual property within this patent portfolio covering compositions of matter for antibodies targeting galectin-9, including LYT-200, and methods of use for the treatment of solid tumors and various other cancers, and methods of use for the treatment of hematological cancers. This intellectual property comprises three issued US patents which are expected to expire in 2038, 15 pending US patent applications, which if issued, are expected to expire 2037 through 2043, six international PCT applications, 34 pending foreign applications and eight issued patents in foreign jurisdictions. PureTech’s Wholly Owned Programs — continued 1 Walter, R. B., Othus, M., Burnett, A. K., Löwenberg, B., Kantarjian, H. M., Ossenkoppele, G. J., Hills, R. K., Ravandi, F., Pabst, T., Evans, A., Pierce, S., Vekemans, M., Appelbaum, F. R., &amp; Estey, E. H. (2015). Resistance prediction in AML: analysis of 4601 patients from MRC/NCRI, HOVON/SAKK, SWOG and MD Anderson Cancer Center. Leukemia, 29(2), 312–320. https://doi.org/10.1038/leu.2014.242 2 Brandwein, J., Saini, L. M., Geddes, M., Yusuf, D., Liu, F., Schwann, K., Billawala, A., Westcott, C., Kurniawan, J. A., &amp; Cheung, W. Y. (2020). Outcomes of patients with relapsed or refractory acute myeloid leukemia: a population-based real-world study. American Journal of Blood Research, 10(4), 124–133. 3 Cancer of the Urinary Bladder – Cancer Stat Facts. (n.d.). National Cancer Institute. https://seer.cancer.gov/statfacts/html/urinb.html 4 Saginala, K., Barsouk, A., Aluru, J. S., Rawla, P., Padala, S. A., &amp; Barsouk, A. (2020). Epidemiology of Bladder Cancer. Medical Sciences, 8(1), 15. https://doi.org/10.3390/ medsci8010015 5 Head and Neck Cancer – Statistics. (2022, December 16). Cancer.Net. https://www.cancer.net/cancer-types/head-and-neck-cancer/statistics 6 Pisani, P., Airoldi, M., Allais, A., Valletti, P. A., Battista, M., Benazzo, M., Briatore, R., Cacciola, S., Cocuzza, S., Colombo, A., Conti, B., Costanzo, A., Della Vecchia, L., Russi, E. G., Fantozzi, C., Galizia, D., Garzaro, M., Genta, I., Iasi, G. A., . . . Zigliani, A. (2020). Metastatic disease in head &amp; neck oncology. Acta Otorhinolaryngologica Italica, 40(SUPPL. 1), S1–S86. https://doi.org/10.14639/0392-100x-suppl.1-40-2020 7 Leukemia – Cancer Stat Facts. (n.d.). National Cancer Institute. https://seer.cancer.gov/statfacts/html/leuks.html 8 Acute Myeloid Leukemia – Cancer Stat Facts. (n.d.). National Cancer Institute. https://seer.cancer.gov/statfacts/html/amyl.html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5"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PureTech Health plc Annual report and accounts 2022 St ra te g ic r ep o rt Karuna Therapeutics is a clinical-stage biopharmaceutical company driven to create and deliver transformative medicines for people living with psychiatric and neurological conditions. Program discovery process by the PureTech team • We and our collaborators, including leading schizophrenia experts, were excited about efficacy data generated in schizophrenia and Alzheimer’s disease by Eli Lilly with xanomeline, which had notable efficacy stemming from its activation of muscarinic receptors (M1 and M4) but had been held back by gastrointestinal tolerability issues. To overcome this, we invented KarXT, an oral M1/M4-preferring muscarinic agonist, by combining xanomeline (a muscarinic agonist) with trospium (a peripherally acting muscarinic antagonist that doesn’t cross the blood brain barrier). This enabled the beneficial effects of M1/M4 activation in the brain without the peripheral side effects. We conducted key human tolerability proof-of-concept studies with KarXT that allowed Karuna to advance it further in schizophrenia patients. Karuna licensed the key KarXT intellectual property from PureTech. If approved, we would have pioneered the development of the first new class of medicine for schizophrenia in over 50 years. Key milestones achieved and development status • In August 2022, Karuna announced positive results from the Phase 3 EMERGENT-2 trial evaluating the efficacy, safety and tolerability of its lead investigational therapy, KarXT (xanomeline-trospium), in adults with schizophrenia. The trial met its primary endpoint, with KarXT demonstrating a statistically significant and clinically meaningful 9.6-point reduction in Positive and Negative Syndrome Scale (PANSS) total score compared to placebo (-21.2 KarXT vs. -11.6 placebo; p&lt;0.0001) at Week 5 (Cohen’s d effect size of 0.61). KarXT also met key secondary endpoints. KarXT was generally well tolerated, with a side effect profile substantially consistent with prior trials of KarXT in schizophrenia. • In the March 2023 post-period, Karuna announced positive topline results from the Phase 3 EMERGENT-3 trial evaluating the efficacy, safety, and tolerability of KarXT in adults with schizophrenia. The trial met its primary endpoint, with KarXT demonstrating a statistically significant and clinically meaningful 8.4-point reduction in Positive and Negative Syndrome Scale (PANSS) total score compared to placebo (-20.6 KarXT vs. -12.2 placebo; p&lt;0.0001) at Week 5 (Cohen’s d effect size of 0.60). Consistent with prior trials, KarXT demonstrated an early and sustained statistically significant reduction of symptoms from Week 2 (p&lt;0.05) through the end of the trial as assessed by PANSS total score. KarXT also demonstrated reductions in positive and negative symptoms of schizophrenia as measured by PANSS positive and PANSS negative Marder factor subscales. KarXT was generally well tolerated, with a side effect profile substantially consistent with previous trials of KarXT in schizophrenia. [Portions of this page have been removed] PureTech’s Founded Entities Founded Entities in Order of Approximate Value of PureTech’s Holdings Vor Bio is a clinical-stage cell and genome engineering company that aims to change the standard of care for patients with blood cancers by engineering hematopoietic stem cells (HSC) to unlock the potential of Vor’s highly potent targeted therapies which have an improved safety profile for patients, several of which Vor is also developing. Program discovery process by the PureTech team • We were interested in approaches to treat hematological malignancies that currently have poor response rates or poor adverse event profiles despite recent advances in cell therapies and targeted therapies. We worked with Vor Bio Scientific Board Chair, Siddhartha Mukherjee, M.D., Ph.D., on key intellectual property, which Vor Bio exclusively in-licensed from Columbia in April 2016, and on advancing this concept through critical POC experiments. Key milestones achieved and development status • In December 2022, Vor announced initial clinical data from VBP101, Vor’s Phase 1/2a multicenter, open-label, first-in-human study of tremtelectogene empogeditemcel or “trem-cel” (formerly VOR33) in patients with AML. The data observed that the first AML patient transplanted with trem-cel demonstrated durable engraftment through three cycles of Mylotarg (gemtuzumab ozogamicin), which was well tolerated at the initial dose level. • In the February 2023 post-period, Vor announced a second patient also successfully received a trem-cel transplant and engrafted normally. [Portions of this page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6"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 St ra te g ic r ep o rt Akili is pioneering the development of cognitive treatments through game-changing technologies. Akili’s approach of leveraging technologies designed to directly target the brain establishes a new category of medicine – medicine that is validated through clinical trials like a drug or medical device but experienced like entertainment. Program discovery process by the PureTech team • We engaged with leading neuroscientists and clinicians who had been studying the effects of video games on cognition and the underlying neural processes accessible by sensory stimulation and we collaborated with Dr. Adam Gazzaley, M.D., Ph.D., to translate the underlying academic device into a medical intervention, including overseeing the initial product development and design and the implementation of the initial proof-of-concept studies. Key milestones achieved and development status • In August 2022, Akili, Inc. began trading on the Nasdaq Stock Market under the ticker symbol “AKLI”. • In November 2022, Akili deployed the first wave of its EndeavorRx®1 go-to-market sales force in 14 priority territories across the US with a focus on Integrated Behavioral Health Centers and pediatric providers. • In June 2020, Akili announced that the FDA granted clearance to market EndeavorRx as a prescription treatment for improving attention function in children with attention-deficit/hyperactivity disorder (ADHD) and received approval to market EndeavorRx in Europe. • In the January 2023 post-period, Akili announced topline results from STARS-ADHD-Adolescents, its pivotal trial of EndeavorRx (AKL-T01) in adolescents ages 13-17 with ADHD. The study showed robust improvements in attention and broader clinical outcomes, including attention improvements that were nearly three times as large as those seen in Akili’s pivotal trial that served as the basis for EndeavorRx’s FDA authorization for children with ADHD ages 8-12. • In the January 2023 post-period, Akili announced its 2023 operating plan to focus the company’s resources primarily on supporting the commercialization and growth of EndeavorRx as well as efforts related to the potential label expansion for EndeavorRx in broader ADHD populations. This resulted in a reduction of expenses, including a reduction in the company’s workforce by approximately 30% and pipeline reprioritization. [Portions of this page have been removed] PureTech’s Founded Entities — continued 1 EndeavorRx is the first-and-only FDA-authorized treatment delivered through a video game experience. EndeavorRx is indicated to improve attention function as measured by computer-based testing in children ages 8 to 12 years old with primarily inattentive or combined-type ADHD, who have a demonstrated attention issue. Patients who engage with EndeavorRx demonstrate improvements in a digitally assessed measure Test of Variables of Attention (TOVA®) of sustained and selective attention and may not display benefits in typical behavioral symptoms, such as hyperactivity. EndeavorRx should be considered for use as part of a therapeutic program that may include clinician- 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 weeks, or as recommended by your child’s health care provider. To learn more about EndeavorRx, please visit EndeavorRx.com. 2 Important Safety Information about Plenity: Patients who are pregnant or are allergic to cellulose, citric acid, sodium stearyl fumarate, gelatin, or titanium dioxide should not take Plenity. To avoid impact on the absorption of medications: For all medications that should be taken with food, take them after starting a meal. For all medications that should be taken without food (on an empty stomach), continue taking on an empty stomach or as recommended by your physician. The overall incidence of side effects with Plenity was no different than placebo. The most common side effects were diarrhea, distended abdomen, infrequent bowel movements, and flatulence. Contact a doctor right away if problems occur. If you have a severe allergic reaction, severe stomach pain, or severe diarrhea, stop using Plenity until you can speak to your doctor. Rx Only. For the safe and proper use of Plenity or more information, talk to a healthcare professional, read the Patient Instructions for Use, or call 1-844-PLENITY. Founded Entities in Order of Approximate Value of PureTech’s Holdings Gelesis is a consumer-centered biotherapeutics company and the maker of Plenity,®2 which is inspired by nature and FDA cleared for weight management in the broadest patient population of any prescription weight management product. Since launch, Plenity has helped over 200,000 people and generated $39.5 million in revenue. The accumulated safety data demonstrates unprecedented real-world tolerability consistent with clinical studies. Program discovery process by the PureTech team • Working with leading obesity experts, we conducted a worldwide search for compelling technologies meeting key criteria for a novel approach to obesity and overweight. We agreed that the ideal characteristics included an orally administered, mechanically acting device with a favorable safety and tolerability profile. We identified and in-licensed the core intellectual property from an academic collaborator and subsequently co-invented additional intellectual property around a novel class of biocompatible, superabsorbent hydrogels, forming the basis for Gelesis’ portfolio. Key milestones achieved and development status • Gelesis received clearance from the FDA for its first product, Plenity® (Gelesis100), an aid for weight management in adults with excess weight or obesity, BMI of 25-40 kg/m2, when used in conjunction with diet and exercise, in April 2019. In June 2020, Gelesis received a CE Mark for Plenity. The product became broadly available in the US in December 2021. • In 2022, Gelesis reported product revenue, net, was $25.6 million compared to $11.2 million in 2021, a 129% increase year-over-year. • In 2022, Gelesis acquired 121,500 new members compared to 61,400 new members during 2021, a 98% increase year-over-year, and sold 374,000 units in 2022 compared to 174,000 units in 2021, a 115% increase. • In the March 2023 post-period, Gelesis announced that it has filed an initial 510(k) application with the FDA to change the classification of Plenity from prescription-only to be available over the counter (“OTC”). Gelesis has stated they believe that this shift would double Plenity’s addressable market, should significantly reduce the company’s customer acquisition costs, and could open up new, broader partnership opportunities. An OTC classification would make Plenity widely available and easily accessible, empowering individuals struggling with excess weight with an easier path to an effective, affordable, and trusted weight management product. Plenity’s unprecedented safety and efficacy profile has been demonstrated in over 200,000 patients to date. As a result of this potential change to OTC and the impact it may have on the company’s commercial strategy, as well as its current levels of liquidity, Gelesis significantly reduced its operating costs. Gelesis is evaluating strategic alternatives, including potential financing and commercial partnerships in various geographies. • In the April 2023 post-period, multiple subsequent events occurred related to the future operations of Gelesis, including PureTech submitting a non-binding proposal to acquire all outstanding equity of Gelesis, refer to Note 26 “Subsequent Events” in our annual financial statements for further details. [Portions of this page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7"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PureTech Health plc Annual report and accounts 2022 St ra te g ic r ep o rt Vedanta is leading the development of a potential new category of oral therapies based on defined consortia of bacteria isolated from the human microbiome and grown from pure clonal banks. Vedanta is a leader in the field with capabilities and deep expertise to discover, develop and manufacture live bacteria-based therapies. Program discovery process by the PureTech team • We engaged with leading world-renowned experts in immunology and identified and in-licensed intellectual property to pioneer the concept of therapeutically defined consortia of microbes that could modulate the immune system or treat bacterial infections. Key milestones achieved and development status • In October 2021, Vedanta announced that its Phase 2 clinical trial of VE303, an orally administered investigational live biotherapeutic product (LBP) in development for the prevention of recurrent CDI in high-risk patients, met its primary endpoint. • In April 2022, results from a Phase 1a/1b study evaluating the safety, tolerability, and colonization dynamics of VE303 in healthy adults were published in the journal Cell Host &amp; Microbe. • In June 2022, Vedanta announced the opening of a new facility designed to manufacture clinical and commercial supply for its therapeutic portfolio. • In the 2023 post-period, Vedanta announced a $106.5 million financing to advance its pipeline of defined bacterial consortia therapies. [Portions of this page have been removed] PureTech’s Founded Entities — continued Founded Entities in Order of Approximate Value of PureTech’s Holdings Sonde is developing a voice-based technology platform that detects changes in the sound of voice that are linked to health conditions – like depression, anxiety and respiratory disease – to provide health tracking and monitoring. Sonde’s proprietary technology can be integrated into ubiquitous devices such as smartphones, headphone and smart speakers. Program discovery process by the PureTech team • We identified vocal features as a leading non-invasive source of health data, particularly given the evolving technology landscape where voice interactions with devices are rapidly increasing and in-licensed proprietary technology from Thomas Quatieri, Ph.D., at MIT’s Lincoln Laboratory in May 2016. We developed additional, novel intellectual property around this concept and helped advance the technology from an academic concept to a commercially focused technology. Key milestones achieved and development status • In January 2022, Sonde announced the signing of a multi-year strategic partnership with GN Group to research and develop commercial vocal biomarkers for mild cognitive impairment associated with hearing loss. • In December 2022, Sonde raised a $19.25 million Series B investment round led by Partners Investment, with participation from NEOM Company, KT Corporation and existing investors, including co-founders PureTech Health and M Ventures. [Portions of this page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18"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15 ESG Report [Pages 15-19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9"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16 PureTech Health plc Annual report and accounts 2022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0"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17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1"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18 PureTech Health plc Annual report and accounts 2022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2"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19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3"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20 PureTech Health plc Annual report and accounts 2022 ESG Report — continued To ensure compliance and rigor in our approach, we seek approval from Independent Ethics Committees and local regulatory authorities on all investigative medicine trials. In addition, our employees who are engaged with clinical trials, either as clinical staff or their designees, are responsible for ensuring full compliance with best clinical practice. When sponsoring an Investigational New Drug (IND) application, we acknowledge our responsibility to both participants and the regulatory agencies who put their trust in us to act responsibly. We have a robust governance framework in place which includes effective policies and protocols such as our Standard Operating Procedure for Adverse Event Reporting, which helps us to monitor, review and act on any incidents. Clinical trial participants are made fully aware of all risks involved prior to participating in a clinical trial. To confirm this, we ensure that every patient has provided informed consent of their willingness to participate through a signed voluntary commitment. Our informed consent requirements are set out in the PureTech Clinical Research Policy. We also rely on the use of human biological specimens to develop our innovative therapies through clinical trials, which require informed consent. Our Human Biological Specimens Policy specifies our commitment to respecting both donors and the specimens they provide and that collecting, obtaining, storing and using human biological samples must be obtained through consent. Our Chief Medical Officer is responsible for ensuring that PureTech follows all US and applicable international regulatory requirements and standards and applicable bioethics principles. In 2022, there were no FDA sponsored inspections related to clinical trial management and pharmacovigilance that resulted in PureTech receiving Voluntary Action Indicated (VAI) and Official Action Indicated (OAI) from FDA. Bioethics: R&amp;D Our R&amp;D approach focuses on enhancing on-target efficacy, enabling oral administration or improving tolerability to unlock new classes of medicine that have been held back due to these challenges. Our ethical and quality management standards allow for continuous improvement through R&amp;D, while helping us to maintain high standards of product quality and safety in compliance with relevant regulations at each phase. In 2022, we spent $152.4 million on research and development projects to develop new and innovative therapeutics (see page 57 for details on R&amp;D expenses). As we enhance our R&amp;D strategy, we continue to assess and identify areas for improvement across our clinical trial safety, quality and risk management processes. For example, in 2022 we implemented new policies relating to Good Manufacturing Practices (GMP) and regulatory inspections to reinforce ethics into our processes. Looking ahead, additional policies and Standard Operating Procedures (SOPs) specific to GxP risk assessment are planned for 2023. As a leading clinical-stage biotherapeutics company, our mission is to address devastating diseases and improve the health of patients around the world through differentiated medicines. To achieve this consistently and in a way that prioritizes both business ethics and sustainability, we target three core areas to best support patients: Commitment 1 Addressing unmet medical needs Commitment 2 Ensuring patient safety Commitment 3 Accelerating our R&amp;D engine to unlock new medicines The patient population we aim to create value for is widespread as we explore potentially life-transforming treatments across many serious diseases. We continued to develop our Wholly Owned Pipeline in 2022 through the expertise of our dedicated team and in collaboration with our extensive network of scientists, clinicians and industry leaders. For details on our Wholly Owned Pipeline, please see pages 8 to 11. Commitment 1: Addressing unmet medical needs Our team is committed to delivering therapeutics where there are unmet medical needs. We do this by applying our unique insights to the great foundational work that was conducted by our industry. For decades, biopharma has devoted time and resources to discovering new modalities and proving they work in patients, but important new medicines were abandoned after running into issues that seemed insurmountable at the time. Our R&amp;D approach is centered on enhancing on-target efficacy, enabling oral administration or improving tolerability to unlock new classes of medicine that have been held back by one of these issues. With our cutting-edge R&amp;D efforts, we are targeting these gaps while creating long-term value for both patients and stakeholders. Commitment 2: Ensuring patient safety Patient safety underpins everything we do. Our dedicated team of researchers, together with our external stakeholders, follow strict procedures, processes and guidelines to ensure the upmost safety of our clinical trials and R&amp;D processes. Delivering Safe Clinical trials We conduct all clinical trials according to the highest standards of ethics and safety. All our trials follow the standards of the International Conference on Harmonization (ICH) Good Clinical Practice guidelines and the World Medical Association (WMA) Declaration of Helsinki on the Ethical Principles for Medical Research Involving Human Subjects. Chapter 1: Patients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4"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21 ESG Report — continued We are Committed to the Fight Against Idiopathic Pulmonary Fibrosis (IPF) It’s important to note that the work we do at PureTech every day is in service to the patients we hope to help. Our most advanced wholly-owned therapeutic candidate, LYT-100, is being developed for the potential treatment of conditions involving inflammation and fibrosis, including IPF. IPF is a progressive and life-shortening disorder of the lungs with a median survival rate of 2-5 years.6 Consistent with our commitment to improve the care of patients with IPF, we partnered with the Pulmonary Fibrosis Foundation (PFF) in 2022 to help raise awareness of the condition in several ways. We have a strong relationship with PFF, which is the leading patient advocacy organization for the IPF community. They not only provide support and educational resources to the community but are also working to identify effective treatments for IPF. PFF is also a trusted resource and partner to PureTech as we advance LYT-100 through the clinic. Our initiatives: We have undertaken an awareness initiative to inform patients with IPF across the globe of our investigational treatment option in clinical development. We also work to ensure that caregivers of patients with IPF are included in our IPF study by creating caregiver-specific guides inviting them to participate in trial meetings. In September 2022, we promoted Pulmonary Fibrosis Awareness Month to raise awareness of IPF and to serve as inspiration for our employees. Virtual Lunch &amp; Learn with PFF IPF Ambassadors PureTech/PFF Walk Employee-led fundraising with company match In September 2022, we sponsored an inaugural PFF Education Symposium, an event to provide an overview and update on the research and development of innovative therapies – like LYT-100 – to improve the lives of those living with pulmonary fibrosis and related conditions. We believe that working with advocacy groups such as the PFF and hearing from IPF ambassadors with lived experiences of the diseases will help us incorporate the patient voice in our work. 6 Fisher, M., Nathan, S. D., Hill, C., Marshall, J., Dejonckheere, F., Thuresson, P., &amp; Maher, T. M. (2017). Predicting Life Expectancy for Pirfenidone in Idiopathic Pulmonary Fibrosis. Journal of Managed Care &amp; Specialty Pharmacy, 23(3-b Suppl), S17 -S24. https://doi.org/10.18553/jmcp.2017.23.3-b.s17 7 GlobalData Epidemiology and Market Size Search. 8 United Kingdom, France, Germany, Italy and Spain. 9 Dempsey, T., Payne, S. C., Sangaralingham, L. R., Yao, X., Shah, N., &amp; Limper, A. H. (2021). Adoption of the Antifibrotic Medications Pirfenidone and Nintedanib for Patients with Idiopathic Pulmonary Fibrosis. Annals of the American Thoracic Society, 18(7), 1121–1128. https://doi.org/10.1513/annalsats.202007-901oc 2-5 YEARS Median survival6 ~230,0006 People are affected by IPF in the US and EU57,8 ~75% IPF patients not on standard of care therapy9 2 FDA approved drugs on the market with significant tolerability issues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22 PureTech Health plc Annual report and accounts 2022 ESG Report — continued To ensure our QMS is robust and up to date, risk assessment protocol is built into our procedures for vendor audits, vendor oversight, and data integrity for Chemistry, Manufacturing, and Controls (CMC). This allows us to quickly determine vendor risks and accelerate new vendor onboarding to meet business demands. Ensuring Drug Efficacy and Safety None of the therapeutic candidates from within PureTech’s Wholly Owned Pipeline are currently on the market. Therefore, in 2022, PureTech received no FDA warning letters, no products were delayed due to a lack of regulatory approval and no product recalls took place. As we continue to advance our therapeutic candidates towards commercialization, we will continue to practice our clinical protocols diligently to ensure ongoing safety and compliance across our operations and clinical trials. Commitment 3: Accelerating our R&amp;D engine to unlock new medicines R&amp;D has been the bedrock of progress in global health and a key component in the successful discovery and development of our therapeutic candidates. Currently, our Wholly Owned Pipeline consists of five therapeutic candidates, including one that has been licensed to and is being developed by a partner. 5 Therapeutic candidates 4 Therapeutic candidates in clinical stage Generating such a robust pipeline that has the potential to address millions of patients with unmet medical needs has been made possible through our strong R&amp;D model. We are proud of our model which allows us to fulfill our unyielding commitment to delivering potentially life- changing new therapies for patients in need. We will continue to leverage this model, our scientific insight and our network of scientists, clinicians and industry leaders to unlock new medicines and deliver highly innovative therapeutics for patients. Environmental considerations continue to play a key role in R&amp;D as we strive to reduce or eliminate hazardous chemicals from our R&amp;D process. We also ensure that we remain aware of the latest developments in green chemistry and we intend to evaluate the adoption of eco-design principles in the future. To that end, in the 2023 post-period, we have already managed to optimize some of our large scale drug substance processes to replace more hazardous solvents that negatively impact the environment. Bioethics: Animal Research Animal research plays an essential and irreplaceable role in the advancement of drug discovery as it helps researchers answer questions of biological uncertainty. PureTech conducts animal testing only when necessary to advance the development of therapeutics and is required by regulatory authorities, before human testing of new medicines can take place. We follow the guidelines set out under the USDA Animal Welfare Act and are committed to the humane and ethical treatment of animals. Studies involving animals are reviewed and approved by the Executive Team and are conducted at externally qualified and certified vendors that meet our principles and expected practices for the care, welfare and treatment of animals. We are committed to applying the replacement, reduction and refinement of animal studies (3Rs) each time we consider the use of animal testing. This includes the following commitments: Bioethics: Quality Management We have a robust Quality Management System (QMS) in place to oversee our raw material suppliers. Our QMS consists of various SOPs which describe our controlled processes that result in consistent quality control as per PureTech’s quality system. SOPs include, but are not limited to, the processes relating to the: • Qualification of New Vendors • Qualification of Existing Vendor for New Materials • Management of Changes related to Vendor • Evaluation of Supply for Quality • Change Control • Batch Disposition • Employee Training on New Materials REPLACE REDUCE We use alternative methods to animal testing wherever possible. We use the minimum number of animals in trials. We minimize pain, suffering and distress, and improve the welfare of animals used in trials. REFINE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6"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23 ESG Report — continued Our employees are critical to bringing our vision to life. Through their hard work and passion, we aim to deliver innovative therapeutics that improve patients’ lives while also creating long-term value for our stakeholders. We believe that a collaborative and respectful working environment is vital to cultivating a safe and creative space where employees can thrive. To achieve this, we are committed to delivering on the following four priority areas: Commitment 1 Building a diverse, equitable and inclusive workplace Commitment 2 Promoting employee development to attract and retain the best talent Commitment 3 Maintaining a robust Employee Health and Safety (EHS) program Commitment 4 Strengthening engagement and collaboration between people, communities and partners Our employees are predominantly located near our headquarters in Boston, MA, with two individuals based in London. As of December 31, 2022, we had a total of 111 employees. Of these, 66 employees work in R&amp;D roles while 45 are engaged in PureTech’s general and administrative functions. Commitment 1: Building a diverse, equitable and inclusive workplace Diversity, Equity and Inclusion We believe that the best ideas come from diversity in thought, ideas and perspectives, which all contribute to helping unlock our maximum potential as an organization. This is why we promote a diverse, equitable and inclusive work environment in which all people are treated with the upmost dignity and respect. Under our Equal Opportunity Policy of non-discrimination and equal opportunity, we are committed to treating all employees and qualified applicants fairly and equally regardless of their race, color, religion, gender or gender identity, sexual orientation, nationality, ancestry, age, physical or mental disability, veteran or military service, or any other status protected by law. Our commitment to diversity and inclusion is evident across all aspects of our employment practices and covers all stages from hiring, job assignment, promotion and compensation to discipline, discharge, benefits and training. Chapter 2: People “PureTech is committed to developing medicines that have the potential to transform lives. We are equally committed to our own PureTech team who drive our ongoing success. Our ESG initiatives aim to reflect this dedication as we work to consistently deliver a truly sustainable business.” Bharatt Chowrira President and Chief Business, Finance and Operating Officer Championing Gender Diversity We pride ourselves on our strong commitment to gender diversity and towards enhancing gender balance within the medical sector. We are committed to promoting diversity within our leadership team and at the employee level to ensure a balanced approach. Our gender diversity rate as of December 31, 2022, sits at 44% at Board level, and a 50% across the total workforce: Total employees Managers Board Gender 2021 2022 2021 2022 2021 2022 Female 45% 50% 33% 41% 44% 44% Male 55% 50% 67% 59% 56% 56% We continue to make strong progress in embedding diversity at a leadership level. We believe that a diverse board and senior management team can help to generate better performance, retain exceptional talent and enhance shareholder value. The 2022 Hampton-Alexander Review into Boardroom gender diversity reported that only 12 FTSE 250 companies have female CEOs – and we are proud to be one of those companies. Our founder and CEO, Daphne Zohar, is a successful entrepreneur who runs our standout team. She has been the leading figure in PureTech’s fundraising and business development since inception and is vital to establishing our therapeutic pipeline across our Wholly Owned Programs and Founded Entities. Additionally, we were recognized in the 2022 FTSE Women Leaders Review for our efforts to improve the number of women in senior leadership positions – achieving 44% gender diversity at Board-level.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7"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24 PureTech Health plc Annual report and accounts 2022 ESG Report — continued Celebrating Juneteenth In June 2022, we celebrated Juneteenth, commemorating the emancipation of slavery in the US. To acknowledge and learn more about this historical event, we distributed resources to employees highlighting the history, culture and events of Juneteenth. As of 2023, PureTech has also added June 19th as a company holiday to observe this important day in history. Promoting Cultural Diversity As well as championing gender equality, we take great pride in celebrating and enhancing the cultural diversity of our workforce and the communities we serve. We are US Equal Employment Opportunity Commission compliant with an annual EEO-1 Report filing, disclosing information about our employees’ job categories, ethnicity, race and gender. This helps us to enhance transparency and see where we can better target efforts to further enhance the diversity of our workplace. We are proud to report that as of 2022, our cultural diversity rate at the Board-level is 44%, and we are continuing to enhance the cultural diversity of our wider management team and workforce. In 2022, we enhanced our support to promote all forms of cultural diversity, led by the employee-led Cultural and Social Committee. The joint committee, formed in 2021, aims to create programs that celebrate diversity, promote equity and encourage respect for one another. Some of the 2022 initiatives included: Supporting Asian American and Pacific Islander (AAPI) Heritage Month In May 2022, we held an initiative to recognize the contributions of Asian Americans and Pacific Islander Americans to the history, culture and achievements in the US In honor of AAPI month, we hosted a month-long initiative to circulate company-wide materials discussing AAPI history, culture, events and resources. Celebrating LGBTQ+ Pride Month In June 2022, we celebrated LGBTQ+ Pride Month, dedicated to the celebration and recognition of the impact lesbian, gay, bisexual, and transgender (LGBTQ+) individuals have had and continue to have. We celebrated in a few ways, notably: • Distributed resources to employees highlighting LGBTQ+ life science professionals • Updated our company logo to raise awareness and solidarity for LGBTQ+ causes • Hosted Jessica Halem, an award-winning educator, advocate and consultant on LGBTQ+ issues, to speak on how to enhance inclusive and equitable environments Enhancing Pay Equity We believe in providing equal pay opportunities to our people regardless of their gender, race, ethnicity or any other characteristics not relevant to their role or performance in it. Due to the size of our business, we are not legally obliged to produce a Gender Pay Gap Report, however, we ensure full compliance with all local laws relating to equal pay and remuneration. We are also committed to enhancing workplace transparency and equality through our human capital programs which promote career development, workplace equity, as well as diversity and inclusion.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8"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25 ESG Report — continued Commitment 2: Promoting employee development to attract and retain the best talent Human capital is vital to a successful business operation to identify new opportunities, innovate and lead. We depend on our people, their scientific knowledge, skills and commitment to thrive. As such, the personal development, retention and recruitment of industry-leading talent is one of the top priorities for PureTech. Recruitment and Retention Our business continues to grow rapidly as our Wholly Owned Programs advance. As a result, the PureTech team too has grown rapidly in 2022, with our head count growing by 16.8% year-over-year. This growth has enabled us to create new roles internally and attract new talent to broaden our business and expertise. 2021 2022 Total number of employees 95 111 Year-over-year growth (%) 44% 16.8% Employee turnover (%) 25% 30.62% Internal promotions (%) 17% 17% Developing a sustainable and diverse pipeline of talent is the principal focus of our recruitment strategy. We source our talent through our outstanding network of world leading scientists. We also source emerging talent from local top tier universities in Boston – the heart of the world’s biotech hub – as well as through partnerships with local university cooperative education programs. Co-op programs provide students with opportunities to alternate periods of academic study with several months of full-time employment related to their academic majors and interests. Undergraduate co-op students can join PureTech for six month paid internships in our Research department, adding to our talent acquisition pipeline. Participating in life science career fairs is another way of targeting skilled candidates. Beyond this, we are passionate about providing opportunities to those hoping to pursue a career in life sciences. To support first-generation students from under- resourced and under-represented communities, we partner with local organizations like Project Onramp to offer paid summer internships. In 2022, we welcomed 9 interns through our various programs. Happy Intern Day In July 2022, we hosted an intern day coffee break at our Boston HQ to celebrate the future generations of the life sciences industry. This provided an opportunity not only for PureTech to thank our interns for their work but also for participating interns to meet PureTech employees across all functions in order to better understand our business and how they can build their skillsets for an exciting career in biotech. 22% Project Onramp 34% Partnerships with local universities 22% Co-op program 22% Internal referrals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9"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26 PureTech Health plc Annual report and accounts 2022 ESG Report — continued Employee safety training • Mandatory annual safety training provided to all employees in accordance with the Occupational Safety and Health Administration (OSHA) • Mandatory annual active shooter training provided to all employees • Optional annual first aid training provided to all employees by Safety Trainers • Optional annual CRP training provided to all employees • Mandatory DOT/HAZMAT training provided to all lab staff every three years • Mandatory Personal Protective Equipment (PPE) policy training provided to all lab staff year round R&amp;D training • Optional training on how to conduct effective scientific presentations; offered four times a year for R&amp;D team Training and Development We uphold the value of human capital development at PureTech, encouraging managers and employees to discuss job performance and goals on an informal, day-to-day basis while also conducting formal performance evaluations annually. We encourage regular one-on-ones between employees and their supervisors, and progress is monitored via an online portal. This enables employees and managers to have clear visibility over their goals throughout the year, which in turn facilitates ongoing constructive feedback and development. In 2022, 100% of our employees received performance appraisals. For PureTech, career development goes beyond providing opportunities for promotions. We believe an effective career development program entails providing opportunities to enhance employees’ competitive capabilities. To achieve this, we offer a broad range of training to and also fund participations in development programs on a case-by-case basis. Some of the development trainings include: IT training • Mandatory annual IT training provided by Risk Management Solutions (RMS) for all employees • Mandatory annual cybersecurity training for all employees, with follow- on assignment to be completed HR training • Mandatory training at onboarding covering PureTech practices and policies • Special training based on job function; e.g., employees who perform GxP work are assigned matrices by the Quality Assurance department • Leadership coaching for managers Governance training • Mandatory annual anti-harassment training provided by an external partner for all employees • Mandatory annual anti-harassment training provided by an external partner to all managers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0"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27 ESG Report — continued Employee Benefits The physical, financial, social and emotional well-being of our employees is a priority at PureTech. As a result, we provide a range of benefits for employees. An enrollment session is held annually with our benefits administrator, Baystate Benefit Services, to help our employees understand how they can make best use of the benefits available to them. Following a US model since this is where the majority of our employees are based, our benefits and perks include: Premium health plan with an option to choose from a PPO or HMO plan Health Reimbursement Account (HRA) Pre-tax parking and transit benefits Dental plan Benefits continuation (COBRA) Gym membership reimbursement in addition to an onsite gym facility in Boston Vision plan Paid parental leave (up to 12 weeks) Entertainment discounts Short-term and long-term disability plans Onsite nursing and wellness room Life insurance 401(k) retirement plan with 3% non-elective contribution by the company Employee led Cultural Committee Medical FSA Performance share plan Onsite free snacks &amp; drinks Dependent Care FSA One-on-one financial coaching Flexible working plans Technology reimbursement program 24/7 unlimited assistance by ComPsych® on resources and information on life’s challenges PureTech’s performance share plan provides the majority of employees stock options upon joining the organization. We also provide appropriate market-based compensation and incentives in alignment with the goals of the organization and its shareholders. As of 2022, none of our employees are subject to collective bargaining agreements or represented by a trade or labor union. As an employer we are, however, respectful of the rights of our employees, we thus support their right to collective bargaining and freedom of association.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1"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28 PureTech Health plc Annual report and accounts 2022 ESG Report — continued PureTech’s EHS team is led by three specific roles as per the requirements of OSHA. The roles and the responsibilities involved are as follows: Biological Safety Officer (BSO) Oversees all ongoing scientific projects in the company, ensuring compliance with local regulations and guidelines as well as providing guidance to all members of staff conducting biological work. The BSO is also a member of the Institutional Biosafety Committee (IBC). Chemical Hygiene Officer (CHO) Appointed under the Chemical Hygiene Plan, the CHO is responsible for designing, developing, implementing, and maintaining the Company’s chemical hygiene policies and practices. They are also responsible for ensuring appropriate safety procedures and training are in place and ensuring that all hazardous waste is disposed of correctly. Emergency Coordinator The role involves keeping PureTech’s Emergency Plan up to date and reviewing and amending it where necessary. As well as overseeing day-to-day activities, the EHS team reviews EHS protocols on an annual basis, or when emerging reasons demand a process review, such as a lab incident, new project, or the introduction of a new piece of equipment. Commitment 3: Maintaining a robust Employee Health and Safety (EHS) program It is our unyielding commitment to provide a healthy and safe working environment for our employees that supports their physical and mental wellbeing. Throughout the COVID-19 pandemic, we have prioritized the health of our people while ensuring ongoing business continuity through detailed and regularly updated action plans. In 2021, PureTech took steps to evolve its hybrid working model in response to the pandemic. In 2022, we have continued to implement flexible/remote working while maintaining the safety protocols established at the beginning of COVID-19. We continue to conduct mandatory PCR tests for onsite staff and employees can track COVID-19 cases on the employee intranet to mitigate risk. EHS Governance We have a robust Employee Health and Safety Management System (EHSMS) in place that tracks and ensures adherence to all EHS-related activities including employee safety training, lab safety protocols and emergency action planning. Our EHS activities are overseen by a Safety Committee consisting of three underlying sub-committees, with support from an external EHS expert who is certified through the National Registry of Certified Microbiologists (NRCM) and is a Registered Biosafety Professional (RBP). General Safety Committee Establishes EHS-related protocols and applications and submits to IBC and IACUC for review/approval. The committee meets monthly and is formed by PureTech lab operations staff. Institutional Biosafety Committee (IBC) Ensures all research, teaching, and training involving potentially biohazardous agents at our labs are conducted in compliance with US National Institutes of Health (NIH) guidelines, in accordance with Centers for Disease Control (CDC), Prevention Biosafety in Microbiological and Biomedical Laboratories (CDC, BMBL), Occupational Safety and Health Administration (OSHA) and local regulations, and with proper concern for the safety, the environment, and the surrounding communities. The committee meets monthly and reports to US National Institutes of Health (NIH). Institutional Animal Care &amp; Use Committee (IACUC) Ensures our animal testing upholds the US federal regulations on animal care and use. Compliance is recorded through our Public Health Service Assurance document, which is approved by the Office of Laboratory Animal Welfare (OLAW) at NIH. Conduct internal lab/EHS audit Reports to NIH OLAW IBC General Safety Committee IACUC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32"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29 ESG Report — continued Commitment 4: Strengthening engagement and collaboration between people, communities and partners We consider stakeholder engagement and collaboration to be the cornerstone of innovation and key to unlocking the solutions we need to address pressing medical needs. As such, we promote a positive and interconnected company culture among our stakeholders, while ensuring we make a positive difference to the communities closest to us. Employee Engagement We have series of initiatives to promote employee engagement which have been received with great enthusiasm: Employee Intranet, a Connection Hub Features important company information and employee resources in one easily accessible portal. Some of the featured contents include company news, new hire highlights, upcoming company events, employee directory, social gallery and an opportunity to provide feedback. Employee-led Cultural and Social Committee Plan and host D&amp;I-related programs to foster engagement and respect and to create a sense of community belonging for our people. Employee Engagement Survey Anticipated to be conducted every two years, our inaugural employee survey was conducted in 2021 to better understand our employees’ needs, concerns, and satisfaction rate. The results revealed how well PureTech performed in areas such as teamwork, providing a respectful work environment and building strong interconnected teams. The results of our next survey are expected to be reported in our 2023 ESG report. EHS Training and Audits We provide a mandatory safety training program for all our staff and conduct regular internal audits to maintain industry- leading health and safety (H&amp;S) standards. Our H&amp;S training modules consist of the following to integrate and maintain highly effective H&amp;S culture: • Mandatory annual safety training provided to all employees in accordance with the Occupational Safety and Health Administration (OSHA) • Optional annual first aid training provided to all employees by dedicated Safety Trainers • Optional annual CPR training provided to all employees • Mandatory annual active shooter training provided to all employees • Mandatory year-round Personal Protective Equipment (PPE) training provided to all lab staff • Mandatory DOT hazmat training provided to all lab staff Key safety information is communicated to employees through regular internal communication channels such as town hall meetings, bulletin boards, memoranda, and other written internal communications. Employees must report any concerns to a supervisor or PureTech’s operations team. A lab audit is conducted on a quarterly basis to ensure employee safety and compliance with all appropriate regulations. The audit captures action items as required and is reviewed monthly by the Safety Committee. Reporting on Incidents PureTech’s operation is classified as a ‘research and development laboratory’ according to the Standard Industrial Classification (SIC) or North American Industrial Classification System (NAICS) codes and hence we are exempt from reporting on incidents to OSHA. With that said, we continue to practice thorough safety protocols at our lab facilities and are committed to continuously improving our EHS measures driven by our Safety Committee.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3"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30 PureTech Health plc Annual report and accounts 2022 ESG Report — continued Promoting Employee Wellbeing A shift to a hybrid working model has impacted work-life balance for many around the globe. At PureTech, we believe that wellbeing is critical to developing a sustainable and happy workplace. This includes ensuring physical, emotional, financial, social factors as well as a sense of community belonging, and purpose are prioritized. In 2022, we hosted periodic happy hours for all employees to wind down and connect with one another and organized various initiatives and activities to promote employee wellbeing: PureTech Coffee Chat Program We introduced our inaugural PureTech Coffee Chat Program to foster engagement, collaboration and connection amongst our peers. This optional program randomly paired participating employees across various departments to meet in-person or virtually to talk about their work and interests over coffee. The initiative proved to be very successful, with a 47% participation rate and positive feedback from participants. Mental Health Awareness Program In support of Mental Health Awareness month, resources and discounts for wellness programs, such as expert resources and virtual wellness classes, were introduced to all employees. Additionally, we hosted Krista Quinn, a wellness trainer and somatic therapy coach, to provide a guided mediation session to help employees unwind. Employee Outings We hosted a company retreat, joined a corporate sports league, and offered multiple online competition/ entertainment activities throughout the year as opportunities for employees to connect with one another outside of work. In some instances, employees’ family members were welcomed to join the fun. Community Engagement As a community member within Boston’s thriving biotech hub, we are committed to giving back to our community. In 2022, we contributed to several community initiatives and charitable events, which included: Fred Hutch – Climb to Fight Cancer In January 2022, Bharatt Chowrira, PureTech’s President and Chief Business, Finance and Operating Officer, participated in the Fred Hutch Climb to Fight Cancer fundraiser by trekking to the Mt. Everest Base Camp. The goal of the expedition, which was led by Luke Timmerman and comprised of entrepreneurs, executives and investors from the biotech and pharmaceutical industries, was to collectively raise $1M to support cancer research. PureTech is proud to have contributed $15,000 towards the cause, which collectively raised over $1.3M to fund innovative cancer and infectious disease research. In February 2023, Bharatt Chowrira again participated in the Fred Hutch Climb to Fight Cancer fundraiser by climbing Mt. Kilimanjaro, Tanzania. The team collectively raised more than $1.1M to support cancer research. Supporting Ukraine – International Rescue Committee (IRC) In March 2022, PureTech employees supported the International Rescue Committee relief fund to provide vital funds to support Ukrainian humanitarian efforts. With PureTech committed to matching up to $10,000 of employee donations, we were proud to see employee donations reach $6,250, which we matched to contribute a total of $12,500 for the charity. American Red Cross Blood Drive In April 2022, we hosted an American Red Cross blood drive at our HQ in Boston, MA. With millions of patients needing blood transfusions each year, this important initiative aligns to our purpose of helping patients in need, while bringing together our employees to save lives.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34"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31 ESG Report — continued Catie’s Closet Drive In April 2022, we hosted a clothing drive to serve schools with over 50% poverty rate. Catie’s Closet improves school attendance and graduation rates, as well as the mental, emotional, and physical health of students facing poverty, homelessness, and other crises by providing free, in-school access to clothing and basic necessities and uniting with community partners to meet students’ other immediate needs. Catie’s Closet serves over 100 schools across Massachusetts and New Hampshire, helping more than 75,000 students daily. Lymphatic Education &amp; Research Network (LE&amp;RN) Walk In May 2022, we hosted a global walk for LE&amp;RN to raise awareness of lymphatic diseases. We are a proud sponsor of LE&amp;RN, which is a non-profit organization to fight lymphatic diseases through education, research and advocacy. Being a sponsor has given us the opportunity to connect with designated institutions who provide the best possible multi-disciplinary clinical care and services for patients affected by lymphatic diseases. Pulmonary Fibrosis Foundation (PFF) Walk In September 2022, we hosted an in-person charity walk and a fundraiser in honor of Pulmonary Fibrosis Awareness Month, a cause close to our hearts as seen from our most advanced therapeutic candidate LYT-100, which is being developed for the potential treatment of IPF (see page 8 for more). We are proud to have contributed towards the PFF fundraiser walk, which collectively raised over $1M this year. Halloween Candy Drive In September 2022, we participated in the Halloween candy drive hosted by Related Beal to support South Boston Community House – a non-profit organization providing support to family and neighborhood life in South Boston through access to Early Education and Care Preschool, School Age, Education and Career Development Programs, Senior Programs and Family Engagement – and Tierney Learning Center – a Boston based organization with a mission to address the educational, employment, financial stability, and health &amp; wellness goals of low-income families in South Boston. The Greater Boston Food Bank – Hunger Free Holidays Campaign In November 2022, we participated in a fundraiser for the Hunger Free Holidays campaign hosted by the Greater Boston Food Bank to raise awareness and funds during the holiday season for the 1 in 3 who are food insecure. We are proud to have contributed nearly $8K to this cause. Holiday Clothing Drive In December 2022, we participated in the holiday clothing drive hosted by Related Beal to support men, women, and children at the Commonwealth Land Trust in Roxbury and Dorchester – a non- profit organization providing affordable housing and supportive services to the most vulnerable individuals and families in Massachusetts to prevent homelessness, rebuild lives, and preserve neighborhoods – as well as elders at the Edgar P. Benjamin Healthcare Center in Roxbury – a non-profit skilled Nursing and Rehabilitation Center servicing the greater Boston community.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5"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ESG Report — continued 32 PureTech Health plc Annual report and accounts 2022 [Pages 32-43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36"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33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7"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34 PureTech Health plc Annual report and accounts 2022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38"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35 ESG Report — continued 14 All data in this section is taken from the Article 37 Green Building Report and LEED checklist developed by WSP for the building’s landlords, Related Beal.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9"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36 PureTech Health plc Annual report and accounts 2022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0"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37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1"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42"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39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43"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40 PureTech Health plc Annual report and accounts 2022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44"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41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45"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42 PureTech Health plc Annual report and accounts 2022 ESG Report — continued Board of Directors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46"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 SG PureTech Health plc Annual report and accounts 2022 43 ESG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47"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44 PureTech Health plc Annual report and accounts 2022 G o ve rn an ce Risk management The execution of the Group’s strategy is subject to a number of risks and uncertainties. As a clinical-stage biotherapeutics company, the Group operates in an inherently high-risk environment. The overall aim of the Group’s risk management effort is to achieve an effective balancing of risk and reward, although ultimately no strategy can provide an assurance against loss. Risks are formally identified by the Board and appropriate processes are put in place to monitor and mitigate them on an ongoing basis. If more than one event occurs, it is possible that the overall effect of such events would compound the possible effect on the Group. The principal risks that the Board has identified as the key business risks facing the Group are set out in the table below along with the consequences and mitigation of each risk. These risks are only a high-level summary of the principal risks affecting our business; any number of these or other risks could have a material adverse effect on the Group or its financial condition, development, results of operations, subsidiary companies and/or future prospects. Further information on the risks facing the Group can be found on pages 175 to 211 which also includes a description of circumstances under which principal and other risks and uncertainties might arise in the course of our business and their potential impact. Risk Impact* Management Plans/Actions 1     Risks related to science and technology failure The science and technology being developed or commercialized by some of our businesses may fail and/or our businesses may not be able to develop their intellectual property into commercially viable therapeutics or technologies. There is also a risk that certain of the businesses may fail or not succeed as anticipated, resulting in significant decline of our value. The failure of any of our businesses could decrease our value. A failure of one of the major businesses could also impact the perception of PureTech as a developer of high value technologies and possibly make additional fundraising at PureTech or any Founded Entity more difficult. Before making any decision to develop any technology, extensive due diligence is carried out that covers all the major business risks, including technological feasibility, market size, strategy, adoption and intellectual property protection. A capital efficient approach is pursued such that some level of proof of concept has to be achieved before substantial capital is committed and thereafter allocated. Capital deployment is generally tranched so as to fund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 2    Risks related to clinical trial failure Clinical trials and other tests to assess the commercial viability of a therapeutic candidate are typically expensive, complex and time-consuming, and have uncertain outcomes. Conditions in which clinical trials are conducted differ, and results achieved in one 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 A critical failure of a clinical trial may result in termination of the program and a significant decrease in our value. Significant delays in a clinical trial to support the appropriate regulatory approvals could impact the amount of capital required for the business to become fully sustainable on a cash flow basis. We have a diversified model such that any one clinical trial outcome would not significantly impact our ability to operate as a going concern. We have dedicated internal resources to establish and monitor each of the clinical programs in order to try to maximise successful outcomes. We also engage outside experts to help design clinical programs to help provide valuable information and mitigate the risk of failure. Significant scientific due diligence and preclinical experiments are done prior to a clinical trial to attempt to assess the odds of the success of the trial. In the event of the outsourcing of these trials, care and attention are given to assure the quality of the vendors used to perform the work. * When assessing potential impact of a given risk, we looked at the potential effects on our research and development activities, financial health and overall business operations.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48"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45 G o ve rn an ce Risk Impact* Management Plans/Actions 3    Risks related to regulatory approval The pharmaceutical industry is highly regulated. Regulatory authorities across the world enforce a range of laws and regulations which govern the testing, approval, manufacturing, labelling and marketing of pharmaceutical therapeutics. Stringent standards are imposed which relate to the quality, safety and efficacy of these therapeutics. These requirements are a major determinant of whether it is commercially feasible to develop a drug substance or medical device given the time, expertise and expense which must be invested. 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expect. The failure of one of our therapeutics to obtain any required regulatory approval, or conditions imposed in connection with any such approval, may result in a significant decrease in our value. 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 4    Risks related to therapeutic safety 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additional safety warnings may have to be included on the label. Adverse events or unforeseen side effects may also potentially lead to product liability claims being raised against us as the developer of the therapeutics and sponsor of the relevant clinical trials. These risks are also applicable to our Founded Entities and any trials they conduct or therapeutic candidates they develop. 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 We design our therapeutics with safety as a top priority and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 5    Risks related to therapeutic profitability We may not be able to sell our therapeutics profitably if reimbursement from third-party payers such as private health insurers and government health authorities is restricted or not available because, for example, it proves difficult to build a sufficiently strong economic case based on the burden of illness and population impact. 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accepted by patients and the medical community. 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 The failure to obtain reimbursement from third party payers, as well as competition from other therapeutics, could significantly decrease the amount of revenue we may receive from therapeutic sales for certain therapeutics. This may result in a significant decrease in our value. We engage reimbursement experts to conduct pricing and reimbursement studies for our therapeutics to ensure that a viable path to reimbursement, or direct user payment, is available. We also closely monitor the competitive landscape for all of our therapeutics and adapt our business plans accordingly. Not all therapeutics that we are developing will rely on reimbursement. Also, while we cannot control outcomes, we try to design studies to generate data that will help support potential reimbursement. Risk management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49"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46 PureTech Health plc Annual report and accounts 2022 G o ve rn an ce Risk Impact* Management Plans/Actions 6 Risks related to intellectual property protection 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 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 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 7    Risks related to enterprise profitability We expect to continue to incur substantial expenditure in further research and development activities. There is no guarantee that we will become operationally profitable, and, even if we do so, we may be unable to sustain operational profitability. 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 We retain significant cash in order to support funding of our Founded Entities and our Wholly Owned Pipeline.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 8 Risks related to hiring and retaining qualified employees We operate in complex and specialized business domains and require highly qualified and experienced management to implement our strategy successfully. We and many of our businesses are located in the United States which is a highly competitive employment market. Moreover, the rapid development which is envisaged by us may place unsupportable demands on our current managers and employees, particularly if we cannot attract sufficient new employees. There is also the risk that we may lose key personnel. The failure to attract highly effective personnel or the loss of key personnel would have an adverse impact on our ability to continue to grow and may negatively affect our competitive advantage. 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 Risk management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50"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47 G o ve rn an ce Risk Impact* Management Plans/Actions 9     Risks related to business, economic  or public health disruptions Business, economic, financial or geopolitical disruptions or global health concerns could seriously harm our development efforts and increase our costs and expenses. Broad-based business, economic , financial or geopolitical disruptions could adversely affect our ongoing or planned research and development activities. Global health concerns, such as a further pandemic, or geopolitical events, like the ongoing consequences of the invasion of Ukraine,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 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 We develop and execute contingency plans to address risks where appropriate. Risk management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51"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48 PureTech Health plc Annual report and accounts 2022 G o ve rn an ce Viability PureTech Health plc Viability  Statement In accordance with the UK Corporate Governance Code (Governance Code) published in July 2018, the Directors have assessed the prospects of the Company, and with respect to the December 31, 2022, financial position, we have sufficient available funding to extend operations into the first quarter of 2026. This period is deemed appropriate having assessed the financial health as of December 31, 2022. Further, we expect our Wholly Owned Programs (or “Internal segment”) to significantly progress during this period and for key Controlled Founded Entities and Non- Controlled Founded Entities to reach significant development milestones over the period of the assessment. We anticipate our funding to be used to advance our Wholly Owned Programs, to continue research and development efforts, to discover and progress new therapeutic candidates and to fund the Company’s head office costs into the first quarter of 2026. We have also reserved capital to support our Founded Entities, should they require it, to reach significant development milestones over the period of the assessment in conjunction with our external partners. It should be noted that the majority of funding has been allocated to the advancement of the Wholly Owned Programs. The Directors confirm that they have a reasonable expectation that we will continue to operate and meet our obligations as they fall due over the period of the assessment. In making this statement the Directors carried out a robust assessment of the principal risks, including those that would threaten our business model, future performance, solvency or liquidity. This assessment was made in consideration of our strong financial position, current strategy and management of principal risks. The following facts support the Directors’ view of the viability: • We have significant influence over the spending and strategic direction of our Wholly Owned Programs and Controlled Founded Entities. • Our business model is structured so that we are not reliant on the successful outcomes of any one therapeutic or technology within the Wholly Owned Programs, or any Controlled Founded Entity or Non- Controlled Founded Entity. In addition, the fact that the Wholly Owned Programs, Controlled Founded Entities and Non-Controlled Founded Entities (with the exception of Gelesis and Akili) are currently in the research and development stage mean that these therapeutics, technologies and entities are not reliant on cash inflows from product sales or services during the period of this assessment. This also means that we are not highly susceptible to conditions in one or more market sectors in this time frame. Although engaging with collaboration partners is highly valuable from a validation and, in some cases, funding perspective, we are not solely reliant on cash flows from such sources over the period of assessment. Our consolidated cash, cash equivalents and short-term investments as of December 31, 2022, were $350.1 million. Our PureTech Level cash, cash equivalents and short- term investments as of December 31, 2022, were $339.5 million (see our financial review section below with regard to information on this non- IFRS measure). Our PureTech Level cash, cash equivalents and short-term investment position is highly liquid and is forecasted to support infrastructure costs, Wholly Owned Program research and development activities and the appropriate funding of key Controlled Founded Entities and Non-Controlled Founded Entities, in order to reach significant developmental milestones over the period of the assessment. The Board reviews the near-term liquidity and regularly considers funding plans of our Wholly Owned Programs, Controlled Founded Entities and Non-Controlled Founded Entities in our assessment of long-term cash flow projections. While the review has considered all of the principal risks identified, the Board is focused on the pathway to regulatory approval of each therapeutic candidate being developed within our Wholly Owned Pipeline as well as those of our Founded Entities. Further, the Board has considered milestone and royalty funding based on existing collaboration and partnership arrangements, and the ability of the Wholly Owned Program, and each Controlled Founded Entity and Non-Controlled Founded Entity to enter into new collaboration agreements, all of which could be expected to generate cash in-flows but were not included in the assessment. Additionally, given that spending and investment decisions are largely discretionary, there is management control on reducing discretionary spending if unforeseen liquidity risks arise. The Directors note that our ownership stakes in the Controlled Founded Entities and Non-Controlled Founded Entities are expected to be illiquid in nature, with the exception of our ownership stakes in Karuna, Vor and Akili, which are all publicly traded on Nasdaq as well as Gelesis, which was listed on the New York Stock Exchange as of December 31, 2022. In April 2023, Gelesis was delisted from the New York Stock Exchange, refer to Note 26 in our consolidated financial statements for further information. While we anticipate holding these ownership stakes through the achievement of significant milestones or other events, we will continue to be diligent in exploring monetization opportunities after key value accretion has occurred similar to the execution of the sale of 1,000,000 common shares of Karuna for aggregate proceeds of $118.0 million in February 2021, the sale of 750,000 common shares of Karuna for an aggregate proceeds of 100.1 million in November 2021, the sale of 602,100 common shares of Karuna for an aggregate proceeds of $115.5 million in August and September 2022, and the the sale of 535,400 common shares of Vor for an aggregate proceeds of $3.3 million in September and December 2022. We also expect that certain of these Founded Entities may not be successful and this could result in a loss of the amounts previously invested. However, even in this scenario, our liquidity is expected to remain sufficient to achieve the remaining milestone events and fund infrastructure costs. The Directors have concluded, based on our strong financial position and readily available cash, cash equivalents and short-term investments, that we are highly likely to be able to fund our infrastructure requirements, advance multiple clinical trials within our Wholly Owned Pipeline, including trials in more advanced stages, and contribute the amounts considered necessary for the Controlled Founded Entities and Non- Controlled Founded Entities to reach significant development milestones over the period of the assessment. Therefore, there is a reasonable expectation that we have adequate resources and will continue to operate and meet our obligations over the period of the assessment.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52"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49 G o ve rn an ce 1 Funding figure includes private equity financings, loans and promissory notes, public offerings or grant awards. Funding figure excludes future milestone considerations received in conjunction with partnerships and collaborations. Funding figure does not include proceeds from Vedanta’s 2023 post-period financing. 2 Number represents figure for the relevant fiscal year only and is not cumulative. 3 PureTech initiated two clinical trials, PureTech’s partner initiated one clinical trial for LYT-503, and Karuna initiated one clinical trial in 2022. 4 PureTech completed five clinical trials, and Karuna completed one clinical trial in 2022. Key Performance Indicators – 2022 The key performance indicators (KPIs) below measure our performance against our strategy. As PureTech’s strategy has evolved, new KPIs have replaced older metrics that are no longer representative of our progress. Amount of funding secured for Founded Entities $1.28b1,2 $1.25b (98%) came from third parties  2021: $731.9m 2020: $247.8m 2019: $666.8m 2018: $274.0m 2017: $102.9m Progress Karuna, Vor, Gelesis, Akili and Sonde all raised funds in the form of financings and non dilutive grants in 2022, including $1.25 billion by third party financial and strategic investors. Number of programs created for pipeline expansion 12 2021: 2 2020: 3 2019: 1 2018: 1 2017: 1 Progress In 2022, we expanded our Wholly Owned Pipeline with the nomination of of a new therapeutic candidate, LYT-310. LYT-310 is an oral cannabidiol (CBD) prodrug and the second therapeutic candidate developed from our Glyph™ platform to be advanced toward the clinic. Proceeds generated from sales of Founded Entity equity $115.4m2 2021: $218.1 million 2020: $350.6 million 2019: $9.3 million Progress A key component of our strategy is to derive value from the equity growth of our Founded Entities. In 2022, we generated cash proceeds of approximately $115.4 million from the sale of equity in one of our Founded Entities, which we intend to use to fund our operations and growth and to further expand and advance our clinical-stage Wholly Owned Pipeline, while still maintaining significant equity ownership. Number of clinical trial initiations 42,3 2021: 11 2020: 6 2019: 6 Progress PureTech initiated two clinical trials, PureTech’s partner initiated one clinical trial for LYT-503, and Karuna initiated one clinical trial in 2022. Number of Wholly Owned Programs advanced through clinical phases2 12 2021: 1 2020: 3 2019: 0 Progress We advanced one of our Wholly Owned Programs, LYT-100, into late-stage clinical development in 2022. We initiated a Phase 2b dose-ranging trial in idiopathic pulmonary fibrosis (IPF), which is expected to serve as the first of two registration-enabling studies. Number of clinical readouts 62,4 2021: 6 2020: 5 2019: 5 Progress PureTech completed five clinical trials, and Karuna completed one clinical trial in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53"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50    PureTech Health plc  Annual report and accounts 2022 G o ve rn an ce Financial Review Reporting Framework 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44 to 47 and in the Additional Information section from pages 175 to 212, our actual results could differ materially from the results described in or implied by these forward- looking statements. Our audited Consolidated Financial Statements as of December 31, 2022 and 2021, and for the years ended December 31, 2022, 2021 and 2020, have been prepared in accordance with UK-adopted International Financial Reporting Standards (IFRS). The Consolidated Financial Statements also comply fully with IFRSs as issued by the International Accounting Standards Board (IASB). The following discussion contains references to the Consolidated Financial Statements of PureTech Health plc, or the Company, and its consolidated subsidiaries, together the Group.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financial and operating policies. Where the Company has neither control nor significant influence for financial accounting purposes, or when the Company does not hold common shares (or shares similar to common shares) we recognize our holding in such entity as an investment at fair value. For purposes of our Consolidated Financial Statements, each of our Founded Entities are considered to be either a “subsidiary", an “associate” or an "investment held at fair value" depending on whether PureTech Health plc controls or maintains significant influence over the financial and operating policies of the respective entity at the respective period end date. For additional information regarding the accounting treatment of these entities, see Note 1 to our Consolidated Financial Statements included in this report. For additional information regarding our operating structure, see “Basis of Presentation and Consolidation” below. Fair value of Investments held at fair value does not take into consideration contribution from milestones that occurred after December 31, 2022, the value of our interests in our consolidated Founded Entities (Vedanta, Follica, and Entrega), our Wholly Owned Programs, or our cash. Business Background and Results Overview The business background is discussed above from pages 1 to 14, which describes in detail the business development of our Wholly Owned Programs and Founded Entities. Our ability to generate product revenue sufficient to achieve profitability will depend heavily on the successful development and eventual commercialization of one or more of our wholly-owned or Controlled Founded Entities’ therapeutic candidates, which may or may not occur. Our Founded Entities, Gelesis, Inc. ("Gelesis"), and Akili Interactive Labs, Inc. ("Akili"), which we have not controlled since 2019 and 2018, respectively, have therapeutics cleared for sale, but our Wholly Owned Programs and our Controlled Founded Entities have not yet generated any meaningful revenue from product sales, to date. However, we do generate significant cash from the sale of shares of our public Founded Entities. See also Recent Developments section below with regard to the Royalty Pharma agreement signed after balance sheet date. We deconsolidated a number of our Founded Entities, specifically Sonde Health Inc. ("Sonde") in May 2022, Karuna Therapeutics, Inc. ("Karuna"), Vor Biopharma Inc. ("Vor"), and Gelesis in 2019, and Akili in 2018. We expect this trend to continue into the foreseeable future as our Controlled Founded Entities raise additional funding that reduces our ownership interest. Any deconsolidation affects our financials in the following manner: • our ownership interest does not provide us with a controlling financial interest; • we no longer control the Founded Entity's assets and liabilities and as a result we derecognize the assets, liabilities and non-controlling interests related to the Founded Entity from our Consolidated Statements of Financial Position; • we record our non-controlling financial interest in the Founded Entity at fair value; and • the resulting amount of any gain or loss is recognized in our Consolidated Statements of Comprehensive Income/(Loss). We anticipate our expenses to continue to increase proportionally in connection with our ongoing development activities related mostly to the advancement into late-stage studies of the clinical programs within our Wholly Owned Pipeline and Controlled Founded Entities. We also expect that our expenses and capital requirements will increase substantially in the near to mid-term as we: • continue our research and development efforts; • seek regulatory approvals for any therapeutic candidates that successfully complete clinical trials; and • add clinical, scientific, operational financial and management information systems and personnel, including personnel to support our therapeutic development and potential future commercialization claims. In addition, our internal research and development spend will increase in the foreseeable future as we may initiate additional clinical studies for LYT-100, LYT-200 and LYT-300, and progress additional therapeutic candidates into the clinic, such as LYT-310, as well as advance our technology platforms. 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the needs and opportunities for returns with respect to each of these Founded Entities routinely and on a case-by-case basis.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54"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51 G o ve rn an ce Financial Review  — continued As a result, we may need substantial additional funding in the future, following the period described below in the Funding Requirement section,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 Measuring Performance The Financial Review discusses our operating and financial performance, our cash flows and liquidity as well as our financial position and our resources. The results for each year are compared primarily with the results of the preceding year. Reported Performance Reported performance considers all factors that have affected the results of our business, as reflected in our Consolidated Financial Statements. Core Performance Core performance measures are alternative performance measures (APM) which are adjusted and non- 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 Cash flow and liquidity PureTech Level Cash, cash equivalents and short-term investments Measure type: Core performance Definition: Cash and cash equivalents, and Short-term investments held at PureTech Health plc and wholly-owned subsidiaries (PureTech LYT, PureTech LYT-100, Alivio Therapeutics, Inc., PureTech Management, Inc., PureTech Health LLC, PureTech Securities Corp, PureTech Securities II Corp) Why we use it: PureTech Level Cash, cash equivalents and short-term investments is a measure that provides valuable additional information with respect to cash, cash equivalents and short- term investments available to fund the Wholly Owned Programs and make certain investments in Founded Entities Recent Developments (subsequent to December 31, 2022) The Company has evaluated subsequent events after December 31, 2022 up to the date of issuance of the Consolidated Financial Statements, and has not identified any recordable or disclosable events, except for the following: On March 1, 2023 Vedanta issued convertible debt to a syndicate of investors. The initial close of the debt was for proceeds of approximately $88.5 million. The note carries an interest rate of 9 percent per annum. The debt has various conversion triggers and the conversion price is established at the lower of 80% of the equity price of the last financing round, or a certain pre-money valuation cap established in the agreement. As part of the issuance of the debt, the convertible debt holders were granted representation in Vedanta's Board of Directors and PureTech lost control over Vedanta. On April 24, 2023, Vedanta closed the second tranche of the convertible debt for additional proceeds of $18.0 million, of which $5.0 million were invested by the Company. On March 22, 2023, the Company entered into an agreement with Royalty Pharma according to which Royalty Pharma acquired an interset in our royalty from Karuna's KarXT, with $100.0 million in cash up-front, and up to $400.0 million in additional cash consideration, contingent on the achievement of certain regulatory and commercial milestones. Gelesis On February 21, 2023, the Company entered into a Note and Warrant Purchase agreement with Gelesis for $5.0 million cash consideration. As part of the agreement, the Company received a short term convertible senior secured note of $5.0 million and warrants to purchase additional shares of Gelesis' common stock. The note carries an interest rate of 12 percent per annum and holds an initial maturity date of July 31, 2023 unless the note is converted earlier or redeemed by the issuer. 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In addition, in April 2023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55"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52 PureTech Health plc Annual report and accounts 2022 G o ve rn an ce Financial Review  — continued Financial Highlights  The following is the reconciliation of the amounts appearing in our Statement of Financial Position to the Alternative Performance Measure described above: As of: (in thousands) December 31, 2022 December 31, 2021 Cash and Cash Equivalents 149,866 465,708 Short-term investments 200,229 — Consolidated Cash, cash equivalents and short-term investments  350,095 465,708 Less: Cash and Cash Equivalents held at non-wholly owned subsidiaries (10,622) (46,856) PureTech Level Cash, cash equivalents and short-term investments $339,473 $418,851 Basis of Presentation and  Consolidation Our Consolidated Financial Information consolidates the financial information of PureTech Health plc, as well as its subsidiaries, and includes our interest in associates and investments held at fair value, and is reported in four operating segments as described below. Basis for Segmentation  Our Directors are our strategic decision-makers. Our operating segments are based on the financial information provided to our Directors periodically for the purposes of allocating resources and assessing performance. We have determined that each consolidated Founded Entity is representative of a single operating segment as our Directors monitor the financial results at this level. When identifying the reportable segments, we have determined that it is appropriate to aggregate multiple operating segments into a single reportable segment given the high level of operational and financial similarities across the entities. We have identified multiple reportable segments, as presented below. Substantially all of our revenue and profit generating activities are generated within the United States and, accordingly, no geographical disclosures are provided. There was no change to reportable segments in 2022, except for the transfer of Sonde Health, Inc. to the Non-Controlled Founded Entities segment due to the deconsolidation of Sonde Health, Inc on May 25, 2022. The Non-Controlled Founded Entities segment is comprised of the entities in respect of which PureTech Health (i) no longer holds majority voting control as a shareholder or (ii) no longer has the right to elect a majority of the members of the subsidiaries’ Board of Directors. Upon deconsolidation of an entity, the segment disclosure is restated to reflect the change on a retrospective basis, as this constitutes a change in the composition of reportable segments. As of December 31, 2022, the Non- Controlled Founded Entities segment includes Sonde Health, Inc. which was deconsolidated on May 25, 2022. Segment results incorporate the operational results of Sonde Health, Inc. to the date of deconsolidation. Following the date of deconsolidation, the Company accounts for its investment in Sonde Health, Inc. at the parent level, and therefore the results associated with investment activity following the date of deconsolidation is included in the Parent Company and Other section. The Company has revised in this report the prior year segment financial information to conform to the presentation as of and for the year ending December 31, 2022 to include Sonde in the Non-Controlled Founded Entities segment. This change in segments reflects how the Company’s Board of Directors reviews the Group’s results, allocates resources and assesses performance of the Group at this time. Following is the description of our reportable segments: Internal The Internal segment is advancing Wholly Owned Programs, which is focused on improving the lives of patients with devastating diseases. The Internal segment is comprised of the technologies that are wholly owned and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2022, this segment included PureTech LYT, Inc. (formerly Ariya Therapeutics Inc.), PureTech LYT-100, Inc and Alivio Therapeutics, Inc. Controlled Founded Entities The Controlled Founded Entities segment is comprised of our subsidiaries that are currently consolidated operational subsidiaries that either have, or have plans to hire, independent management teams and have previously raised, or are currently in the process of raising, third-party dilutive capital. These subsidiaries have active research and development programs and either have entered into or plan to seek a strategic partnership with an equity or debt investment partner, who will provide additional industry knowledge and access to networks, as well as additional funding to continue the pursued growth of the company. As of December 31, 2022, this segment included Entrega, Inc., Follica, Inc., and Vedanta Biosciences, Inc.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56" descr=""/>
                    <pic:cNvPicPr>
                      <a:picLocks noChangeAspect="1" noChangeArrowheads="1"/>
                    </pic:cNvPicPr>
                  </pic:nvPicPr>
                  <pic:blipFill>
                    <a:blip r:embed="rId8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53 G o ve rn an ce Financial Review  — continued Non-Controlled Founded Entities The Non-Controlled Founded Entities segment is comprised of the entities in respect of which PureTech Health no longer has control over the entity. Upon deconsolidation of an entity the segment disclosure is restated to reflect the change on a retrospective basis, as this constitutes a change in the composition of its reportable segments. The Non-Controlled Founded Entities segment included Sonde Health, Inc. The Non-Controlled Founded Entities segment incorporates the operational results of the aforementioned entities to the date of deconsolidation. Following the date of deconsolidation, we account for our investment in each entity at the parent level, and therefore the results associated with investment activity (including the share in the net loss of associates) following the date of deconsolidation is included in the Parent Company and Other segment (the “Parent Company and Other segment”). Parent Company and Other  Parent Company and Other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Parent Company and Other also captures the accounting for our holdings in entities for which control has been lost, which is inclusive of the following items: gain on deconsolidation, gain or loss on investments held at fair value, realized loss on sale of investments, the share of net income/ (loss) of associates accounted for using the equity method, gain on dilution of ownership interest in associate, impairment of investment in associate. As of December 31, 2022, this segment included PureTech Health plc, PureTech Health LLC, PureTech Management, Inc., PureTech Securities Corp., and PureTech Securities II Corp. as well as certain other dormant, inactive and shell entities. The table below summarizes the entities that comprised each of our segments as of December 31, 2022: Internal Segment PureTech LYT 100.0% PureTech LYT-100, Inc. 100.0% Alivio Therapeutics, Inc. 100.0% Controlled Founded Entities Entrega, Inc. 77.3% Follica, Incorporated 85.4% Vedanta Biosciences, Inc. 47.0% Non-Controlled Founded Entities Sonde Health, Inc. 40.2% Parent Segment1 Puretech Health plc 100.0% PureTech Health LLC 100.0% PureTech Securities Corporation 100.0% PureTech Securities II Corporation 100.0% PureTech Management, Inc. 100.0% 1 Includes dormant, inactive and shell entities that are not listed here.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57" descr=""/>
                    <pic:cNvPicPr>
                      <a:picLocks noChangeAspect="1" noChangeArrowheads="1"/>
                    </pic:cNvPicPr>
                  </pic:nvPicPr>
                  <pic:blipFill>
                    <a:blip r:embed="rId8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54 PureTech Health plc Annual report and accounts 2022 G o ve rn an ce Financial Review  — continued Components of Our Results  of Operations  Revenue To date, we have not generated any meaningful revenue from product sales and we do not expect to generate any meaningful revenue from product sales for the near term future. We derive our revenue from the following: Contract revenue 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 Grant Revenue Grant revenue is derived from grant awards we receive from governmental agencies and non-profit organizations for certain qualified research and development expenses. We recognize grants from governmental agencies as grant income in the Consolidated Statement of Comprehensive Income/ (Loss),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 For proceeds from sale of our investments held at fair value, please see our Consolidated Cash flow Statements, Net cash provided by investing activities. Operating Expenses  Research and Development Expenses Research and development expenses consist primarily of costs incurred for our research activities, including our discovery efforts, and the development of our wholly-owned and our Controlled Founded Entities’ therapeutic candidates, which include: • employee-related expenses, including salaries, related benefits and equity-based compensation; • expenses incurred in connection with the preclinical and clinical development of our wholly- owned and our Founded Entities’ therapeutic candidates, including our agreements with contract research organizations, or CROs; • expenses incurred under agreements with consultants who supplement our internal capabilities; • the cost of lab supplies and acquiring, developing and manufacturing preclinical study materials and clinical trial materials; • costs related to compliance with regulatory requirements; and • facilities, depreciation and other expenses, which include direct and allocated expenses for rent and maintenance of facilities, insurance and other operating costs. 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Research and development activities are central to our business model. Therapeutic candidates in later stages of clinical development generally have higher development costs than those in earlier stages of clinical development, primarily due to the increased size and duration of later- stage clinical trials. We expect that our research and development expenses will continue to increase for the foreseeable future in connection with our planned preclinical and clinical development activities in the near term and in the future. The successful development of our wholly-owned and our Founded Entities’ therapeutic candidates is highly uncertain. As such, at this time, we cannot reasonably estimate or know the nature, timing and estimated costs of the efforts that will be necessary to complete the remainder of the development of these therapeutic candidates. We are also unable to predict when, if ever, material net cash inflows will commence from our wholly-owned or our Founded Entities’ therapeutic candidates. This is due to the numerous risks and uncertainties associated with developing therapeutics, including the uncertainty of: • progressing research and development of our Wholly Owned Pipeline, including LYT-100, LYT-200, LYT-300, LYT-310 and continuing to progress our various technology platforms and other potential therapeutic candidates based on previous human efficacy and clinically validated biology within our Wholly Owned Programs; • establishing an appropriate safety profile with investigational new drug application; • the success of our Founded Entities and their need for additional capital; • identifying new therapeutic candidates to add to our Wholly Owned Pipeline; • successful enrollment in, and the initiation and completion of, clinical trials; • the timing, receipt and terms of any marketing approvals from applicable regulatory authorities; • commercializing our wholly- owned and our Founded Entities’ therapeutic candidates, if approved, whether alone or in collaboration with others; • establishing commercial manufacturing capabilities or making arrangements with third- party manufacturers; • addressing any competing technological and market developments, as well as any changes in governmental regulations; • negotiating favorable terms in any collaboration, licensing or other arrangements into which we may enter and performing our obligations under such arrangements; • maintaining, protecting and expanding our portfolio of intellectual property rights, including patents, trade secrets and know-how, as well as obtaining and maintaining regulatory exclusivity for our wholly- owned and our Founded Entities’ therapeutic candidates; • continued acceptable safety profile of our therapeutics, if any, following approval; and • attracting, hiring and retaining qualified personnel. A change in the outcome of any of these variables with respect to the development of a therapeutic candidate could mean a significant change in the costs and timing associated with the development of that therapeutic candidate. For example, the FDA, the EMA,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58" descr=""/>
                    <pic:cNvPicPr>
                      <a:picLocks noChangeAspect="1" noChangeArrowheads="1"/>
                    </pic:cNvPicPr>
                  </pic:nvPicPr>
                  <pic:blipFill>
                    <a:blip r:embed="rId9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55 G o ve rn an ce Financial Review  — continued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 General and Administrative Expenses General and administrative expenses consist primarily of salaries and other related costs, including stock- 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 We expect that our general and administrative expenses will increase in the future as we increase our general and administrative headcount to support our continued research and development and potential commercialization of our portfolio of therapeutic candidates. Total Other Income/(Loss) Gain on Deconsolidation of Subsidiary 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 Gain/(Loss) on Investments Held at Fair Value Investments held at fair value include both unlisted and listed securities held by us, which include investments in Akili, Gelesis, Karuna, Vor and Sonde and certain insignificant investments. We account for investments in preferred shares of our associates in accordance with IFRS 9 as Investments Held at Fair Value when the preferred shares do not provide access to returns underlying ownership interests. Our ownership in Akili was in preferred shares until August 2022 at which time the preferred shares were exchanged into common shares as part of Akili SPAC merger (See Note 5 in the Consolidated financial statements). Our ownership in Vor was in preferred shares until February 2021 at which time the preferred shares were converted into common shares as part of Vor Initial Public Offering. Preferred shares formed part of our ownership in Gelesis and such preferred shares were accounted for as Investments Held at Fair value while the common stock investment is accounted for under the equity method. When the investment in common stock was reduced to zero by equity method losses, subsequent equity method losses were applied to the preferred share investment, which was considered to be a Long-term Interest. In January 2022, as part of the Gelesis SPAC merger with Capstar, the Gelesis preferred shares were exchanged for common shares in the new Gelesis entity and were treated as an additional investment in Gelesis equity interest accounted for under the equity method (for further details see Note 6 in the consolidated financial statements). Our common stock investment in Karuna is accounted for under IFRS 9 as an investment held at fair value. Our A-2 and B preferred share investments in Sonde are accounted for as investments held at fair value Realized loss on sale of Investments Realized loss on sale of investments held at fair value relates to realized differences in the per share disposal price of a listed security as compared to the per share exchange quoted price at the time of disposal. The difference in 2020 and 2021 is attributable to a block sale discount, due to a variety of market factors, primarily the number of shares being transacted was significantly larger than the daily trading volume of the security. The difference in 2022 is attributed to the settlement of call options written by the Company on Karuna stock. Other Income (Expense) Other income (expense) consists primarily of gains and losses on financial instruments and in 2022 relates primarily to the backstop agreement with Gelesis (see Note 6 in the consolidated financial statements). In prior years includes also sub-lease income. Finance Costs/Income Finance costs consist of loan interest expense and the changes in the fair value of certain liabilities associated with financing transactions, mainly preferred share liabilities in respect of preferred shares issued by our non wholly owned subsidiaries to third parties. Finance income consists of interest income on funds invested in money market funds and U.S. treasuries. Share of Net Gain (Loss) of Associates Accounted for Using the Equity Method, Gain on Dilution of Ownership Interest and Impairment of Investment in Associate 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the share of losses exceeds the net investment in the investee, including the investment in preferred shares that are considered Long-term Interests, the carrying amount is reduced to nil and recognition of further losses is discontinued except to the extent that we have incurred legal or constructive obligations or made payments on behalf of an investee. We compare the recoverable amount of the investment to its carrying amount on a go-forward basis and determine the need for impairment. We recorded an impairment in the common stock investment in Gelesis in the year ended December 31, 2022. When our share in the equity of the investee changes as a result of equity transactions in the investee (related to financing events of the investee), we calculate a gain or loss on such change in ownership and related share in the investee's equity. During the year ended December 31, 2022 we recorded a gain on dilution of our ownership interest in Gelesis.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59" descr=""/>
                    <pic:cNvPicPr>
                      <a:picLocks noChangeAspect="1" noChangeArrowheads="1"/>
                    </pic:cNvPicPr>
                  </pic:nvPicPr>
                  <pic:blipFill>
                    <a:blip r:embed="rId9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56 PureTech Health plc Annual report and accounts 2022 G o ve rn an ce Financial Review  — continued Income Tax 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 Results of Operations The following table, which has been derived from our audited financial statements for the years ended December 31, 2022, 2021 and 2020, included herein, summarizes our results of operations for the periods indicated, together with the changes in those items in dollars: Year ended December 31, (in thousands) 2022 2021 2020 Change (2021 to 2022) Change (2020 to 2021) Contract revenue $2,090 $9,979 $8,341 $(7,889) $1,638 Grant revenue 13,528 7,409 3,427 6,119 3,982 Total revenue 15,618 17,388 11,768 (1,770) 5,621 Operating expenses:   General and administrative expenses (60,991) (57,199) (49,440) (3,792) (7,760) Research and development expenses (152,433) (110,471) (81,859) (41,962) (28,612) Operating income/(loss) (197,807) (150,282) (119,531) (47,524) (30,751) Other income/(expense):   Gain on deconsolidation of subsidiary 27,251 — — 27,251 — Gain/(loss) on investment held at fair value (32,060) 179,316 232,674 (211,377) (53,358) Realized loss on sale of investment (29,303) (20,925) (54,976) (8,378) 34,051 Other income/(expenses) 8,131 1,592 1,035 6,539 557 Other income/(loss) (25,981) 159,983 178,732 (185,965) (18,749) Net finance income/(costs) 138,924 5,050 (6,115) 133,875 11,164 Share of net income/(loss) of associates accounted for using the equity method (27,749) (73,703) (34,117) 45,954 (39,587) Gain on dilution of ownership interest in associate 28,220 — — 28,220 — Impairment of investment in associate (8,390) — — (8,390) — Income/(loss) before income taxes (92,783) (58,953) 18,969 (33,830) (77,922) Taxation 55,719 (3,756) (14,401) 59,475 10,645 Net income/(loss) including non-controlling  interest (37,065) (62,709) 4,568 25,644 (67,277) Net income/(loss) for the year attributable to the  Owners of the Company $(50,354) $(60,558) $5,985 $10,204 $(66,543) Comparison of the Years Ended December 31, 2022 and 2021 Total Revenue Year ended December 31, (in thousands) 2022 2021 Change Contract Revenue:   Internal Segment $— $8,129 $(8,129) Controlled Founded Entities 1,500 1,500 — Non-Controlled Founded Entities 81 115 (34) Parent Company and other 509 235 274 Total Contract Revenue $2,090 $9,979 $(7,889) Grant Revenue:   Internal Segment $2,826 $1,253 $1,573 Controlled Founded Entities 10,702 6,156 4,546 Total Grant Revenue $13,528 $7,409 $6,119 Total Revenue $15,618 $17,388 $(1,770) Our total revenue was $15.6 million for the year ended December 31, 2022, a decrease of $1.8 million, or 10.2 percent compared to the year ended December 31, 2021. The decrease was primarily attributable to a decrease of $8.1 million in Contract Revenue in our Internal Segment due to the conclusion of certain collaboration activities, partially offset by an increase in Grant Revenue of $4.5 million in the Controlled Founded Entities segment, driven by an increase in grants received in our controlled founded entity, as well as an increase of $1.6 million in Grant Revenue within the Internal segment as a result of increased grant-related activities in such segment.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60" descr=""/>
                    <pic:cNvPicPr>
                      <a:picLocks noChangeAspect="1" noChangeArrowheads="1"/>
                    </pic:cNvPicPr>
                  </pic:nvPicPr>
                  <pic:blipFill>
                    <a:blip r:embed="rId9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57 G o ve rn an ce Financial Review  — continued Research and Development Expenses Year ended December 31, (in thousands) 2022 2021 Change Research and Development Expenses: Internal Segment $(116,054) $(65,444) $50,610 Controlled Founded Entities (34,668) (40,667) (5,999) Non-Controlled Founded Entities (826) (3,116) (2,290) Parent Company and other (885) (1,244) (359) Total Research and Development Expenses: $(152,433) $(110,471) $41,962 Our research and development expenses were $152.4 million for the year ended December 31, 2022, an increase of $42.0 million, or 38.0 percent compared to the year ended December 31, 2021. The change was primarily attributable to an increase of $50.6 million in research and development expenses incurred by the Internal segment due to the advancement of programs in clinical testing partially offset by decreases in the research and development expenses of $6.0 million and $2.3 million by the Controlled Founded Entities and the Non-Controlled Founded Entities, respectively. We progressed our ongoing clinical trials of LYT-100, LYT-200 and of LYT 300 in multiple indications, as well as advanced our research activities. The increase in the Internal Segment was primarily driven by an increase in clinical trial and clinical research organization expenditures of $32.7 million, an increase in research and development related employee compensation expense of $10.5 million (including an increase of $2.0 million in non cash stock based compensation expense), an increase in analytical and contract manufacturing testing costs of $4.8 million, and an increase in consulting and professional fees of $3.3 million. The decrease in the Controlled Founded Entities was driven by a $3.5 million reimbursement of expenses related to a settlement reached with a prior collaboration partner as well as additional decreases of approximately $3 million in clinical study costs. The decrease in Non-Controlled Founded Entities was due to the fact that in 2022 the results of operations of Sonde are included only through the date of deconsolidation while in 2021 such results are included for a full year. General and Administrative Expenses Year ended December 31, (in thousands) 2022 2021 Change General and Administrative Expenses:   Internal Segment $(8,301) $(8,673) $(373) Controlled Founded Entities (16,462) (17,504) (1,042) Non-Controlled Founded Entities (1,296) (3,225) (1,929) Parent Company and other (34,933) (27,797) 7,136 Total General and Administrative Expenses $(60,991) $(57,199) $3,792 Our general and administrative expenses were $61.0 million for the year ended December 31, 2022, an increase of $3.8 million, or 6.6 percent compared to the year ended December 31, 2021. The change was attributable to an increase of $7.1 million in the Parent Company and other segment, offset by a decreases of $1.9 million in the Non-Controlled Founded Entities segment, $1.0 million in the Controlled Founded Entities, and $0.4 million in the Internal Segment. The increase in the Parent Company and other segment was driven by a $2.5 million increase in employee compensation expense due to increase in headcount and adjustments to compensation due to inflation, as well as a $4.5 million increase in other taxes, while the decrease in Non-Controlled Founded Entities was driven by the fact that in 2022 the results of operations of Sonde are included only through the date of deconsolidation while in 2021 such results are included for a full year. The decrease in Controlled Founded Entities results from a decrease in employee compensation expenses. Total Other Income (Loss) Total Other loss was $26.0 million for the year ended December 31, 2022 compared to Other income of $160.0 million for the year ended December 31, 2021, reflecting a change of $186.0 million. The increase in losses was primarily attributable to a loss from investments held at fair value of $32.1 million for the year ended December 31, 2022, compared to a gain of $179.3 million for the year ended December 31, 2021 and to a much lesser extent an increase in realized loss from the sale of an investment of $8.4 million. The loss from investments held at fair value for the year ended December 31, 2022 was primarily attributed to our holdings in Akili, Vor and Gelesis earn-out shares, partially offset by a gain on Karuna holdings (see Note 5 in our consolidated financial statements for further details). The aforementioned increase in losses was partially offset by a one-time gain of $27.3 million as a result of the deconsolidation of Sonde and a gain of $7.6 million in respect of the Gelesis back-stop agreement (See Note 5 to the Consolidated Financial Statements for more details) during the year ended December 31, 2022. Net Finance Income (Costs) Net finance Income was $138.9 million for the year ended December 31, 2022, compared to net finance income of $5.0 million for the year ended December 31, 2021, reflecting a change of $133.9 million in Net finance Income (costs). The change was primarily attributable to the fact that during the year ended December 31, 2022 net change in fair value of subsidiaries' preferred shares, warrant and convertible note liabilities was income of $137.1 million, primarily related to change in fair value of Vedanta preferred share liabilities, while for the year ended December 31, 2021 such change was a gain of $9.6 million, leading to increased income of $127.5 million. To a much lesser extent, the increase in finance income was also derived from a $0.8 million decrease in contractual interest expense on subsidiary convertible notes, and a $5.6 million increase in interest income from financial assets during the year ended December 31, 2022, as compared to the year ended December 31, 2021.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61" descr=""/>
                    <pic:cNvPicPr>
                      <a:picLocks noChangeAspect="1" noChangeArrowheads="1"/>
                    </pic:cNvPicPr>
                  </pic:nvPicPr>
                  <pic:blipFill>
                    <a:blip r:embed="rId9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58 PureTech Health plc Annual report and accounts 2022 G o ve rn an ce Financial Review  — continued Share of Net Income/(loss) of Associates accounted for using the equity method, Gain on Dilution of Interest in Associate and Impairment of Investment in Associate For the year ended December 31, 2022, the share in net loss of associates reported under the equity method was $27.7 million as compared to the share in net loss of $73.7 million for the year ended December 31, 2021. The change was primarily attributable to a decrease in our equity interest in Gelesis following the SPAC exchange (see Note 6 to our Consolidated Financial Statements), as well as a decrease in Gelesis losses reported under IFRS for the year ended December 31, 2022, as compared to the losses reported for the year ended December 31, 2021. In addition, during the year ended December 31, 2022, PureTech recorded a gain on dilution of its equity ownership interest in Gelesis of $28.2 million as a result of the completion of the merger with CapStar on January 13, 2022 - See Note 6 to the Consolidated Financial Statements for more details. Also, during the year ended December 31, 2022, the Company recorded an impairment in its investment in Gelesis of $8.4 million. Taxation Income tax expense was a benefit of $55.7 million for the year ended December 31, 2022, as compared to an expense of $3.8 million for the year ended December 31, 2021. The increase in the income tax benefit was primarily attributable to the increase in gains that are non taxable for the year ended December 31, 2022 as compared to the year ended December 31, 2021 and to a lesser extent to a 2022 change in state apportionment. For a full reconciliation from the statutory tax rate to the effective tax rate, see Note 25 to our Consolidated Financial Statements. Comparison of the Years Ended December 31, 2021 and 2020 Total Revenue Year Ended December 31, (in thousands) 2021 2020 Change Contract Revenue: Internal Segment $8,129 $5,297 $2,833 Controlled Founded Entities 1,500 896 604 Non-Controlled Founded Entities 115 93 22 Parent Company and other 235 2,054 (1,819) Total Contract Revenue $9,979 $8,341 $1,638 Grant Revenue: Internal Segment $1,253 $1,563 $(310) Controlled Founded Entities 6,156 1,864 4,292 Total Grant Revenue $7,409 $3,427 $3,982 Total Revenue $17,388 $11,768 $5,621 Our total revenue was $17.4 million for the year ended December 31, 2021, an increase of $5.6 million, or 47.8 percent compared to the year ended December 31, 2020. The increase was primarily attributable to an increase of $2.8 million in contract revenue in the Internal segment, which was primarily driven by a $6.5 million increase in revenue due to payment from Imbrium Therapeutics, Inc. following the exercise of the option to acquire an exclusive license for the Initial Product Candidate. The increase was partially offset by a decrease in contract revenue of $3.7 million recognized under IFRS 15 due to the completion of development activities related to revenues associated with multiple collaborations in the year ended December 31, 2021. The increase was also driven by an increase of $4.3 million in grant revenue in the Controlled Founded Entities segment for the year ended December 31, 2021, which was driven primarily by Vedanta's grant revenue earned pursuant to its CARB-X and BARDA agreements. The aforementioned increases were partially offset by a non- recurrent milestone payment of $2.0 million received from Karuna (and included in Parent Company and Other) in the year ended December 31, 2020. Research and Development Expenses Year Ended December 31, (in thousands) 2021 2020 Change Research and Development Expenses: Internal Segment $(65,444) $(45,346) $20,098 Controlled Founded Entities (40,667) (33,152) 7,515 Non-Controlled Founded Entities (3,116) (3,128) (12) Parent Company and other (1,244) (234) 1,010 Total Research and Development Expenses: $(110,471) $(81,859) $28,612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62" descr=""/>
                    <pic:cNvPicPr>
                      <a:picLocks noChangeAspect="1" noChangeArrowheads="1"/>
                    </pic:cNvPicPr>
                  </pic:nvPicPr>
                  <pic:blipFill>
                    <a:blip r:embed="rId9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59 G o ve rn an ce Financial Review  — continued Our research and development expenses were $110.5 million for the year ended December 31, 2021, an increase of $28.6 million, or 35.0 percent compared to the year ended December 31, 2020. The change was primarily attributable to an increase of $20.1 million in research and development expenses incurred by the Internal segment due to the advancement of programs in clinical testing. This was primarily driven by an increase in clinical trial and clinical research organization expenditures of $14.0 million, an increase in research and development related consulting and professional fees of $2.5 million and an increase in research and development related salaries and stock compensation of $2.6 million. We progressed our ongoing clinical trials of LYT-100 and LYT- 200 in multiple indications and initiated a clinical trial with respect to LYT 300, as well as advanced pre-clinical studies and research related to multiple candidates and research platforms. The increase was further attributable to an increase of $7.5 million in research and development expenses incurred by the Controlled Founded Entities segment, primarily attributable to Vedanta as they progressed their therapeutic candidates VE202, VE303, VE416 and VE800 towards meaningful milestones. General and Administrative Expenses Year Ended December 31, (in thousands) 2021 2020 Change General and Administrative Expenses: Internal Segment $(8,673) $(3,482) $5,191 Controlled Founded Entities (17,504) (10,752) 6,752 Non-Controlled Founded Entities (3,225) (2,939) 286 Parent Company and other (27,797) (32,267) (4,470) Total General and Administrative Expenses $(57,199) $(49,440) $7,760 Our general and administrative expenses were $57.2 million for the year ended December 31, 2021, an increase of $7.8 million, or 15.7 percent compared to the year ended December 31, 2020. The increase was primarily attributable to an increase of $7.0 million in the Controlled Founded Entities segment, which was primarily driven by non-cash increases of $2.9 million in stock based compensation expense, $1.4 million increase in payroll-related costs due to increased personnel, an increase in professional fees of $1.1 million, and an increase in legal fees of $0.9 million. The increase was further attributable to an increase of $5.2 million in the Internal segment, which was primarily driven by an increase in the management fee charged by the Parent company of $6.2 million which was partially offset by a decrease in depreciation expense of $0.5 million for the year ended December 31, 2021. The decrease in the Parent Company and other of $4.5 million was primarily attributable to the allocation of management fee charged to other segments of $7.0 million which was partially offset by an increase in professional and recruiting fees of $0.9 million and an increase in business insurance of $1.7 million for the year ended December 31, 2021. Total Other Income (Loss) Total other income was $160.0 million for the year ended December 31, 2021 a decrease of $18.7 million, compared to the year ended December 31, 2020. The decline in other income was primarily attributable to a decrease in gains from investments held at fair value of $53.4 million, primarily driven by the change in the fair value of the investment in Karuna. These gains from investments held at fair value were partially offset by losses realized on sale of certain investments held at fair value, as a result of the block sale discount included in the sale. The losses realized on sale of certain investments held at fair value for the year ended December 31, 2021 decreased $34.1 million compared to the year ended December 31, 2020. Net Finance Income (Costs) Net finance costs were $5.0 million for the year ended December 31, 2021, a change of $11.2 million, compared to net finance costs of $6.1 million for the year ended December 31, 2020. The change was primarily attributable to a $14.0 million change leading to increased income in respect of the change in the fair value of our preferred shares, warrant and convertible note liabilities held by third parties, partially offset by a $1.8 million increase in contractual finance costs, mainly in our controlled founded entity, Vedanta, and a $1.0 million decline in interest income from financial assets for the year ended December 31, 2021. Share of Net Gain (Loss) in Associates Accounted for Using the Equity Method, and Impairment of Investment in Associate For the year ended December 31, 2021, the share in net loss of associates reported under the equity method was $73.7 million as compared to the share of net loss of $34.1 million for the year ended December 31, 2020. The change was primarily attributable to an increase in Gelesis losses reported under IFRS for the year ended December 31, 2021 as compared to the losses reported for the year ended December 31, 2020, due to an increase in the fair value of Gelesis financial instrument liabilities that are accounted for at Fair Value Through Profit and Loss (FVTPL). Taxation Income tax expense was $3.8 million for the year ended December 31, 2021,as compared to income tax expense of $14.4 million for the year ended December 31, 2020. The decrease in income tax expense was primarily attributable to the decrease in profit before tax in entities in the U.S. Federal and Massachusetts consolidated return groups of the Company. For information on the change in the tax rate, see Note 25 in the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63" descr=""/>
                    <pic:cNvPicPr>
                      <a:picLocks noChangeAspect="1" noChangeArrowheads="1"/>
                    </pic:cNvPicPr>
                  </pic:nvPicPr>
                  <pic:blipFill>
                    <a:blip r:embed="rId9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60    PureTech Health plc  Annual report and accounts 2022 G o ve rn an ce Financial Review  — continued Critical Accounting Policies and Significant Judgments and Estimates Our management’s discussion and analysis of our financial condition and results of operations is based on our financial statements, which we have prepared in accordance with UK-adopted International Financial Reporting Standards (IFRS). The Consolidated Financial Statements also comply fully with IFRSs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 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 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to our consolidated financial statements for a further detailed description of our significant accounting policies. Financial instruments We account for our financial instruments according to IFRS 9. As such, when issuing preferred shares in our subsidiaries we determine the classification of financial instruments in terms of liability or equity. Such determination involves significant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 In accordance with IFRS 9 we carry certain investments in equity securities at fair value as well as our subsidiary preferred share, convertible notes and warrant liabilities, all through profit and loss (FVTPL).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earnings potential of the subsidiary businesses, appropriate discount rate, appropriate volatility, appropriate term to exit and other industry and company specific risk factors. Consolidation: The consolidated financial statements include the financial statements of the Company and the entities it controls. Based on the applicable accounting rules, the Company controls an investee when it is exposed, or has rights, to variable returns from its involvement with the investee and has the ability to affect those returns through its power over the investee. Therefore an assessment is required to determine whether the Company has (i) power over the investee; (ii) exposure, or rights, to variable returns from its involvement with the investee; and (iii) the ability to use its power over the investee to affect the amount of the investor’s returns. Judgement is required to perform such assessment and it requires that the Company considers, among others, activities that most significantly affect the returns of the investee, its voting shares, representation on the board, rights to appoint board members and management, shareholders agreements, de facto power and other contributing factors. Investment in Associates 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 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our share of losses exceeds the net investment in an equity accounted investee, including preferred share investments that are considered to be Long-Term Interests,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PureTech is accounted for in accordance with IFRS 9. Judgement is required in order to determine whether we have significant influence over financial and operating policies of investees. This judgement includes, among others, an assessment whether we have representation on the Board of Directors of the investee, whether we participate in the policy making processes of the investee, whether there is any interchange of managerial personnel, whether there is any essential technical information provided to the investee and if there are any transactions between us and the investee. Judgement is also required to determine which instruments we hold in the investee form part of the investment in the associate,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 Where the company has other investments in an equity accounted investee that are not accounted for under IAS 28, judgement is required in determining if such investments constitute Long-Term Interests for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64" descr=""/>
                    <pic:cNvPicPr>
                      <a:picLocks noChangeAspect="1" noChangeArrowheads="1"/>
                    </pic:cNvPicPr>
                  </pic:nvPicPr>
                  <pic:blipFill>
                    <a:blip r:embed="rId9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61 G o ve rn an ce Financial Review  — continued Cash Flows The following table summarizes our cash flows for each of the periods presented: Year ended December 31, (in thousands) 2022 2021 2020 Net cash used in operating activities $(178,792) $(158,274) $(131,827) Net cash provided by (used in) investing activities (107,223) 197,375 364,478 Net cash provided by (used in) financing activities (29,827) 22,727 38,869 Net increase (decrease) in cash and cash equivalents $(315,842) $61,827 $271,520 Operating Activities Net cash used in operating activities was $178.8 million for the year ended December 31, 2022, as compared to $158.3 million for the year ended December 31, 2021, resulting in an increase of $20.5 million in net cash used in operating activities. The increase in outflows is primarily attributable to our higher operating loss mainly due to an increase in research and development activities in the Internal Segment, partially offset by the timing of receipts and payments in the normal course of business. Net cash used in operating activities was $158.3 million for the year ended December 31, 2021, as compared to $131.8 million for the year ended December 31, 2020. The increase in outflows is primarily attributable to our higher operating loss and higher income taxes paid of $7.0 million, and to a lesser extent the timing of receipts and payments in the normal course of business. Investing Activities Net cash used in investing activities was $107.2 million for the year ended December 31, 2022, as compared to inflows of $197.4 million for the year ended December 31, 2021, resulting in a decrease of $304.6 million in net cash resulting from investing activities. The decrease in the net cash resulting from investing activities was primarily attributed to a decrease in proceeds from the sale of investments held at fair value of $99.4 million and to the purchase of short term investments, that net of redemptions amounted to $198.7 million for the year ended December 31, 2022. Net cash provided by investing activities was $197.4 million for the year ended December 31, 2021, as compared to inflows of $364.5 million for the year ended December 31, 2020, resulting in a decrease of $167.1 million in net cash provided by investing activities. The decrease in the net cash provided by investing activities was primarily attributed to the decrease in proceeds from the sale of investments held at fair value of $132.5 million (proceeds from such sales were $218.1 million for the year ended December 31, 2021 vs. $350.6 million for the year ended December 31, 2020) and the fact that for the year ended December 31, 2020 the Company had proceeds of $30.1 million from maturity of short term investments while for the year ended December 31, 2021, there were no such cash inflows. Financing Activities Net cash used in financing activities was $29.8 million for the year ended December 31, 2022, as compared to net cash provided by financing activities of $22.7 million for the year ended December 31, 2021, resulting in a decrease of $52.6 million in the net cash resulting from financing activities. The decrease in the net cash resulting from financing activities was primarily attributable to the fact that in the year ended December 31, 2021 there was an issuance of subsidiary preferred shares of $37.6 million while for the year ended December 31, 2022 there was no such issuance, and due to the treasury share purchases of $26.5 million for the year ended December 31, 2022 while there were no such purchases for the year ended December 31, 2021. This decrease was partially offset by the fact that during year ended December 31, 2021 there were payments to settle equity settled stock based awards of $13.3 million, while for the year ended December 31, 2022 there were no such payments made. the purposes of IAS 28 (please refer to Notes 5 and 6).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Recent Accounting Pronouncements For information on recent accounting pronouncements, see our consolidated financial statements and the related notes found elsewhere in this report. Cash Flow and Liquidity Our cash flows may fluctuate and are difficult to forecast and will depend on many factors, including: • the expenses incurred in the development of wholly-owned and Controlled Founded Entity therapeutic candidates; • the revenue, if any, generated by wholly-owned and Controlled- Founded Entity therapeutic candidates; • the revenue, if any, generated from licensing and royalty agreements with Founded Entities; • the financing requirements of the Internal segment, Controlled- Founded Entities segment and Parent segment; and • the investing activities related to the Internal, Controlled-Founded Entities, Non-Controlled Founded Entities and Parent segments, including the monetization, through sale, of shares held in our public Founded Entities. As of December 31, 2022, we had consolidated cash and cash equivalents of $149.9 million and consolidated cash, cash equivalents and short term investments of $350.1 million. As of December 31, 2022, we had PureTech Level cash, cash equivalents and short- term investments of $339.5 million. PureTech Level cash, cash equivalents and short-term investments is a non-IFRS measure (for a definition of PureTech Level cash, cash equivalents and short-term investments and a reconciliation to the IFRS number, see the section Measuring Performance earlier in this Financial review).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65" descr=""/>
                    <pic:cNvPicPr>
                      <a:picLocks noChangeAspect="1" noChangeArrowheads="1"/>
                    </pic:cNvPicPr>
                  </pic:nvPicPr>
                  <pic:blipFill>
                    <a:blip r:embed="rId9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62 PureTech Health plc Annual report and accounts 2022 G o ve rn an ce Financial Review  — continued Net cash provided by financing activities was $22.7 million for the year ended December 31, 2021, as compared to $38.9 million for the year ended December 31, 2020, resulting in a decrease of $16.1 million in the net cash provided by financing activities. The decrease in the net cash provided by financing activities was primarily attributable to the decrease in proceeds from issuance of convertible notes in subsidiaries of $22.8 million and the fact that for the year ended December 31, 2020 the Company had proceeds from the issuance of a long term loan of $14.7 million, while for the year ended December 31, 2021, there was no such cash inflow. Such decreases were partially offset by an increase in proceeds from issuance of preferred shares in subsidiaries of $23.9 million. Funding Requirements We have incurred operating losses since inception. Based on our current plans, we believe our existing financial assets at December 31, 2022, will be sufficient to fund our operations and capital expenditure requirements into the first quarter of 2026. We expect to incur substantial additional expenditures in the near term to support our ongoing activities. We anticipate to continue to incur net operating losses for the foreseeable future as is typical for pre-revenue biotechnology companies. Our ability to fund our therapeutic development and clinical operations as well as commercialization of our wholly-owned therapeutic candidates, will depend on the amount and timing of cash received from planned financings, monetization of shares of public Founded Entities and potential business development activities. Our future capital requirements will depend on many factors, including: • the costs, timing and outcomes of clinical trials and regulatory reviews associated with our wholly-owned therapeutic candidates; • the costs of commercialization activities, including product marketing, sales and distribution; • the costs of preparing, filing and prosecuting patent applications and maintaining, enforcing and defending intellectual property-related claims; • the emergence of competing technologies and products and other adverse marketing developments; • the effect on our therapeutic and product development activities of actions taken by the U.S. Food and Drug Administration (“FDA”), the European Medicines Agency (“EMA”) or other regulatory authorities; • our degree of success in commercializing our wholly-owned therapeutic candidates, if and when approved; and • the number and types of future therapeutics we develop and commercialize. A change in the outcome of any of these or other variables with respect to the development of any of our wholly- owned therapeutic candidates could significantly change the costs and timing associated with the development of that therapeutic candidate. 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 Financial Position Summary Financial Position As of December 31, (in thousands) 2022 2021 Change Investments held at fair value $251,892 $397,179 $(145,286) Other non-current assets 64,562 47,018 17,544 Non-current assets 316,454 444,197 (127,743) Cash and cash equivalents, and short term investments 350,095 465,708 (115,613) Other current assets 36,097 36,101 (4) Current assets 386,192 501,809 (115,617) Total assets 702,647 946,006 (243,359) Lease Liability 24,155 29,040 (4,884) Deferred tax liability 19,645 89,765 (70,120) Other non-current liabilities 14,372 16,921 (2,549) Non-current liabilities 58,172 135,725 (77,553) Trade and other payables 54,783 35,760 19,023 Notes payable 2,345 4,641 (2,297) Warrant liability 47 6,787 (6,740) Preferred shares 27,339 174,017 (146,678) Other current liabilities 12,371 4,929 7,442 Current liabilities 96,885 226,135 (129,249) Total liabilities 155,057 361,859 (206,802) Net assets 547,589 584,147 (36,557) Total equity $547,589 $584,147 $(36,557)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66" descr=""/>
                    <pic:cNvPicPr>
                      <a:picLocks noChangeAspect="1" noChangeArrowheads="1"/>
                    </pic:cNvPicPr>
                  </pic:nvPicPr>
                  <pic:blipFill>
                    <a:blip r:embed="rId9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63 G o ve rn an ce Financial Review  — continued Investments Held at Fair Value Investments held at fair value decreased by $145.3 million to $251.9 million as of December 31, 2022. As of December 31, 2022, Investments held at fair value consist primarily of our common share investment in Karuna, Vor and Akili (Akili was in the form of preferred shares until August 2022) and our preferred share investment in Sonde (from May 2022). See Note 5 to our consolidated financial statements included elsewhere in this annual report for details regarding the change in investments held at fair value. Cash, Cash Equivalents, and Short- Term Investments Consolidated cash, cash equivalents and short-term investments decreased by $115.6 million to $350.1 million as of December 31, 2022. The decrease reflects spend attributed to our operating loss of $197.8 million, partially offset by proceeds from sale of Karuna and Vor shares of $118.7 million during the year ended December 31, 2022. Non-Current Liabilities Non-current liabilities decreased $77.6 million to $58.2 million as of December 31, 2022. The decrease was primarily driven by declines of $4.9 million and $70.1 million in our long-term lease liability and deferred tax liabilities, respectively as of December 31, 2022. Trade and Other Payables Trade and other payables increased $19.0 million to $54.8 million as of December 31, 2022. The increase reflected primarily the timing of payments as of December 31, 2022. Notes Payable Notes payable decreased by $2.3 million to $2.3 million as of December 31, 2022. The decrease reflects the deconsolidation of Sonde in May 2022. Preferred Shares and warrant liabilities Preferred share liability in subsidiaries in the Controlled founded entity segment decreased by $146.7 million to $27.3 million and warrant liability (also in Controlled founded entity segment) decreased by $6.7 million to a negligible amount as of December 31, 2022. The decrease in the preferred share liability reflects a decrease in fair value of the preferred share liability of $130.8 million and to a much lesser extent a decrease of $15.9 million due to the deconsolidation of Sonde during the year ended December 31, 2022. The decrease in the warrant liability reflects a decrease in the fair value of such warrant liability of $6.7 million. Quantitative and Qualitative  Disclosures about Financial Risks Interest Rate Sensitivity As of December 31, 2022, we had consolidated cash and cash equivalents of $149.9 million and short term investments of $200.2 million, while we had PureTech Level cash, cash equivalents and short-term investments of $339.5 million. PureTech Level cash, cash equivalents and short-term investments is a non-IFRS measure (for a definition of PureTech Level cash, cash equivalents and short- term investments and a reconciliation to the 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related money market accounts we do not believe change in interest rates would have a material effect on the fair market value of our portfolio, and therefore we do not expect our operating results or cash flows to be significantly affected by changes in market interest rates. Foreign Currency Exchange Risk 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Controlled Founded Entity Investments We maintain investments in certain Controlled Founded Entities. Our investments in Controlled Founded Entities are eliminated as intercompany transactions upon financial consolidation. We are however exposed to a preferred share liability owing to the terms of existing preferred shares and the ownership of Controlled Founded Entities preferred shares by third parties. The liability of preferred shares is maintained at fair value through the profit and loss. Our strong cash position, budgeting and forecasting processes, as well as decision making and risk mitigation framework enable us to robustly monitor and support the business activities of the Controlled Founded Entities to ensure no exposure to credit losses and ultimately dissolution or liquidation. Accordingly, we view exposure to third party preferred share liability as low. Please refer to Note 16 to our consolidated financial statements for further information regarding our exposure to Controlled Founded Entity Investments. Non-Controlled Founded Entity Investments We maintain certain investments in Non-Controlled Founded Entities which are deemed either as investments and accounted for as investments held at fair value or associates and accounted for under the equity method (please refer to Note 1 to our consolidated financial statements). Our exposure to investments held at fair value was $251.9 million as of December 31, 2022, and we may or may not be able to realize the value in the future. Accordingly, we view the risk as high. Our exposure to investments in associates in limited to the carrying amount of the investment. We are not exposed to further contractual obligations or contingent liabilities beyond the value of initial investment. As of December 31, 2022, Gelesis and Sonde were the only associates. The carrying amount of the investments in Gelesis and Sonde accounted for under the equity method was $9.1 million. Accordingly, we do not view this risk as high. Please refer to Notes 5, 6 and 16 to our consolidated financial statements for further information regarding our exposure to Non-Controlled Founded Entity Investments.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67" descr=""/>
                    <pic:cNvPicPr>
                      <a:picLocks noChangeAspect="1" noChangeArrowheads="1"/>
                    </pic:cNvPicPr>
                  </pic:nvPicPr>
                  <pic:blipFill>
                    <a:blip r:embed="rId9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64 PureTech Health plc Annual report and accounts 2022 G o ve rn an ce Financial Review  — continued Equity Price Risk As of December 31, 2022, we held 1,054,464 common shares of Karuna, 2,671,800 common shares of Vor, and 12,527,477 common shares of Akili. The fair value of our investments in the common shares of Karuna was $207.2 million, in the common shares of Vor $17.8 million, and in the common shares of Akili $14.1 million. The investments in Karuna Vor and Akili are exposed to fluctuations in the market price of these common shares. The effect of a 10.0 percent adverse change in the market price of Karuna common shares, Vor common shares and Akili common shares as of December 31, 2022, would have been a loss of approximately $20.7 million, $1.8 million, and $1.4 million, respectively, that would have been recognized as a component of Other income (expense) in our Consolidated Statements of Comprehensive Income/(Loss). Liquidity Risk 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 Credit Risk 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 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the credit quality of our receivables, which are primarily from the US government, large corporations and large funds with respect to grants. Foreign Private Issuer Status Owing to our U.S. listing,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 • the sections of the Exchange Act regulating the solicitation of proxies, consents or authorizations in respect of a security registered under the Exchange Act; • sections of the Exchange Act requiring insiders to file public reports of their stock ownership and trading activities and liability for insiders who profit from trades made in a short period of time; • the rules under the Exchange Act requiring the filing with the SEC of quarterly reports on Form 10-Q containing unaudited financial and other specified information, or current reports on Form 8-K, upon the occurrence of specified significant events; and • Regulation FD, which regulates selective disclosures of material information by issuers.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68" descr=""/>
                    <pic:cNvPicPr>
                      <a:picLocks noChangeAspect="1" noChangeArrowheads="1"/>
                    </pic:cNvPicPr>
                  </pic:nvPicPr>
                  <pic:blipFill>
                    <a:blip r:embed="rId10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65 G o ve rn an ce Chair’s overview Dear Shareholder I am pleased to introduce our Corporate Governance Report. This section sets out our governance framework and the work of the Board and its committees. As a Board, we are responsible for ensuring there is an effective governance framework in place. This includes setting the Company’s strategic objectives, ensuring the right leadership and resources are in place to achieve these objectives, monitoring performance, ensuring that sufficient internal controls and protections are in place and reporting to shareholders. An effective governance framework is also designed to ensure accountability, fairness and transparency in the Company’s relationships with all of its stakeholders, whether shareholders, employees, partners, the government or the wider patient community. We believe that good corporate governance is essential for building a successful and sustainable business. The Board is committed to the highest standards of corporate governance and undertakes to maintain a sound framework for our control and management. In this report, we provide details of that framework. The key constituents necessary to deliver a robust structure are in place and, accordingly, this report includes a description of how the Company has applied the principles and provisions of the Governance Code and how it intends to apply those principles in the future. As announced by the Company on November 10, 2022, I have been appointed as President, Chief Executive Officer and a member of the Board of Biogen, Inc. As a result of this appointment and due to the time commitment associated with this new role, I have determined that I will not stand for re-election at the Company’s 2023 Annual General Meeting. I have been working with the Board and the Nomination Committee with assistance from the rest of the Board and the Company’s management to identify a suitable successor. This process is still ongoing. In the interim, Dr. Raju Kucherlapati has kindly agreed to act in the position of Interim Chair in addition to his role as the Senior Independent Director to ensure continuity and the maintenance of strong governance practices. Further, as has been previously disclosed by the Company, Dame Marjorie Scardino retired as of the close of business on December 31, 2022. The Nomination Committee with assistance from the rest of the Board and the Company’s management has also been looking towards potentially adding an additional non-executive director in order to strengthen the Board’s skillsets and reinforce the strong governance that has been a hallmark of the Company’s Board and broader operations. While there is not a firm timeline for the identification of a new Chair and potentially an additional non-executive director, the Nomination Committee and the Company intend to conduct a thorough and expeditious process to identify the best candidates. Progress updates will be provided in due course. The Board looks forward to being able to discuss these matters with our shareholders in connection with our AGM or indeed at any other time during the year. Christopher Viehbacher Chair April 27, 2023 “ We believe that good corporate governance is essential for building a successful and sustainable business.”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69"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66 PureTech Health plc Annual report and accounts 2022 G o ve rn an ce Sharon Barber-Lui Independent Non-Executive Director Sharon Barber-Lui has served as a member of our Board since March 2022 and became the Chair of the Audit Committee on April 26, 2022. Ms. Barber-Lui has been the Senior Vice President of Finance at EQRx since January 2022. Prior to joining EQRx, Ms. Barber-Lui worked at Merck for over twenty years in roles of advancing responsibility, including most recently as the Head of Portfolio Market Strategy, Operations and Business Analytics from 2019 through 2021 and Chief Financial Officer from 2014 through 2018 for Merck’s U.S. oncology business. Prior to that Ms. Barber-Lui held a number of other roles with Merck including Treasurer of U.S. Region, Head of U.S. Treasury Operations, and Head of Legal Entity Integration and Global Treasury Services, among others. Ms. Barber-Lui began her career as an accountant for KPMG LLP, and she received her bachelor’s degree as well as her M.B.A. from Lehigh University. Ms. Barber-Lui is a member of the American Institute of Certified Public Accountants. She is also the recipient of Merck &amp; Co. Inc.’s Top Talent Designation, Women’s Leadership Recognition and Oncology Women’s Leader Recognition. Raju Kucherlapati, Ph.D. Senior Independent Director, R&amp;D Committee Member Raju Kucherlapati, Ph.D., has served as a member of our Board since 2014 and assumed the role of PureTech’s Senior Independent Director as well as the chair of its Nomination Committee as of December 31, 2022. It is intended that Dr. Kucherlapati will act as Interim Chair following the end of the 2023 Annual General Meeting. He has been the Paul C. Cabot professor of Genetics and a professor of medicine at Harvard Medical School since 2001. Dr. Kucherlapati currently serves on the board of directors of Gelesis, Inc. and KEW Inc. He was a founder and former board member of Abgenix (acquired by Amgen for $2.2 billion), Cell Genesys and Millennium Pharmaceuticals (acquired by Takeda for $8.8 billion). He was the first scientific director of the Harvard-Partners Center for Genetics and Genomics. He is a fellow of the American Association for the Advancement of Science and a member of the National Academy of Medicine. Dr. Kucherlapati received his Ph.D. from the University of Illinois. He trained at Yale and has held faculty positions at Princeton University, University of Illinois College of Medicine and the Albert Einstein College of Medicine. He served on the editorial board of the New England Journal of Medicine and was Editor in Chief of the journal Genomics. He was a member of the presidential commission for the study of bioethical issues during the Obama administration. His laboratory at Harvard Medical School is involved in cloning and characterization of human disease genes with a focus on human syndromes with a significant cardiovascular involvement, use of genetic/genomic approaches to understand the biology of cancer and the generation and characterization of genetically modified mouse models for cancer and other human disorders. His laboratory was a part of the Human Genome Program that was responsible for mapping and sequencing the human genome. Dr. Kucherlapati developed methods for modifying mammalian genes that lead to gene targeting in mice. He has developed many mouse models for human disease, including a large set of models for human colorectal cancer. His laboratory was a part of The Cancer Genome Atlas (TCGA) program that uses genetic/genomic approaches to understand the biology of cancer. He is a promoter of personalized/precision medicine. John LaMattina, Ph.D. Independent Non-Executive Director, R&amp;D Committee Member John LaMattina, Ph.D., has served as a member of our Board since 2009. Dr. LaMattina previously worked at Pfizer in different roles from 1977 to 2007, including vice president of U.S. Discovery Operations in 1993, senior vice president of worldwide discovery operations in 1998, senior vice president of worldwide development in 1999 and president of global research and development from 2003 to 2007. Dr. LaMattina serves on the board of directors of Ligand Pharmaceuticals, Immunome Inc. and Vedanta Biosciences, Inc. Dr. LaMattina previously served on the board of Zafgen, Inc. until April 2020. He also serves on the Scientific Advisory Board of Frequency Therapeutics and is a trustee associate of Boston College. During Dr. LaMattina’s leadership tenure, Pfizer discovered and/or developed a number of important new medicines including Tarceva, Chantix, Zoloft, Selzentry and Lyrica, along with a number of other medicines currently in late stage development for cancer, rheumatoid arthritis and pain. He is the author of numerous scientific publications and U.S. patents. Dr. LaMattina received the 1998 Boston College Alumni Award of Excellence in Science and the 2004 American Diabetes Association Award for Leadership and Commitment in the Fight Against Diabetes. He was awarded an Honorary Doctor of Science degree from the University of New Hampshire in 2007. In 2010, he was the recipient of the American Chemical Society’s Earle B. Barnes Award for Leadership in Chemical Research Management. He is the author of “Devalued and Distrusted—Can the Pharmaceutical Industry Restore its Broken Image,” “Drug Truths: Dispelling the Myths About Pharma R&amp;D,” “Pharma and Profits: Balancing Innovation, Medicine, and Drug Prices” and an author of the Drug Truths blog at Forbes.com. Dr. LaMattina received a B.S. in Chemistry from Boston College and received a Ph.D. in Organic Chemistry from the University of New Hampshire. He then moved on to Princeton University as a National Institutes of Health postdoctoral fellow in the laboratory of professor E. C. Taylor. Board of Directors (alphabetically)* PureTech Health is led by a seasoned and accomplished Board of Directors and management team with extensive experience in maximising shareholder value, discovering scientific breakthroughs, and delivering therapeutics to market. * Biographies for executive directors, Daphne Zohar and Bharatt Chowrira, can be found on pages 69 and 70.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70"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67 G o ve rn an ce Robert Langer, Sc.D. Co-Founder and Non-Executive Director, R&amp;D Committee Member Robert S. Langer, Sc.D., is a co-founder, member of PureTech’s R&amp;D Committee and has served as a member of the board of directors since our founding. Dr. Langer has served as the David H. Koch Institute professor at MIT since 2005. He served as a member of the FDA’s science board from 1995 to 2002 and as its chairman from 1999 to 2002. Dr. Langer serves on the board of directors of Seer Bio, Abpro Bio, Frequency Therapeutics, Entrega, Inc. and Moderna, Inc. Dr. Langer has received over 220 major awards, including the 2006 U.S. National Medal of Science, the Charles Stark Draper Prize in 2002 and the 2012 Priestley Medal. He is also the first engineer to ever receive the Gairdner Foundation International Award. Dr. Langer has received the Dickson Prize for Science, Heinz Award, Harvey Prize, John Fritz Award, General Motors Kettering Prize for Cancer Research, Dan David Prize in Materials Science, Breakthough Prize in Life Sciences, National Medal of Science, National Medal of Technology and Innovation, Kyoto Prize, Wolf Prize, Albany Medical Center Prize in Medicine and Biomedical Research and the Lemelson-MIT prize. In 2006, he was inducted into the National Inventors Hall of Fame. In January 2015, Dr. Langer was awarded the 2015 Queen Elizabeth Prize for Engineering. Dr. Langer received his bachelor’s degree in Chemical Engineering from Cornell University and his Sc.D. in Chemical Engineering from MIT. Kiran Mazumdar-Shaw Independent Non-Executive Director Kiran Mazumdar-Shaw has served as a member of our Board since September 2020. Ms. Mazumdar-Shaw has been the executive chairperson of Biocon Limited, which she founded in 1978, since April 2020, and she served as managing director of Biocon Limited from 1995 to 2020. Ms. Mazumdar-Shaw holds key positions in various industry, educational, government and professional bodies globally. She has been elected as a full-term member of the board of trustees of Massachusetts Institute of Technology. She has been elected as a member of the prestigious U.S.-based National Academy of Engineering. She also serves as the lead independent member of the board of Infosys Ltd, a director on the board of United Breweries Limited, and non-executive director on the board of Narayana Health. Ms. Mazumdar-Shaw has received two of India’s highest civilian honors, the Padma Shri in 1989 and the Padma Bhushan in 2005. She was also honored with the Order of Australia, Australia’s highest civilian honor in January 2020. In 2016, she was conferred with the highest French distinction – Knight of the Legion of Honour – and in 2014 received the Othmer Gold Medal in 2014 from the U.S.-based Chemical Heritage Foundation for her pioneering efforts in biotechnology. Ms. Mazumdar-Shaw has been ranked as one of the world’s top 20 inspirational leaders in the field of biopharmaceuticals by The Medicine Maker Power List 2020, and she was the winner of EY World Entrepreneur of the Year™ 2020 Award. She was the first woman business leader from India to sign the Giving Pledge, an initiative of the Gates Foundation, committing to give the majority of her wealth to philanthropic causes. She received a bachelor’s degree in science, Zoology Hons., from Bangalore University and a master’s degree in malting and brewing from Ballarat College, Melbourne University. She has been awarded several honorary degrees from other universities globally. Dame Marjorie Scardino Senior Independent Director Dame Marjorie Scardino served as a member of our Board from 2015 until her retirement from our Board as of the close of business on December 31, 2022. She served for 28 years as the chief executive officer of Pearson, a large education company that included The Economist, The Financial Times and Penguin Books. She was on the board of the MacArthur Foundation for 12 years, five as chairman, and left in 2017. She was a member of the board of Twitter from 2013 to 2018 and International Airlines Group from 2014 to 2019. Dame Scardino has received a number of honorary degrees, and in 2003 was dubbed a dame of the British Empire. She is also a member of the Royal Society of the Arts in the UK and the American Association of Arts and Sciences. Christopher Viehbacher Chair Chris Viehbacher has served as a member of our Board since 2015 and as chairman since September 2019. Mr. Viehbacher was appointed President, Chief Executive Officer and a member of the Board of Biogen, Inc. in November 2022. As a result of his appointment, Mr. Viehbacher will not stand for re-election at the Company’s 2023 Annual General Meeting. Prior to his appointment with Biogen, Inc., he had been the managing partner of Gurnet Point Capital from October 2014 to November 2022. Immediately prior to joining Gurnet Point Capital, Mr. Viehbacher served as the chief executive officer and member of the board of directors of Sanofi from December 2008 to October 2014. From 1993 to 2008, Mr. Viehbacher worked at GlaxoSmithKline in different roles, including ultimately President of its North American pharmaceutical division. Mr. Viehbacher began his career with PricewaterhouseCoopers LLP and qualified as a chartered accountant. Mr. Viehbacher currently serves on the board of directors of Biogen, Inc., BEFORE Brands and Crossover Health. Mr. Viehbacher previously served on the board of directors of Alladapt, Boston Pharmaceuticals, Zikani, Vedanta Biosciences, Inc., Gurnet Point Capital LLC, Axcella Health Inc. and Corium International, Inc. Mr. Viehbacher also serves on the Board of Trustees of Northeastern University and the Board of Fellows of Stanford Medical School. Mr. Viehbacher has co-chaired the Chief Executive Officer Roundtable on Neglected Diseases with Bill Gates and formerly chaired the chief executive officer Roundtable on Cancer. He was the chairman of the board of the Pharmaceutical Research and Manufacturers of America as well as president of the European Federation of Pharmaceutical Industries and Associations. At the World Economic Forum at Davos, Mr. Viehbacher was a chair of the Health Governors and co-chaired an initiative to create a Global Charter for Healthy Living. He was also a member of the International Business Council. Mr. Viehbacher has received the Pasteur Foundation Award for outstanding commitment to safeguarding and improving health worldwide. He has also received France’s highest civilian honor, the Légion d’honneur. Mr. Viehbacher received his bachelor’s degree in Commerce from Queen’s University in Ontario, Canada. Board of Directors 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71"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68 PureTech Health plc Annual report and accounts 2022 G o ve rn an ce Dennis Ausiello, M.D.** Board Advisor, R&amp;D Committee Member Dennis Ausiello, M.D., is a board advisor and member of the PureTech R&amp;D Committee. He is the Jackson Distinguished Professor of Clinical Medicine and was previously director, emeritus of the M.D./Ph.D. Program at Harvard Medical School. Dr. Ausiello is chairman of medicine, emeritus and director of the Center for Assessment Technology and Continuous Health (CATCH) at Massachusetts General Hospital (MGH). This center is a partnership among MGH, MIT and Harvard University with a mission to develop real-time assessment of human traits in wellness and disease. In partnership with industry, it is creating tools for measurements of traditional and novel phenotypes. Understanding the need for partnerships between the academy and industry, Dr. Ausiello served on the board of directors of Pfizer Pharmaceuticals, where he was their former lead director. He currently serves as a member of the board of directors of Seres Health and Alnylam. Dr. Ausiello is also a member of the board of directors of several non-public biotech companies and is a consultant to Verily (formerly Google Life Sciences) and Pfizer Pharmaceuticals. Dr. Ausiello is a nationally recognized leader in academic medicine who was elected to the National Academy of Medicine in 1999 and the American Academy of Arts and Sciences in 2003. He has published numerous articles, book chapters and textbooks and has served as an editor of Cecil’s Textbook of Medicine. Dr. Ausiello received his BA from Harvard College and an M.D. from the University of Pennsylvania. H. Robert Horvitz, Ph.D.** Board Advisor, R&amp;D Committee Chair H. Robert Horvitz, Ph.D., is a board observer and Chair of the R&amp;D Committee at PureTech. He received the Nobel Prize in Physiology or Medicine and is the David H Koch Professor of Biology at Massachusetts Institute of Technology, an investigator of the Howard Hughes Medical Institute, neurobiologist (Neurology) at Massachusetts General Hospital, a member of the MIT McGovern Institute for Brain Research and the MIT Koch Institute for Integrative Cancer Research. He is cofounder of multiple life science companies, including Epizyme (EPZM), Mitobridge (acquired by Astellas) and Idun Pharmaceuticals (acquired by Pfizer) and was a member of the Scientific Advisory Board of the Novartis Institutes for BioMedical Research. Dr. Horvitz was a member of the board of trustees of the Massachusetts General Hospital. He also previously served as Chairman of the Board of Trustees of the Society for Science and the Public and as President of the Genetics Society of America. Dr. Horvitz is a member of the U.S. National Academy of Sciences, the U.S. National Academy of Medicine and the American Philosophical Society and is a foreign member of the Royal Society of London. He is a fellow of the American Academy of Arts and Sciences and of the American Academy of Microbiology. Dr. Horvitz received the U.S. National Academies of Science Award in Molecular Biology; the Charles A. Dana Award for Pioneering Achievements in Health; the Ciba-Drew Award for Biomedical Science; the General Motors Cancer Research Foundation Alfred P. Sloan, Jr. Prize; the Gairdner Foundation International Award; the March of Dimes Prize in Developmental Biology; the Genetics Society of America Medal; the Bristol-Myers Squibb Award for Distinguished Achievement in Neuroscience; the Wiley Prize in the Biomedical Sciences; the Peter Gruber Foundation Genetics Prize; the American Cancer Society Medal of Honor; the Alfred G. Knudson Award of the National Cancer Institute; and the UK Genetics Society Mendel Medal. He has received honorary doctoral degrees from the University of Rome, Cambridge University, Pennsylvania State University and the University of Miami. Bennett Shapiro, M.D.** Board Advisor, R&amp;D Committee Member Bennett Shapiro, M.D., is a PureTech co-founder, and was a board advisor and a member of PureTech’s R&amp;D Committee until he retired from those roles in August 2022. He also served as member of the Board from the Company’s founding through June 2020. Dr. Shapiro was previously Executive Vice President at Merck Research Laboratories of Merck &amp; Co. where he initially led Worldwide Basic Research and was responsible for all the basic and preclinical research activities at Merck. He later led Worldwide Licensing and External Research and was responsible for Merck’s relationships with the academic and industrial biomedical research community. His leadership resulted in the discovery, development and registration of approximately 25 drugs and vaccines. Previously, he was professor and chairman of the Department of Biochemistry at the University of Washington and is the author of over 120 papers on the molecular regulation of cellular behavior. Following an internship in Medicine at the University of Pennsylvania Hospital, he was a Research Associate at the NIH, then a Visiting Scientist at the Institut Pasteur in Paris and returned to the NIH as Chief-Section on Cellular Differentiation in the Laboratory of Biochemistry prior to joining the University of Washington. Dr. Shapiro has been a Guggenheim Fellow, a Fellow of the Japan Society for the Promotion of Science and a Visiting Professor at the University of Nice. He currently serves as a member of the board of directors of Vedanta Biosciences and VBL Therapeutics. Dr. Shapiro previously served as a director of Celera Corporation, the Drugs for Neglected Diseases initiative and the Mind and Life Institute. Dr. Shapiro received a B.S. in Chemistry from Dickinson College and his M.D. from Jefferson Medical College. Board of Directors  — continued ** Dr. Horvitz, Dr. Ausiello and Dr. Shapiro are not members of the PureTech Board. As a Board Observer, Dr. Horvitz attends the majority of Board meetings. As Board Advisors, Dr. Ausiello and Dr. Shapiro attend select Board meetings. All three are also members of PureTech’s R&amp;D Committee, of which Dr. Horvitz is the Chair.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72"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69 G o ve rn an ce Joseph Bolen, Ph.D. R&amp;D Committee Member Joseph Bolen, Ph.D., first joined PureTech in October 2015 and served as PureTech’s chief scientific officer from October 2016 through February 2023 and transitioned to a role on PureTech’s R &amp; D committee in February 2023. Prior to joining PureTech, Dr. Bolen oversaw all aspects of research and development, or R&amp;D, for Moderna, Inc. as president and chief scientific officer from July 2013 to October 2015. Previously, he was chief scientific officer and global head of oncology research at Millennium: The Takeda Oncology Company. Prior to joining Millennium in 1999, Dr. Bolen held senior positions at Hoechst Marion Roussel, Schering-Plough and Bristol-Myers Squibb. Dr. Bolen began his career at the National Institutes of Health, where he contributed to the discovery of a class of proteins known as tyrosine kinase oncogenes as key regulators of the immune system. Dr. Bolen received a B.S. in Microbiology &amp; Chemistry and a Ph.D. in Immunology from the University of Nebraska and conducted his postdoctoral training in Molecular Virology at the Kansas State University Cancer Center. Bharatt Chowrira, Ph.D., J.D. President and Chief Business, Finance and Operating Officer, Member of the Board of Directors Bharatt Chowrira, Ph.D., J.D., has been our president and chief business, finance and operating officer since September 2022, was our president and chief business, legal and operating officer from January 2022 through September 2022, and was our president and chief of business and strategy from March 2017 through December 2021. Dr. Chowrira has also served as a member of PureTech’s Board since February 2021. Prior to joining PureTech, Dr. Chowrira was the president of Synlogic, Inc., a biopharmaceutical company focused on developing synthetic microbiome-based therapeutics, from September 2015 to February 2017, where he oversaw and managed corporate and business development, alliance management, financial, human resources, intellectual property and legal operations. Prior to that, Dr. Chowrira was the chief operating officer of Auspex Pharmaceuticals, Inc. from October 2013 to July 2015, which was acquired by Teva Pharmaceuticals Ltd. in the spring of 2015. Previously, he was president and chief executive officer of Addex Therapeutics Ltd., a biotechnology company publicly-traded on the SIX Swiss Exchange, from August 2011 to July 2013. Prior to that Dr. Chowrira held various leadership and management positions at Nektar Therapeutics (chief operating officer), Merck &amp; Co, or Merck (vice president), Sirna Therapeutics (general counsel; acquired by Merck) and Ribozyme Pharmaceuticals (chief patent counsel). Dr. Chowrira previously served on the board of directors of Vedanta Biosciences, Inc. from September 2018 to February 2023, Akili Interactive Labs, Inc. from November 2017 to September 2019 and June 2021 to October 2022, Vor Biopharma from August 2018 to June 2020, and Karuna Therapeutics, Inc. from March 2017 to December 2019. Dr. Chowrira received a J.D. from the University of Denver’s Sturm College of Law, a Ph.D. in Molecular Biology from the University of Vermont College of Medicine, an M.S. in Molecular Biology from Illinois State University and a B.S. in Microbiology from the UAS, Bangalore, India. Eric Elenko, Ph.D. Chief Innovation and Strategy Officer Eric Elenko, Ph.D., has served as our chief innovation officer since June 2015 and held various other positions at PureTech prior thereto. While at PureTech, Dr. Elenko has led the development of a number of programs, including Akili Interactive Labs, Inc., Gelesis, Inc., Karuna Therapeutics, Inc. and Sonde Health, Inc. Dr. Elenko serves on the board of directors of Sonde Health, Inc. Prior to joining PureTech, Dr. Elenko was a consultant with McKinsey and Company from February 2002 to September 2005, where he advised senior executives of both Fortune 500 and specialty pharmaceutical companies on a range of issues such as product licensing, mergers and acquisitions, research and development strategy and marketing. Dr. Elenko received a B.A. in Biology from Swarthmore College and his Ph.D. in Biomedical Sciences from University of California, San Diego. Management team (alphabetically)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73"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70    PureTech Health plc  Annual report and accounts 2022 G o ve rn an ce Julie Krop, M.D. Chief Medical Officer Julie Krop, MD, is the chief medical officer at PureTech, where she is responsible for all clinical development, regulatory, CMC, and medical affairs for PureTech’s clinical-stage Wholly Owned Pipeline. Prior to PureTech, Dr. Krop served as Chief Medical Officer at Freeline Therapeutics, a clinical-stage gene therapy company. She also previously served as Chief Medical Officer of AMAG Pharmaceuticals (acquired by Covis group for $647 million), where she oversaw clinical development, regulatory affairs, clinical operations, medical affairs, program management and pharmacovigilance. During her time at AMAG, Dr. Krop was responsible for the oversight of three FDA approvals. Earlier in her career, she held leadership positions at Vertex Pharmaceuticals, Stryker Regenerative Medicine, Peptimmune, Millennium Pharmaceuticals and Pfizer and also served on the board of directors of Aquestive Bio, Inc. Dr. Krop received her M.D. from Brown University School of Medicine and completed an internal medicine residency at Georgetown University Hospital. Additionally, she completed fellowships in epidemiology, clinical trial design and endocrinology as a Robert Wood Johnson Foundation Clinical Scholar at the Johns Hopkins School of Medicine. Daphne Zohar Founder and Chief Executive Officer, Member of the Board of Directors Daphne Zohar is the founder of PureTech and has served as our chief executive officer and a member of our board of directors since our formation and UK main market listing in 2015 and served as the founding chief executive officer of a number of our Founded Entities. A successful entrepreneur, Ms. Zohar created PureTech, assembling a leading team and scientific network to help implement her vision for the company, and was a key participant in fundraising, business development and establishing the underlying programs and platforms that have resulted in the broad and deep pipeline being advanced via the Company’s Wholly Owned Pipeline and Founded Entities. PureTech’s R&amp;D engine has generated 27 therapeutics and therapeutic candidates, including two (Plenity® and EndeavorRx®) that have received both U.S. Food and Drug Administration clearance and European marketing authorization and a third (KarXT) that we expect will soon be filed for FDA approval. Ms. Zohar has been recognized as a top leader and innovator in biotechnology by a number of sources, including EY, BioWorld, MIT’s Technology Review, the Boston Globe, and Scientific American. Ms. Zohar serves on the BIO (Biotechnology Innovation Organization) Board. Previously, Ms. Zohar has served on a number of private company boards including Karuna Therapeutics, Inc. and served on the board of resTORbio, Inc. (now Adicet Bio, Inc.) from December 2017 to November 2018. Ms. Zohar received a B.S. from Northeastern University. Management team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74" descr=""/>
                    <pic:cNvPicPr>
                      <a:picLocks noChangeAspect="1" noChangeArrowheads="1"/>
                    </pic:cNvPicPr>
                  </pic:nvPicPr>
                  <pic:blipFill>
                    <a:blip r:embed="rId10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71 G o ve rn an ce corporate governance. Each committee has its own terms of reference which set out the specific matters for which delegated authority has been given by the Board. The terms of reference for each of the committees are fully compliant with the provisions of the Governance Code. All of these are available on request from the Company Secretary or within the Investors section of our website at www.puretechhealth.com. Board size and composition As of December 31, 2022, there were nine Directors on the Board: the Non-Executive Chair, two Executive Directors and six Non-Executive Directors. The biographies of these Directors are provided on pages 66 to 70. On March 24, 2022, Ms. Sharon Barber-Lui joined the Board as a non-Executive Director. Immediately following the publication of PureTech’s Annual Report and Accounts for the year ended December 31, 2021 on April 26, 2022, Ms. Barber-Lui became the Chair of the Audit Committee, and Mr. Viehbacher stepped down as the Chair of the Audit Committee but remained a member thereof. Dame Marjorie Scardino, Senior Independent Director, chair of the Nomination Committee and member of the Audit Committee, retired as of the close of business on December 31, 2022. Raju Kucherlapati, Ph.D., assumed the role of PureTech’s Senior Independent Director as well as the chair of its Nomination Committee, effective as of Dame Scardino’s retirement. Christopher Viehbacher, Chair of PureTech’s Board, was recently appointed President, Chief Executive Officer and a member of the Board of Biogen, Inc. Given the time commitment required by this new role, Mr. Viehbacher will not stand for re-election at PureTech’s 2023 Annual General Meeting. There were no other changes to the composition of the Board during 2022. Following Mr. Viehbacher’s departure on conclusion of the 2023 AGM, the Company will have seven directors, including two Executive Directors and five Non-Executive Directors. While the Company is conducting a search for a new Chair of the Board and considering adding an additional member to replace Dame Scardino, it does not anticipate that such individuals will be in place at the time of the AGM. As a result, the Board intends to appoint Dr. Raju Kucherlapati as interim Chair Board decision and approval are those significant to us as a whole due to their strategic, financial or reputational implications. The Company’s schedule of matters reserved for the Board includes the following matters: • approval and monitoring of our strategic aims and objectives; • approval of the annual operating and capital expenditure budget; • changes to our capital structure, the issue of any of our securities and material borrowings; • approval of the annual report and half-year results statement, accounting policies and practices or any matter having a material impact on our future financial performance; • ensuring a sound system of internal control and risk management; • approving Board appointments and removals, and approving policies relating to directors’ remuneration; • strategic acquisitions; • major disposals of our assets or subsidiaries; • approval of all circulars, prospectuses and other documents issued to shareholders governed by the Financial Conduct Authority’s (FCA) Listing Rules, Disclosure Guidance and Transparency Rules or the City Code on Takeovers and Mergers; • approval of terms of reference and membership of Board committees; • considering and, where appropriate, approving directors’ conflicts of interest; and • approval, subject to shareholder approval, of the appointment and remuneration of the auditors. The schedule of matters reserved to the Board is available on request from the Company Secretary or within the Investors section of our website at www.puretechhealth.com. The Board delegates specific responsibilities to certain committees that assist the Board in carrying out its functions and ensure independent oversight of internal control and risk management. The three principal Board committees (Audit, Remuneration and Nomination) play an essential role in supporting the Board in fulfilling its responsibilities and ensuring that we maintain the highest standards of Roles and responsibilities  of the Board The Board is responsible to shareholders for our overall management as a whole. The main roles of the Board are: • creating value for shareholders; • providing business and scientific leadership; • approving our strategic objectives; • ensuring that the necessary financial and human resources are in place to meet strategic objectives; • overseeing our system of risk management; and • setting the values and standards for both our business conduct and governance matters. The Directors are also responsible for ensuring that obligations to shareholders and other stakeholders are understood and met and that communication with shareholders is maintained. The responsibility of the Directors is collective, taking into account their respective roles as Executive Directors and Non- Executive Directors. All Directors are equally accountable to the Company’s shareholders for the proper stewardship of its affairs and our long- term success. The Board reviews strategic issues on a regular basis and exercises control over our performance by agreeing on budgetary and operational targets and monitoring performance against those targets. The Board has overall responsibility for our system of internal controls and risk management. Any decisions made by the Board on policies and strategy to be adopted by us or changes to current policies and strategy are made following presentations by the Executive Directors and other members of management, and only after a detailed process of review and challenge by the Board. Once made, the Executive Directors and other members of management are fully empowered to implement those decisions. Except for a formal schedule of matters which are reserved for decision and approval by the Board, the Board has delegated our day-to-day management to the Chief Executive Officer who is supported by other members of the senior management team. The schedule of matters reserved for The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75" descr=""/>
                    <pic:cNvPicPr>
                      <a:picLocks noChangeAspect="1" noChangeArrowheads="1"/>
                    </pic:cNvPicPr>
                  </pic:nvPicPr>
                  <pic:blipFill>
                    <a:blip r:embed="rId10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72 PureTech Health plc Annual report and accounts 2022 G o ve rn an ce Management team — continued processes which enable us to meet the requirements of shareholders, for delivering the operating plans and budgets for our businesses, for monitoring business performance against key performance indicators (KPIs) and reporting on these to the Board and for providing the appropriate environment to recruit, engage, retain and develop the high-quality personnel needed to deliver our strategy. Independence The Governance Code requires that at least 50 percent of the Board of a UK premium listed company, excluding the Chair, consists of Non-Executive Directors determined by the Board to be independent in character and judgement and free from relationships or circumstances which may affect, or could appear to affect, the Directors’ judgement. The Board regards Ms. Barber-Lui, Dr. Kucherlapati, Dr. LaMattina and Ms. Mazumdar-Shaw as Independent Non-Executive Directors for the purposes of the Governance Code. In reaching this determination, the Board duly considered (i) their directorships and links with other Directors through their involvement in other subsidiary companies; (ii) their equity interests in PureTech and/or the Founded Entities, including equity grants of restricted stock units made to Non-Executive Directors by the Company under its Performance Share Plan; and (iii) in respect of Dr. LaMattina, the length of his tenure as a Director of the Company. The Board is satisfied that the judgement, experience and challenging approach adopted by each of these Directors should ensure that they each make a significant contribution to the work of the Board and its committees. Therefore, the Board has determined that Ms. Barber- Lui, Dr. Kucherlapati, Dr. LaMattina, and Ms. Mazumdar-Shaw are of independent character and judgement, notwithstanding the circumstances described at (i), (ii) and (iii) above. In addition, with respect to Dr. Kucherlapati, the Board has considered his role as interim Chair following the 2023 AGM and determined that such additional responsibilities shall not impact his independence in light of the interim nature of the role and the search underway for a permanent Chair appointee. The Nomination Committee with assistance from the rest of the Board and the Company’s management has also been looking towards potentially Senior Independent Director The Company’s Senior Independent Director is Dr. Raju Kucherlapati. Dame Marjorie Scardino was Senior Independent Director through her retirement as of the close of business on December 31, 2022. A key responsibility of the Senior Independent Director is to be available to shareholders in the event that they may feel it inappropriate to relay views through the Chair or Chief Executive Officer. In addition, the Senior Independent Director serves as an intermediary between the rest of the Board and the Chair where necessary. Further, the Senior Independent Director will lead the Board in its deliberations on any matters on which the Chair is conflicted. The roles of Chair and  Chief Executive Officer The Company’s Chair is Mr. Christopher Viehbacher, though he will not stand for re-election at the 2023 AGM. Mr. Viehbacher was appointed Chair in September 2019. The Nomination Committee is currently conducting a search to identify a new permanent Chair, but such person is not expected to be in place at the time of the 2023 AGM. Until such permanent replacement is appointed as Chair by the Board, Dr. Raju Kucherlapati will serve as interim Chair to fulfill the leadership requirements and governance obligations of the role. There is and will remain a clear division of responsibilities between the Chair and the Chief Executive Officer. The Chair is responsible for the leadership and conduct of the Board and for ensuring effective communication with shareholders. The Chair facilitates the full and effective contribution of Non-Executive Directors at Board and Committee meetings, ensures that they are kept well informed and ensures a constructive relationship between the Executive Directors and Non-Executive Directors. The Chair also ensures that the Board committees carry out their duties, including reporting back to the Board either orally or in writing following their meetings at the next Board meeting. The role of the Chief Executive Officer, Ms. Daphne Zohar, is to lead the execution of the Company’s strategy and the executive management of PureTech. She is responsible, among other things, for the development and implementation of strategy and until a permanent Chair can be selected and appointed. Dr. Kucherlapati will also continue in his current role of Senior Independent director. The Company’s policy relating to the terms of appointment and the remuneration of both Executive and Non-Executive Directors is detailed in the Directors’ Remuneration Report on pages 86 to 102. The size and composition of the Board is regularly reviewed by the Nomination Committee to ensure there is an appropriate and diverse mix of skills and experience on the Board. The Board may appoint any person to serve as a Director, either to fill a vacancy or as an addition to the existing Board. Any Director so appointed by the Board shall hold office only until the following AGM and then shall be eligible for election by the shareholders. In accordance with the Governance Code, all of the Directors except for Christopher Viehbacher will be offering themselves for election at the AGM to be held on June 13, 2023, full details of which are set out in the notice of meeting accompanying this Annual Report. Non-Executive Directors The Company’s Non-Executive Directors are Mr. Christopher Viehbacher (Chair), Ms. Sharon Barber- Lui, Dr. Raju Kucherlapati, Dr. John LaMattina, Dr. Robert Langer, and Ms. Kiran Mazumdar-Shaw. As noted elsewhere, Mr. Viehbacher will not stand for re-election at the 2023 AGM. The Non-Executive Directors provide us with a wide range of skills and experience. Each Non-Executive Director has significant senior level experience as well as an extensive network in each of their own fields, an innovative mindset and independent judgement on issues of strategy, performance and risk, and is well placed to constructively challenge and scrutinize the performance of management. In addition, certain of our Non-Executive Directors also serve as members of one or more boards of directors of our Founded Entities and are key drivers for our Wholly Owned Pipeline.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76" descr=""/>
                    <pic:cNvPicPr>
                      <a:picLocks noChangeAspect="1" noChangeArrowheads="1"/>
                    </pic:cNvPicPr>
                  </pic:nvPicPr>
                  <pic:blipFill>
                    <a:blip r:embed="rId10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73 G o ve rn an ce Management team — continued against budget as well as a summary of the operational performance of each of our businesses against its goals. Additional information is provided as appropriate for the topics being addressed at the meeting. At each meeting, the Board receives presentations from the Chief Executive Officer and, by invitation, other members of senior management as required. This ensures that all Directors are in a position to effectively monitor our overall performance, and to contribute to the development and implementation of its strategy. The majority of Board meetings are held at our offices in Boston, Massachusetts, U.S., which gives members of the Company’s senior management team, as well as the senior management of the Founded Entities, the opportunity to formally present to the Board on new technology development and business strategies. However, since the onset of the COVID-19 pandemic and throughout 2022, for the safety of the Board and the Company’s employees, the vast majority of board meetings have been held by videoconference. Certain Directors also serve on the boards of directors of our Founded Entities. These Founded Entity boards of directors meet regularly during the year, as well as on an ad hoc basis as required by business need. This service enables the Directors to have deep understanding of the businesses and contribute significantly to the strategy and oversight of these businesses. Directors’ conflicts of interest Each Director has a statutory duty under the Companies Act 2006 (the CA 2006) to avoid a situation in which he or she has or can have a direct or indirect interest that conflicts or may potentially conflict with the interests of the Company. This duty is in addition to the continuing duty that a Director owes to the Company to disclose to the Board any transaction or arrangement under consideration by the Company in which he or she is interested. The Company’s Articles of Association permit the Board to authorize conflicts or potential conflicts of interest. The Board has established procedures for managing and, where appropriate, authorizing any such conflicts or potential conflicts of interest. In deciding whether to authorize any conflict, the Directors must have regard to their general duties under the CA While each director (with the exception of Ms. Mazumdar-Shaw with respect to one meeting) was able to attend every meeting in 2022, in the event of any unavoidable absence, the impacted Director would review with management the topics and materials to be discussed at the meeting, and provide appropriate feedback to be conveyed at such meeting, as was the case with Ms. Mazumdar-Shaw with respect to the one meeting she was unable to attend. The Board also acted by unanimous written consent eight times in 2022. On occasion it was more expedient for the board to approve matters, especially administrative matters, by unanimous written consent rather than to convene a board meeting for the purpose. However, Directors were provided opportunity to discuss any concerns they had with the written resolution before its issue for signature. At each quarterly meeting of the Board, there was a closed session held in which only the Chair and the other Non-Executive Directors participated. In certain meetings held to discuss a specific topic or topics, a closed session was not held due to limited time allocated for such meeting or the nature of the topic being considered. The schedule of Board and Committee meetings each year is, so far as is possible, determined before the commencement of that year and all Directors or, if applicable, all Committee members, are expected to attend each meeting. Supplementary meetings of the Board and/or the Committees are held as and when necessary. Each member of the Board receives in advance of each scheduled meeting detailed Board packages, which include an agenda based upon matters to be addressed and appropriate presentation and background materials. If a Director is unable to attend a meeting due to exceptional circumstances, he or she will nonetheless receive the meeting materials and discuss the materials with the Chief Executive Officer. The Chair, Chief Executive Officer and senior management team work together to ensure that the Directors receive relevant information to enable them to discharge their duties and that such information is accurate, timely and clear. This information includes quarterly management accounts containing analysis of performance adding an additional independent non-executive director in order to strengthen the Board’s skillsets and reinforce the strong governance that has been a hallmark of the Company’s Board and broader operations. The Nomination Committee and the Company intend to conduct a thorough and expeditious process to identify the best candidates. Progress updates will be provided in due course. Board support, indemnity  and insurance The Company Secretary, Dr. Bharatt Chowrira, is responsible to the Board for ensuring Board procedures are followed, applicable rules and regulations are complied with and that the Board is advised on governance and relevant regulatory matters. All Directors have access to the impartial advice and services of the Company Secretary. There is also an agreed procedure for Directors to take independent professional advice at the Company’s expense. In accordance with the Company’s Articles of Association and a contractual Deed of Indemnity, the Directors have been granted an indemnity issued by the Company to the extent permitted by law in respect of liabilities incurred to third parties as a result of their office. The indemnity would not provide any coverage where a Director is proved to have acted fraudulently or with wilful misconduct. The Company has also arranged appropriate insurance cover in respect of legal action against its Directors and officers. Board meetings and decisions The Board meets regularly during the year, as well as on an ad hoc basis as required by business need. The Board had 7 scheduled meetings in 2022, and details on attendance are set forth in the table below: Director Number of Board Meetings Attended Christopher Viehbacher 7/7 Sharon Barber-Lui 7/7 Raju Kucherlapati 7/7 John LaMattina 7/7 Robert Langer 7/7 Kiran Mazumdar-Shaw 6/7 Dame Marjorie Scardino 7/7 Bharatt Chowrira 7/7 Daphne Zohar 7/7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77" descr=""/>
                    <pic:cNvPicPr>
                      <a:picLocks noChangeAspect="1" noChangeArrowheads="1"/>
                    </pic:cNvPicPr>
                  </pic:nvPicPr>
                  <pic:blipFill>
                    <a:blip r:embed="rId1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74 PureTech Health plc Annual report and accounts 2022 G o ve rn an ce share based payment liabilities, the related sensitivity disclosures, and the tax provision, (ii) disaggregating the management review controls to address the specific risks associated with these items, and (iii) implementing more robust procedures over the documentation of the performance of these management review controls. As a result, as of December 31, 2022, we have concluded that this material weakness has been remediated and the controls are operating effectively. The Board is responsible for establishing and monitoring internal control systems and for reviewing the effectiveness of these systems. The Board views the effective operation of a rigorous system of internal control as critical to our success; however, it recognizes that such systems are designed to manage rather than eliminate risk of failure and can provide only reasonable and not absolute assurance against material misstatement or loss. The key elements of our internal control system, all of which have been in place during the financial year and up to the date these financial statements were approved, are as follows: Control environment and procedures  We have a clear organizational structure with defined responsibilities and accountabilities. It adopts the highest values surrounding quality, integrity and ethics, and these values are communicated clearly throughout the whole organization. Detailed written policies and procedures have been established covering key operating and compliance risk areas. These policies and procedures are reviewed and the effectiveness of the systems of internal control is assessed periodically by the Board. Identification and evaluation of risks The Board actively identifies and evaluates the risks inherent in the business and ensures that appropriate controls and procedures are in place to manage these risks. The Board obtains an update regarding our Wholly Owned Pipeline and all Founded Entities on a regular basis and reviews our performance and the performance of our Wholly Owned Pipeline and Founded Entities on a quarterly basis. However, the performance of business units may be reviewed more frequently if deemed appropriate. the Company Secretary, covering the effectiveness of the Board as a whole, its individual Directors and its Committees. In addition to the above, the Non- Executive Directors, led by the Senior Independent Director, will periodically appraise the Chair’s performance, following which the Senior Independent Director will provide any feedback to the Chair. The performance of each of the Directors on the Board and the performance of the committees of the Board will be reviewed by the Chair as deemed necessary. The performance of Executive Directors will be reviewed by the Board on an ongoing basis, as deemed necessary, in the absence of the Executive Director under review. Committees of the Board The Board has three principal committees: the Nomination Committee, the Audit Committee and the Remuneration Committee. The composition of the three principal committees of the Board and the attendance of the members throughout the year is set out in the respective committee reports contained in this Annual Report. The terms of reference of each committee are available on request from the Company Secretary and within the Investors section of our website at www.puretechhealth.com. Internal Control The Board fully recognizes the importance of the guidance contained in the Guidance on Risk Management, Internal Control and Related Financial and Business Reporting. Our internal controls were in place during the whole of 2022 and we are satisfied that we have adequate controls and that our internal control over financial reporting was effective for the year ended December 31, 2022. In the prior financial period ended December 31, 2021, we identified a material weakness related to the risk assessment process over the design and implementation of management review controls over the valuation of financial instruments, the completeness and accuracy of related sensitivity disclosures, the valuation of share based payment liabilities and completeness and accuracy of the tax provision. In response to this material weakness, the Company took certain steps in its remediation plan, including (i) improving the processes and internal controls related to the valuation of financial instruments and 2006 and their overriding obligation to act in a way they consider, in good faith, will be most likely to promote the Company’s success. In addition, the Directors are able to impose limits or conditions when giving authorization to a conflict or potential conflict of interest if they think this is appropriate. The authorization of any conflict matter, and the terms of any authorization, may be reviewed by the Board at any time. The Board believes that the procedures established to deal with conflicts of interest are operating effectively. Induction, awareness and  development In preparation for the Company’s initial public offering (IPO), all Directors received an induction briefing from the Company’s legal advisors on their duties and responsibilities as Directors of a publicly quoted company. The Directors also received presentations from the Company’s corporate brokers prior to the IPO. In addition, in order to ensure that the Directors continue to further their understanding of the challenges facing our Founded Entities and Wholly Owned Pipeline, the Board periodically receives the presentations and reports covering the business and operations of each of our Founded Entities as well as its Wholly Owned Pipeline. We have put in place a comprehensive induction plan for any new Directors. This program will be tailored to the needs of each individual Director and agreed with him or her so that he or she can gain a better understanding of us and our businesses. In addition, the Company facilitates sessions as appropriate with our advisors, as well as appropriate governance specialists, to ensure that any new Directors are fully aware of, and understand, their responsibilities and obligations of a publicly quoted company and of the governance framework within which they must operate. Board effectiveness and performance evaluation The Board periodically reviews its effectiveness and performance. The Board seeks the assistance of an independent third-party provider at least once every three years in its evaluation in compliance with the Governance Code, and will otherwise carry out an internally facilitated Board evaluation led by the Senior Independent Director, assisted by Management team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78" descr=""/>
                    <pic:cNvPicPr>
                      <a:picLocks noChangeAspect="1" noChangeArrowheads="1"/>
                    </pic:cNvPicPr>
                  </pic:nvPicPr>
                  <pic:blipFill>
                    <a:blip r:embed="rId1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75 G o ve rn an ce The key risks and uncertainties we face, as well as the relevant mitigations, are set out on pages 44 to 47 and in the Additional Information section from pages 175 to 211. Information and financial  reporting systems We evaluate and manage significant risks associated with the process for preparing consolidated accounts by having in place systems and internal controls that ensure adequate accounting records are maintained and transactions are recorded accurately and fairly to permit the preparation of financial statements in accordance with IFRS. The Board approves the annual operating budgets and regularly receives details of actual performance measured against the budget. Principal risks and uncertainties Our operations and the implementation of our objectives and strategy are subject to a number of key risks and uncertainties. Risks are formally reviewed by the Board at least annually and appropriate procedures are put in place to monitor and, to the extent possible, mitigate these risks. A summary of the key risks affecting us and the steps taken to manage these risks are set out on pages 44 to 47 and in the Additional Information section from pages 175 to 211. Political expenditure It is the Board’s policy not to incur political expenditure or otherwise make cash contributions to political parties and it has no intention of changing that policy. 2023 Annual General Meeting The Notice of the AGM, which will be held at 11:00 am EDT (4:00 pm BST) on June 13, 2023 at the Company’s headquarters at 6 Tide Street, in Boston, Massachusetts, U.S., is enclosed with this report. Details of the resolutions and the explanatory notes thereto are included with the Notice. To ensure compliance with the Governance Code, the Board proposes separate resolutions for each issue and proxy forms allow shareholders who are unable to attend the AGM to vote for or against or to withhold their vote on each resolution. In addition, to encourage shareholders to participate in the AGM process, the Company proposes to offer electronic proxy voting through the Registrar’s website and through the CREST service. The results of all proxy voting will be published on our website after the AGM. Our website at www.puretechhealth. com is the primary source of information on us. The website includes an overview of our activities, details of our businesses, and details of all of our recent announcements.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79" descr=""/>
                    <pic:cNvPicPr>
                      <a:picLocks noChangeAspect="1" noChangeArrowheads="1"/>
                    </pic:cNvPicPr>
                  </pic:nvPicPr>
                  <pic:blipFill>
                    <a:blip r:embed="rId1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76 PureTech Health plc Annual report and accounts 2022 G o ve rn an ce The Board recognizes its duties under Section 172 of the Companies Act 2006 and continuously has regard to how the Company’s activities and decisions will impact investors, employees, those with whom it has a business relationship, the community and environment and its reputation for high standards of business conduct. In weighing all of the relevant factors, the Board, acting in good faith and fairly between members, makes decisions and takes actions that it considers will best lead to the long- term success of the Company. In accordance with Section 172, it is the responsibility of the Board as a whole to ensure that a satisfactory dialogue takes place and that the Board considers the potential impact on the Company’s key stakeholders when making decisions. The Board is committed to understanding and engaging with shareholders and other key stakeholder groups of the Company in order to maximize value and promote long-term Company success in line with our strategic objectives, as well as to promote and ensure fairness between our stakeholders. The Board believes that appropriate steps and considerations have been taken during the year so that each Director has an understanding of the various key stakeholders of the Company. The Board recognizes its responsibility to contemplate all such stakeholder needs and concerns as part of its discussions, decision-making, and in the course of taking actions and will continue to make stakeholder engagement a top priority in the coming years. During the year, the Board assessed its current activities between the Board and its stakeholders, which demonstrated that the Board actively engages with its stakeholders and takes their various objectives into consideration when making decisions. Stakeholder How we engage Key matters identified Further information Investors • Our shareholders are the owners and investors in our business. We make significant efforts to engage with our shareholders and understand their objectives. We engage with our shareholders through a number of mechanisms to ensure that shareholder views are brought into the boardroom and considered in our decision-making. • The Board’s primary shareholder contact is through the Chief Executive Officer. The Chair, the Senior Independent Director and other Directors, as appropriate, make themselves available for contact with major shareholders and other stakeholders in order to understand their issues and concerns. • Stakeholder engagement will often take place by the Executive Directors and senior management through investor meetings and investor roadshows, including participation at healthcare conferences and participating in fireside chats at those events, with the Board receiving regular updates by way of analysis reports on stakeholder views. • Meetings were held throughout the year with institutional shareholders. Key shareholder publications including the annual report, the full year and half year results announcements and press releases and the information for investors are available on the Company’s website: www. puretechhealth.com. • Our Board keeps its Strategy and Business Model under regular review. During the past year, the Board has engaged to carefully consider its strategy for future growth and development, in particular devoting attention to the future prospects of its business model and its listing venues and the risks and opportunities this would give to the Company’s stakeholders. • The company carefully manages its expenditure and anticipates future capital needs through careful capital management and capital allocation to its Wholly Owned Programs and clinical trials as well as opportunities to secure financing from third parties, for example the SPAC transactions closed for Gelesis and Akili in January and August 2022. Our Board also carefully considers opportunities for disposal of shares held in its Founded Entities such as the disposals of shares in Karuna raising $115m in August and September 2022. • During 2022, the Board welcomed Sharon Barber-Lui to the Board as a Non-Executive Director and saw the retirement of Dame Marjorie Scardino as a Non-Executive Director. The Board seeks to ensure appropriate board structure suitable for a Company of PureTech’s size. • The Board recognizes the importance of Diversity, Equity and Inclusion and is delighted to be one of the few FTSE250 companies with a female CEO. • Governance Section of ARA (Pages 44 to 102) • ESG Report (Pages 15 to 43) • Karuna disposals (Page 48) • Remuneration Report (Pages 86 to 102) • Components of our Value (Page 6) Relations with Stakeholders – Section 172 Statement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80"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77 G o ve rn an ce Stakeholder How we engage Key matters identified Further information Our People • Our employees are crucial to the success of our business and many key decisions made by our Board have an impact on them. It is important to understand the employee perspective and ensure that we maintain an engaged workforce, as we believe that this will lead to better business results. We engage with our employees in various ways to ensure that their voice is heard in the management of our business including: – The conduct of regular Town Hall Meetings, email briefings to employees on key events as well as communication through the company intranet site and an engagement survey – The implementation of regular appraisals and personal development programs • The Board recognizes the importance of an incentivized and engaged workforce, especially in the competitive greater Boston area. The Board engages to ensure the remuneration and benefit packages are competitive. • The Board aims to attract and retain employees through an established personal management and development program, with a view to development of the individual in an inclusive environment where employees from diverse backgrounds can thrive. • We are proud to be a company dedicated to giving life to new classes of medicine to improve the lives of patients with devastating diseases and believe we have established a business where our employees are proud to work. • ESG Report (Pages 15 to 43) • Remuneration Report (Pages 86 to 102) • Strategic Report (Pages 3 to 14) Community &amp;  Environment • We are committed to supporting the communities in which we operate and the wider public. To that end, we have developed various mechanisms for engagement including: – Internships/partnerships with local universities and programs – Charitable giving – Building Certifications – Therapeutic Focus • We are committed to improving our practices to ensure our business operates on a sustainable basis. In particular, we have created an ESG committee chaired by one of our Non-Executive Directors to guide our sustainability initiatives. Our business is a low carbon emissions, and we are committed to delivering long-term environmental sustainability. • We partner with local universities and programs to offer paid internship and externship programs, generally within technical fields in our development organization. • The company engages with local community and supports charitable causes. In particular, in 2022 and through the January 2023 post-period, PureTech made charitable contributions to Fred Hutchinson Cancer Research Center, International Rescue Committee, The Pulmonary Fibrosis Foundation (PFF) and The Greater Boston Food Bank. • ESG Report (Pages 15 to 43) Suppliers/ Business Partners • Our business model creates value through partnerships and relationships with various key collaborators, and we continually evaluate how to strengthen relationships and arrangements with these institutions and individuals. Our engagement in 2022 included: – Quality updates and quality audits – Meetings with key surgeons to understand/identify potential indications and applications for therapeutics – Partnerships – Imbrium, BeiGene and Eli Lilly • We aim to build clear and reliable supply arrangements with our contract manufacturers for clinical product supply, in particular with an emphasis on quality, especially in relation to a clinical environment. • We seek partnerships with other life sciences organizations to secure non- dilutive funding, access to development opportunities and access to materials for our clinical trials. • Components of Our Value (Page 6) • LYT-200 (Page 11) • LYT-503/IMB-150 (Page 4) Management team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81"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78 PureTech Health plc Annual report and accounts 2022 G o ve rn an ce the Company. There are no restrictions on the transfer of ordinary shares or on the exercise of voting rights attached to them, which are governed by the Articles of Association and relevant UK legislation. The Directors are not aware of any agreements between holders of the Company’s shares that may result in restrictions on the transfer of securities or in voting rights. Substantial shareholders  As of March 31, 2023, the Company had been advised that the shareholders listed on page 79 hold interests of 3 percent or more in its ordinary share capital (other than interests of the Directors which are detailed on page 99 of the Directors’ Remuneration Report). Other than as shown, so far as the Company (and its Directors) are aware, no other person holds or is beneficially interested in a disclosable interest in the Company. Powers of the Directors Subject to the Company’s Articles of Association, UK legislation and any directions given by special resolution, the business of the Company is managed by the Board of Directors. Details of the matters reserved for the Board can be found in the Corporate Governance Report on page 71. Articles of Association The Articles of Association of the Company can only be amended by special resolution at a general meeting of the shareholders. No amendments are proposed at The 2023 AGM. Details of the interests of directors in the share capital of the Company as of December 31, 2022 are set out in the Annual Report on Remuneration on page 99 and Note 24 to the financial statements, located on page 164. There have been no changes in such interests from December 31, 2022 to March 31, 2023, except as specifically set forth in those sections. Results and dividends We generated a loss for the year ended December 31, 2022 of $37.1 million (2021: Loss of $62.7 million). The Directors do not recommend the payment of a dividend for the year ended December 31, 2022 (2021: nil). Share capital As of December 31, 2022, the ordinary issued share capital of the Company stood at 278,566,306 shares of £0.01 each, including shares issuable upon conversion of outstanding ADSs, with 10,595,347 shares held in treasury by the Company under its ongoing Share Repurchase Program. Details on share capital are set out in Note 14 to the financial statements, page 148. The Company’s issued ordinary share capital comprises a single class of ordinary shares. Details on movements in issued share capital can be found in Note 14 to the financial statements, page 148. Rights of ordinary shares All of the Company’s issued ordinary shares are fully paid up and rank pari passu in all respects and there are no special rights with regard to control of The Directors present their report and the audited consolidated financial statements for the financial year ended December 31, 2022. Certain disclosure requirements for inclusion in this report have been incorporated by way of cross reference to the Strategic Report, the Directors’ Remuneration Report and the ESG Report which should be read in conjunction with this report. The Company was incorporated on May 8, 2015 as a public company limited by shares in the UK and has a registered office situated at 8th Floor, 20 Farringdon Street, London, EC4A 4AB, United Kingdom. The Company was admitted to the premium listing segment of the Official List of the UK Listing Authority and to trading on the main market of the London Stock Exchange on June 24, 2015. The Company’s American Depository Shares, each representing 10 ordinary shares, began trading on the Nasdaq Global Market on November 16, 2020. Directors The membership of the Board can be found below, and biographical details of the directors can be found on pages 66 to 70 and are deemed to be incorporated into this report. Descriptions of the terms of the directors’ service contracts are set forth on page 94 and page 100 of this report. All directors shall retire from office and, except for Christopher Viehbacher, will offer themselves for reappointment by the members at the Company’s upcoming AGM. Directors’ Report for the year ended December 31, 2022 The following have served as Directors of the Company during the 2022 financial year. Name Role Age (as of December 31, 2022) Mr. Christopher Viehbacher Non-Executive Chair 62 Ms. Daphne Zohar Chief Executive Officer 52 Dame Marjorie Scardino Senior Independent Director 75 Dr. Robert Langer Non-Executive Director 74 Dr. Raju Kucherlapati Independent Non-Executive Director 79 Dr. John LaMattina Independent Non-Executive Director 72 Ms. Kiran Mazumdar-Shaw Independent Non-Executive Director 69 Dr. Bharatt Chowrira President; Chief Business, Finance and Operating Officer; Company Secretary 57 Ms. Sharon Barber-Lui Independent Non-Executive Director (appointed March 24, 2022) 49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82"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79 G o ve rn an ce Related party transactions Details of related party transactions can be found in Note 24 of the financial statements on pages 163 to 164. Share buyback At the 2021 AGM and the 2022 AGM, shareholders gave the Company authority to purchase shares from the market up to an amount equal to 10% of the Company’s issued share capital at that time. The authority granted from the 2021 AGM expired as of the end of the 2022 AGM, and the authority from the 2022 AGM expires as of the earlier of the end of the 2023 AGM or close of business on 15 September 2023. During 2022, 10,595,347 ordinary shares were purchased by the company and held as treasury shares. Such treasury shares do not receive dividend rights and may not exercise voting rights. Future business developments Information on the Company and its Wholly Owned Pipeline and Founded Entities’ future developments can be found in the Strategic Report on pages 7 to 14. Risk and internal controls The principal risks we face are set out on pages 44 to 47 and in the Additional Information section from pages 175 to 211. The Audit Committee’s assessment of internal controls is laid out on page 84. Subsequent Events Information related to events occurring after December 31, 2022 can be found in footnote 26 to the consolidated financial statements. Research and Development Information on our research and development activities can be found in the Strategic Report on pages 7 to 14. Going concern As of December 31, 2022, the directors had a reasonable expectation that we had adequate resources to continue in operational existence into the first quarter of 2026. the main principles and complied with the provisions set out in the Governance Code with the following exception: contrary to provision 24 of the Governance Code, the Chair, Mr. Christopher Viehbacher, was also Chair of the Audit Committee through April 26, 2022 and a member of the Audit Committee for all of 2022. The Board believes that Mr. Viehbacher’s professional background and experience, together with his past participation on such committee for the past five years, made him a valuable member of the Audit Committee and that his membership was in the best interests of the Company’s shareholders. Mr. Viehbacher was appointed Chair in September 2019. Immediately following the publication of its Annual Report and Accounts for the year ended December 31, 2021 on April 26, 2022, Ms. Sharon Barber-Lui became the Chair of the Audit Committee, and Mr. Viehbacher stepped down as the Chair of the Audit Committee but remained a member thereof. Further explanation as to how the provisions set out in the Governance Code have been applied by the Company is provided in this Report, the Report of the Nomination Committee and the Report of the Audit Committee. Financial instruments The financial risk management and internal control processes and policies, and exposure to the risks associated with financial instruments can be found in Note 16 to the financial statements and the Corporate Governance section of the Annual Report on page 83. Sustainable development and  environmental matters Details of the Company’s policies and performance, as well as disclosures concerning GHG emissions, are provided in the ESG Report on pages 15 to 43. Directors’ liabilities (Directors’  indemnities) As at the date of this report, the Company has granted qualifying third party indemnities to each of its Directors against any liability that attaches to them in defending proceedings brought against them, to the extent permitted by the Companies Act. In addition, Directors and officers of the Company and its Founded Entities have been and continue to be covered by Directors’ and officers’ liability insurance. See further description of indemnity and insurance on page 73. Political donations No political contributions/donations for political purposes were made by the Company or any of our affiliate companies to any political party, politician, elected official or candidate for public office during the financial year ended December 31, 2022 (2021: nil). Significant agreements There are no agreements between the Company or any of our affiliate companies and any of its employees or any Director which provide for compensation to be paid to an employee or a Director for loss of office as a consequence of a takeover of the Company. Compliance with the UK Corporate  Governance Code The Directors are committed to a high standard of corporate governance and compliance with the best practice of the UK Corporate Governance Code (Governance Code) published in July 2018. The Governance Code is available at the Financial Reporting Council website at www.frc.org.uk. The Directors consider that the Company has, throughout the year ended December 31, 2022, applied Management team — continued Shareholder % Invesco Asset Management Limited 23.32 Lansdowne Partners International Limited 8.81 Baillie Gifford &amp; Co 8.09 M&amp;G Investment Management, LTD 4.22 Vanguard Group 4.04 Patient Capital Management 3.52 Recordati SPA Pharmaceutical Company 3.43 * Represents an entity that is not a major subsidiary undertaking of the Company.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83"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80    PureTech Health plc  Annual report and accounts 2022 G o ve rn an ce Annual General Meeting The Notice of the AGM, which will be held at 11:00 am EDT (4:00 pm BST) on June 13, 2023 at the Company’s headquarters at 6 Tide Street, in Boston, Massachusetts, U.S. is enclosed with this report. Details of the resolutions and the explanatory notes thereto are included with the Notice. To ensure compliance with the Governance Code, the Board proposes separate resolutions for each issue and proxy forms allow shareholders who are unable to attend the AGM to vote for or against or to withhold their vote on each resolution. In addition, to encourage shareholders to participate in the AGM process, the Company proposes to offer electronic proxy voting through the Registrar’s website and through the CREST service. The results of all proxy voting will be published on our website after the AGM. The Notice of the Meeting, together with an explanation of the items of business, will be contained in a circular to shareholders to be dated April 28, 2023. Pension schemes Information on the Company’s 401K Plan can be found in the Annual Report on Remuneration on page 90. Disclosure of information under Listing Rule 9.8.4R For the purposes of LR 9.8.4R, the information required to be disclosed can be found in the sections of the Annual Report and Financial Statements listed in the table below. Listing Rule Requirement  Location in Annual Report A statement of the amount of interest capitalized during the period under review and details of any related tax relief. N/A Information required in relation to the publication of unaudited financial information. N/A Details of any long-term incentive schemes. Directors’ Remuneration Report, page 90 Details of any arrangements under which a Director has waived emoluments, or agreed to waive any future emoluments, from the Company. N/A Details of any non-pre-emptive issues of equity for cash. N/A Details of any non-pre-emptive issues of equity for cash by any unlisted major subsidiary undertaking. Directors’ Report, page 78 Details of parent participation in a placing by a listed subsidiary. N/A Details of any contract of significance in which a Director is or was materially interested. N/A Details of any contract of significance between the Company (or one of its subsidiaries) and a controlling shareholder. N/A Details of any provision of services by a controlling shareholder. N/A Details of waiver of dividends or future dividends by a shareholder. N/A Where a shareholder has agreed to waive dividends, details of such waiver, together with those relating to dividends which are payable during the period under review. N/A Board statements in respect of relationship agreement with the controlling shareholder. N/A Whistleblowing, anti-bribery and corruption We seek at all times to conduct our business with the highest standards of integrity and honesty. We also have an anti-bribery and corruption policy which prohibits our employees from engaging in bribery or any other form of corruption. In addition, we have a whistleblowing policy under which staff are encouraged to report to the Chief Executive Officer or the President, any alleged wrongdoing, breach of a legal obligation or improper conduct by or on the part of us or any of our officers, Directors, employees, consultants or advisors. Management team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84"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81 G o ve rn an ce Under applicable law and regulations, the Directors are also responsible for preparing a Strategic Report, Directors’ Report, Directors’ Remuneration Report and Corporate Governance Statement that complies with that law and those regulations. The Directors are responsible for the maintenance and integrity of the corporate and financial information included on the Company’s website. Legislation in the UK governing the preparation and dissemination of financial statements may differ from legislation in other jurisdictions. Responsibility statement of the  Directors in respect of the annual  financial report We confirm that to the best of our knowledge: • the financial statements, prepared in accordance with the applicable set of accounting standards, give a true and fair view of the assets, liabilities, financial position and profit or loss of the Company and the undertakings included in the consolidation taken as a whole; and • the strategic report includes a fair review of the development and performance of the business and the position of the issuer and the undertakings included in the consolidation taken as a whole, together with a description of the principal risks and uncertainties that they face. We consider the annual report and accounts, taken as a whole, is fair, balanced and understandable and provides the information necessary for shareholders to assess the Group’s position and performance, business model and strategy. By Order of the Board Daphne Zohar Founder, Chief Executive Officer and Director April 27, 2023 UK-adopted international accounting standards and applicable law and have elected to prepare the parent Company financial statements on the same basis. In addition, the Group financial statements are required under the UK Disclosure Guidance and Transparency Rules to be prepared in accordance with the UK-adopted international accounting standards. Under Company law the Directors must not approve the financial statements unless they are satisfied that they give a true and fair view of the state of affairs of the Group and parent Company and of the Group’s profit or loss for that period. In preparing each of the Group and parent Company financial statements, the directors are required to: • select suitable accounting policies and then apply them consistently; • make judgements and estimates that are reasonable, relevant and reliable; • state whether they have been prepared in accordance with the UK-adopted international accounting standards; • assess the Group and parent Company’s ability to continue as a going concern, disclosing, as applicable, matters related to going concern; and • use the going concern basis of accounting unless they either intend to liquidate the Group or the parent Company or to cease operations, or have no realistic alternative but to do so. The Directors are responsible for keeping adequate accounting records that are sufficient to show and explain the parent Company’s transactions and disclose with reasonable accuracy at any time the financial position of the parent Company and enable them to ensure that its financial statements comply with the Companies Act 2006. They are responsible for such internal control as they determine is necessary to enable the preparation of financial statements that are free from material misstatement, whether due to fraud or error, and have general responsibility for taking such steps as are reasonably open to them to safeguard the assets of the Group and to prevent and detect fraud and other irregularities. Appointment of auditor KPMG has been our auditor since 2015 and during the year the Audit Committee recommended to the Board that the audit tender process be accelerated with a view to appointing new auditors. The Audit Committee oversaw a formal and comprehensive tender process for the appointment of the external auditor. The tender offer process enabled the Audit Committee to recommend to the Board the appointment of PricewaterhouseCoopers LLP (“PwC”) as the preferred new auditor. Based on this recommendation, the Board is proposing that PwC be appointed as external auditor of Company, subject to shareholder approval at the Company’s forthcoming AGM on June 13, 2023. The Audit Committee will oversee handover and induction arrangements to ensure a smooth transition. Disclosure of information to auditor The Directors who held office at the date of approval of this Directors’ report confirm that: • so far as the Director is aware, there is no relevant audit information of which the Company’s Auditor is unaware; and • the Director has taken all steps that he/she ought to have taken as a Director in order to make himself/ herself aware of any relevant audit information and to establish that the Company’s Auditor is aware of that information. This confirmation is given and should be interpreted in accordance with the provisions of Section 418 of the CA 2006. Statement of Directors’  responsibilities in respect of the  Annual Report and the financial  statements The Directors are responsible for preparing the Annual Report and the Group and parent Company financial statements in accordance with applicable law and regulations. Company law requires the directors to prepare Group and parent Company financial statements for each financial year. Under that law they are required to prepare the Group financial statements in accordance with Management team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85"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82 PureTech Health plc Annual report and accounts 2022 G o ve rn an ce In light of retirement of Dame Scardino and the upcoming departure of Mr. Viehbacher, the committee has undertaken a search to identify a new Board Chair as well as a replacement for Dame Scardino. The search is intended to be both expeditious and thorough, and it is aimed at replacing these outgoing Directors with individuals of the same stature while focusing on the key skill sets needed to complement the current Board and guide the Company in its continued evolution. The Company will provide updates in due course but does not currently expect that such new Directors will be in place at the time of the 2023 AGM. Diversity policy Diversity within the Company’s Board is essential in maximizing its effectiveness, as it enriches debates, business planning and problem- solving. The Company approaches diversity in its widest sense so as to recruit the best talent available, based on merit and assessed against objective criteria of skills, knowledge, independence and experience as well as other criteria such as gender, age and ethnicity. The Company will adhere to a strategy of recruiting individuals who meet these criteria as it searches for additional independent Non-Executive Directors to the Board, as discussed below. The Committee’s primary objective is to ensure that the Company maintains the strongest possible leadership. Information regarding the Company’s diversity efforts can be found in the ESG Report on pages 15 to 43. Board and Committee evaluation Information regarding the evaluation of the Board and its Committees can be found on page 74. In making their determination for the year 2022, the Board regarded Dame Marjorie Scardino, Dr. Langer and Ms. Mazumdar-Shaw as meeting the independence criteria set out in the Governance Code as it is applied to their service on the Nomination Committee. In reaching this determination, the Board duly considered (i) their directorships and links with other Directors through their involvement in other Founded Entities; (ii) their equity interests in PureTech Health and/or the Founded Entities; and (iii) the circumstance that Dr. Langer is a founding Director of the Company. The Board also duly considered the extent to which these matters may impact their service on the Nomination Committee. After such consideration, the Board has determined Dame Marjorie Scardino, Dr. Langer and Ms. Mazumdar-Shaw to be independent in character and judgement and free from relationships or circumstances which might affect, or appear to affect, the Directors’ judgement in their service on the Nomination Committee. The Board further regards Dr. Kucherlapati as independent on the basis of the Governance Code criteria despite his serving as interim Chair of the Board following the Company’s 2023 AGM in light of the criteria listed above and the fact that Dr. Kucherlapati’s appointment as Chair of the Board is expressly temporary in nature. The Nomination Committee meets as required to initiate the selection process of, and make recommendations to, the Board with regard to the appointment of new Directors. During 2022, the Nomination Committee met one time to review the structure, size and composition of the Board in light of the requirements of the Governance Code. Ms. Mazumdar-Shaw and Dr. Langer participated in the meeting. Dr. Kucherlapati, the Chief Executive Officer and the President were invited to and attended the meeting. Committee responsibilities The Nomination Committee assists the Board in discharging its responsibilities relating to the composition and make-up of the Board and any Committees of the Board. It is also responsible for periodically reviewing the Board’s structure and identifying potential candidates to be appointed as Directors or Committee members as the need may arise. The Nomination Committee is responsible for evaluating the balance of skills, knowledge and experience and the size, structure and composition of the Board and Committees of the Board, retirements and appointments of additional and replacement Directors and Committee members, and makes appropriate recommendations to the Board on such matters. A full copy of the Committee’s Terms of Reference is available on request from the Company Secretary and within the Investor’s section on Company’s website at www.puretechhealth.com. Committee membership The Nomination Committee consisted of Dame Marjorie Scardino, who served as the committee’s Chair, Dr. Robert Langer, and Ms. Kiran Mazumdar- Shaw during 2022. Dame Scardino retired from the Board as of the close of business of December 31, 2022, at which time Dr. Raju Kucherlapati was appointed to serve on and chair the committee. The biographies of the Nomination Committee members can be found on pages 66 to 67. The Governance Code requires that a majority of the members of a nomination committee should be independent Non-Executive Directors. Report of the Nomination Committee Raju Kucherlapati, Ph.D. Chair, Nomination Committee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86"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83 G o ve rn an ce Significant issues considered in  relation to the financial statements The Committee considered, in conjunction with management and the external auditor, the significant areas of estimation, judgement and possible error in preparing the financial statements and disclosures, discussed how these were addressed and approved the conclusions of this work. The principal areas of focus in this regard were: Valuation of financial instruments;  investments in non-traded financial  assets and, preferred share  financial liabilities An area of material judgement in our financial statements and, therefore audit risk, relates to the valuation of third party held preferred shares classified as liabilities, which at year end had a carrying value totaling $27 million (2021 – $174 million), as well as investments held at fair value that do not have a quoted active market price which at year end had a carrying value totaling $13 million (2021 – $240 million). We considered the underlying economics of the valuations and sought external expertise in determining the appropriate valuation of the financial liabilities and financial investments. These valuations rely, in large part, on the estimated possible expected returns on the financial instruments and the values of recent transactions. These values also determine the amount of gain (loss) on the financial instruments. The Committee believes that we considered the pertinent terms and underlying economics of each of the financial instruments, as well as the advice of external experts, and as such concluded that the financial Instruments were appropriately recorded. Recoverability of investments  in subsidiaries held by the  Parent Company The significant issue is the recoverability of the investment by the Company, due to its materiality in the context of the total assets of the Parent Company. The carrying value of the Investment of the Parent Company in its subsidiary is supported by our underlying assets and our market capitalization adjusted for the net assets held at the Parent level. The Committee was satisfied with the conclusion reached. the Senior Vice President of Finance at EQRx, Inc., a publicly-traded U.S. company (Nasdaq: EQRX), and has held a number of senior finance and executive leadership positions in her career. The Board has deemed this to be recent and relevant financial experience qualifying her to be Chair of the Committee. The biographies of the Committee members can be found on pages 66 to 67. The Committee met three times during the year, with Mr. Viehbacher, Dr. Kucherlapati and Ms. Barber-Lui each attending all three meetings and Dame Scardino attending one of the three meetings. Dame Scardino was no longer a member of the Committee following her retirement as a Director on December 31, 2022. Dr. John LaMattina will join the Audit Committee at such time when Mr. Viehbacher is no longer a member of the Audit Committee, unless another Non-Executive Director is appointed. The Chief Financial Officer or President were invited to and attended all of the meetings, and the external Auditor was invited to and attended two of the three meetings. The Chief Executive Officer also attended certain of the meetings. When appropriate, the Committee met with the Auditor without any members of the executive management team being present. Activities during the year During the year, the Committee recommended to the Board that the audit tender process be accelerated with a view to appointing new auditors. The Audit Committee oversaw a formal and comprehensive tender process for the appointment of the external auditor. The tender offer process enabled the Audit Committee to recommend to the Board the appointment of PwC as the preferred new auditor. Based on this recommendation, the Board is proposing that PwC be appointed to as external auditor of the Company, subject to shareholder approval at the Company’s forthcoming AGM in June 2023. The Audit Committee will oversee handover and induction arrangements to ensure a smooth transition. Information on the tender process can be found further below. The Committee also undertook the normal recurring items, the most important of which are noted below. Committee responsibilities The Audit Committee monitors the integrity of our financial statements and reviews all proposed annual and half-yearly results announcements to be made by us with consideration being given to any significant financial reporting judgements contained in them. The Committee also advises the Board on whether it believes the annual report and accounts, taken as a whole, are fair, balanced and understandable and provide the information necessary for shareholders to assess the Company’s position and performance, business model and strategy. The Committee also considers internal controls, compliance with legal requirements, the FCA’s Listing Rules, Disclosure Guidance and Transparency Rules, and reviews any recommendations from the Group’s Auditor regarding improvements to internal controls and the adequacy of resources within our finance function. A full copy of the Committee’s Terms of Reference is available on request from the Company Secretary and within the Investor’s section on the Company’s website at www.puretechhealth.com. Committee membership The Committee consisted of three independent Non-Executive Directors, Mr. Christopher Viehbacher, Dr. Raju Kucherlapati and Dame Marjorie Scardino, until Ms. Sharon Barber- Lui joined the Committee upon her appointment to the Board on March 24, 2022. Mr. Viehbacher served as Chair of the Committee through April 26, 2022, at which point Ms. Barber- Lui became Chair of the committee. Mr. Viehbacher has experience as a Chartered Accountant and has held numerous senior executive positions in his career. The Board has deemed this to be recent and relevant financial experience, qualifying him to be Chair of the Committee. Ms. Barber-Lui has accounting experience, is currently Report of the Audit Committee Ms. Sharon Barber-Lui Chair, Audit Committee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87"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84 PureTech Health plc Annual report and accounts 2022 G o ve rn an ce In the financial period ended December 31, 2021, we identified a material weakness related to the risk assessment process over the design and implementation of management review controls over the valuation of financial instruments, the completeness and accuracy of related sensitivity disclosures, the valuation of share-based payment liabilities and completeness and accuracy of the tax provision. In response to this material weakness, the Company took certain steps in its remediation plan, including (i) improving the processes and internal controls related to the valuation of financial instruments and share based payment liabilities, the related sensitivity disclosures, and the tax provision, (ii) disaggregating the management review controls to address the specific risks associated with these items, and (iii) implementing more robust procedures over the documentation of the performance of these management review controls. As a result, as of December 31, 2022, we have concluded that this material weakness has been remediated and the controls are operating effectively. Based on the above, we have satisfied ourselves that we have adequate controls and that our internal control over financial reporting is effective for the year ended 31 December 2022. We have a formal whistleblowing policy. The Committee is satisfied that the policy has been designed to encourage staff to report suspected wrongdoing as soon as possible, to provide staff with guidance on how to raise those concerns, and to ensure staff that they should be able to raise genuine concerns without fear of reprisals, even if they turn out to be mistaken. Internal audit We do not maintain a separate internal audit function. This is principally due to our size, where close control over operations is exercised by a small number of executives. In assessing the need for an internal audit function, the Committee considered the risk assessment performed by management to identify key areas of assurance and the whole system of internal financial and operational controls. The Company achieves internal assurance by Compliance The Committee has had a role in supporting our compliance with the Governance Code, which applies to us for the 2022 financial year. The Board has included a statement regarding our longer-term viability on page 48. The Committee worked with management and assessed that there is a robust process in place to support the statement made by the Board. Similarly, the Committee worked with management to ensure that the current processes underpinning its oversight of internal controls provide appropriate support for the Board’s statement on the effectiveness of risk management and internal controls. Financial Reporting Council  correspondence During 2022, the company received a letter from the Financial Reporting Council (FRC) in relation to its limited scope review of our Annual Report and Accounts for the year ended December 31, 2022 in accordance with Part 2 of the FRC Corporate Reporting Review Operating Procedures. Based on such review, the FRC had no questions or queries that they wished to raise with us at this stage. The letter also noted that certain areas of the disclosure on deferred tax assets were an example of better practice. The nature of the FRC review is that it provides no assurance that the annual report and accounts are correct in all material respects. The FRC’s role is not to verify the information but is to consider compliance with reporting requirements. Risk and internal controls The principal risks we face are set out on pages 44 to 47 and in the Additional Information section from pages 175 to 211. The Committee has directed that management engage in a continuous process to review internal controls around financial reporting and safeguarding of assets. Management has engaged external advisors to complete internal control testing on behalf of management for the 2022 financial year and the results were presented to the Committee. Regulatory compliance Ensuring compliance for FCA regulated businesses also represents an important control risk from the perspective of the Committee. We engage with outside counsel and other advisors on a regular basis to ensure compliance with legal requirements. Review of Annual Report and  Accounts and Half-yearly Report The Committee carried out a thorough review of our 2022 Annual Report and Accounts and our 2022 Half-yearly Report resulting in the recommendation of both for approval by the Board. In carrying out its review, the Committee gave particular consideration to whether the Annual Report, taken as a whole, was fair, balanced and understandable, concluding that it was. It did this primarily through consideration of the reporting of our business model and strategy, the competitive landscape in which it operates, the significant risks it faces, the progress made against its strategic objectives and the progress made by, and changes in fair value of, its Founded Entities during the year. Going concern At least annually, the Committee considers the going concern principle on which the financial statements are prepared. As a business which seeks to fund the development of its Wholly Owned Pipeline, as well as support its Founded Entities with further capital, the business model is currently inherently cash consuming. As of December 31, 2022, we had sufficient operational funding to extend operations over a three-year period into the first quarter of 2026. Therefore, while an inability of the Wholly Owned Pipeline and Founded Entities to raise funds through equity financings with outside investors, strategic arrangements, licensing deals or debt facilities may require us to modify our level of capital deployment into our Wholly Owned Pipeline and Founded Entities or to more actively seek to monetize one or more Founded Entities, it would not threaten our viability overall. Report of the Audit Committee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88"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85 G o ve rn an ce performing the risk assessment of the key areas of assurance and maintaining related key internal controls, as well as engaging external advisors to perform internal control testing, as described above. External audit We have engaged KPMG LLP as our Auditor since 2015. The current audit partner is Robert Seale who has been our audit partner since June 2019. The effectiveness of the external audit process is dependent on appropriate risk identification. In October 2022, the Committee discussed the Auditor’s audit plan for 2022. This included a summary of the proposed audit scope and a summary of what the Auditor considered to be the most significant financial reporting risks facing us together with the Auditor’s proposed audit approach to these significant risk areas. The main areas of audit focus for the year were (a) Valuation of financial instruments preferred share financial liabilities and non-traded investments held at fair value and (b) the valuation of investments held by the Parent Company. Appointment and independence The Committee advises the Board on the appointment of the external Auditor and on its remuneration both for audit and non-audit work, and discusses the nature, scope and results of the audit with the external Auditor. The Committee keeps under review the cost-effectiveness and the independence and objectivity of the external Auditor. Controls in place to ensure this include monitoring the independence and effectiveness of the audit, a policy on the engagement of the external Auditor to supply non-audit services, and a review of the scope of the audit and fee and performance of the external Auditor. Report of the Audit Committee — continued Audit Tender KPMG has been our auditors since 2015 and during the year we recommended to the Board that the audit tender process be accelerated with a view to appointing new auditors. As well as KPMG, two other firms were invited to submit tenders. The audit tender process was led by me as Chair of the Audit Committee and a robust process was carried out. A Request for Proposal (RFP) was issued and written proposals were provided by the tendering parties. We had a common set of criteria for evaluating the proposals including, among other things: • Audit quality record and Audit Inspection Reports from the FRC and PCAOB. • The lead partner and their audit team, including team makeup and relevant experience with dual-listed companies and applicable accounting standards and internal control over financial reporting standards. • Sector experience. • Proposed audit plan and approach to resolving issues or matters of judgement. • Transition experience and plans. • Use of technology. The potential audit firms participated in meetings with management, which provided an opportunity for the firms to ask questions arising from their review of the data room, as well as enabling management to interact directly with each potential audit team. The proposals presented by the potential audit firms were subject to detailed evaluation and discussion which enabled us to recommend to the Board the appointment of PwC as the preferred new auditor. Based on this recommendation, the Board is proposing that PwC be appointed as external auditor of the Company, subject to shareholder approval at the Company’s forthcoming AGM in June 2023. The Audit Committee will oversee handover and induction arrangements to ensure a smooth transition. It is expected that PwC will present their 2023 audit plan to the Audit Committee following their appointment, with a view to undertaking the 2023 interim review and year end audit. Non-audit work The Committee approves all fees paid to the Auditor for non-audit work. Where appropriate, the Committee sanctions the use of KPMG LLP for non-audit services in accordance with our non-audit services policy. During 2022 KPMG LLP did not provide any non-audit related services. Therefore, the ratio of non-audit work to audit work was nil, which the Committee is satisfied does not breach the independence of KPMG LLP. Sharon Barber-Lui Chair of Audit Committee April 27,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89"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86 PureTech Health plc Annual report and accounts 2022 G o ve rn an ce Committee membership The Remuneration Committee consists of Dr. Kucherlapati, Dr. LaMattina and Ms. Mazumdar-Shaw, with Dr. LaMattina serving as Chair of the Committee. The biographies of the Committee members can be found on pages 66 to 67. The Committee met three times during the year, with each Committee member in attendance for all three meetings. The Committee also acted by unanimous written consent three times during the year. The Chief Executive Officer and the President were invited to all of the meetings, with Ms. Zohar attending each meeting and Dr. Chowrira attending two of the three meetings. However, no Executive Director was permitted to participate in discussions or decisions about his or her personal remuneration. Our Remuneration Policy The success of PureTech depends on the motivation and retention of our highly skilled workforce with significant expertise across a range of science and technology disciplines, as well as our highly-experienced management team and seasoned Directors. PureTech’s Remuneration Policy is therefore an important part of our business strategy. Our guiding principle is to provide market competitive remuneration packages, including with respect to cash compensation in the form of base salary, annual bonuses and benefits as well as share based compensation, benchmarked against data generated from our local markets to enable us to put together and retain a top tier team. Committee responsibilities  The Remuneration Committee’s primary purpose is to assist the Board in determining the Company’s remuneration policies. The Remuneration Committee has the responsibility for setting the remuneration policy for all Executive Directors and the Chairman of the Company, including pension rights and compensation payments, and in determining such policy must take into account all factors which it deems necessary including regulatory requirements, with the objective of attracting, retaining and motivating executive management having regard to views of shareholders and stakeholders and the risk appetite of the Company and alignment to the Company’s long term goals and strategic plan. The Remuneration Committee also recommends and monitors the level and structure of remuneration for senior management. The Remuneration Committee shall, in consultation with the Chairman and/or the Chief Executive Officer, determine the total individual remuneration package of each Executive Director, including share awards. The Remuneration Committee shall also have regard to current information for remuneration in other companies of comparable scale and complexity and can appoint remuneration consultants to assist in such process. The Remuneration Committee also has responsibility to review the design of all share incentive plans and determine awards under such plans. A full copy of the Remuneration Committee’s Terms of Reference is available on request from the Company Secretary and within the Investors section of the Company’s website at www.puretechhealth.com. The Directors’ Remuneration Report is split into three sections, namely: • This Annual Statement: summarizing and explaining the major decisions on Directors’ remuneration in the year; • The Directors’ Remuneration Policy: setting out the framework for remuneration for our Directors on pages 90 to 94; and • The Annual Report on Remuneration: setting out the implementation of the Remuneration Policy in the year ended December 31, 2022 and the intended implementation for the year ending December 31, 2023 on pages 95 to 102. The current Directors’ Remuneration Policy was last approved at the 2021 AGM, and such approval is effective until the 2024 AGM. The Directors’ Remuneration Report (excluding that part of the report containing the Directors’ Remuneration Policy on pages 90 to 94) will be subject to a shareholder vote at the 2023 AGM. This vote is advisory only and does not affect the actual historical remuneration paid to any individual Director. We will also be asking shareholders to approve a separate AGM proposal to introduce a new Performance Share Plan (“PSP”), as explained below. Directors’ Remuneration Report for the  year ended December 31, 2022 Dr. John LaMattina Chair, Remuneration Committee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90"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87 G o ve rn an ce Performance and reward in 2022 During 2022, PureTech delivered strong execution and achievement of key strategic and financial goals, which has been reflected in the annual bonus outcome. The Company delivered substantial growth and generated momentum to support future growth in the coming years as our balance sheet, Founded Entities equity and royalty stakes, and Wholly Owned programs position PureTech with the strength to build substantial value for shareholders in the current environment. This growth is due in large part to (i) significant development and advancement of our Wholly Owned Pipeline and activities initiated or progressed to potentially bring these innovative therapies to market, (ii) generation of over $115 million of non-dilutive cash income in 2022 from the sale of equity holdings in Founded Entities, (iii) completion of various strategic sourcing and strategic planning initiatives with the forward looking goal to enhance shareholder value, (iv) substantial development and expansion of the Company’s intellectual property portfolio and (v) key support provided to the Founded Entities as their businesses progress and, in certain cases, execute key transactions or financings. This increase in value, together with management’s operational performance at PureTech and within the Wholly Owned Pipeline and Founded Entities, resulted in the Remuneration Committee approving 90% of the target performance goals. In line with our standard approach, the Committee then reviewed the overall performance of the Company and the individual Executive Directors before determining the final bonus payout. Objectives of the Remuneration  Policy for our CEO and Senior  Executives In the construction of our Executive Director Remuneration Policy, the Committee paid particular regard to the market practice of U.S. peer companies to ensure that packages are competitive, recognizing the predominantly U.S. market in which we compete for talent. At the same time, the structure of the packages was designed to be in line with the principles of the UK Corporate Governance Code and best practice. The key aims of the Remuneration Policy and the Code principles to which they relate are as follows: • promote our long-term success (Code principle: Proportionality); • attract, retain and motivate high caliber senior management and focus them on the delivery of our long-term strategic and business objectives (Proportionality, alignment to culture and risk); • be simple and understandable, both externally and internally (Clarity, simplicity, predictability and proportionality); • achieve consistency of approach across senior management to the extent appropriate and informed by relevant market benchmarks (Clarity and alignment to culture); and • encourage widespread equity ownership across the executive team to ensure a long-term focus and alignment of interest with shareholders (Alignment to culture, risk). The Directors’ Remuneration Policy was approved by shareholders at the 2021 AGM with 83.9% support, and the Remuneration Report was approved by shareholders at the 2022 AGM with 86.2% support. Whilst the Committee was pleased with the support received in each instance, it recognizes that some shareholders had concerns with aspects of our approach. The Committee recognizes that the quantum of long-term share awards may be higher than the norm in the UK market but believes that such awards are near the median of peer companies in Boston, Massachusetts, the largest biotechnology cluster in the world and where the Company is headquartered. Share based remuneration is a vital component of the remuneration packages of both executives and the Board of Directors, as well as for our broader employee base, and allows us to compete for, attract and retain talent in the U.S. market. We remain committed to long-term performance-based remuneration delivered through the PSP and believe that our current remuneration policy provides an appropriate framework to incentivize and motivate our senior management team with competitive U.S. remuneration packages, while also ensuring the overall structure of the PSP is aligned to UK practice. All tables within the Directors’ Remuneration Report are audited under the International Standards on Auditing (UK) (“ISAs (UK)”) unless otherwise noted. Directors’ Remuneration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91"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88 PureTech Health plc Annual report and accounts 2022 G o ve rn an ce We will have granted awards that will have used up substantially all of the current 10% dilution limit by the time of the 2023 AGM. While a non-trivial portion of these may ultimately never be issued into the market as ordinary shares due to forfeitures, cancellations or tax withholdings, among other reasons, we believe it is imperative to act now to set new dilution limits to ensure we can meet our obligations, appropriately incentivise our workforce and attract and retain talent as we continue to strive to deliver long- term shareholder value. In addition, we have not raised dilutive funding in the past five years, which would have increased our overall share capital. This contributes to our need to adjust our approach to dilution at the current time. The Company is proposing to implement a new approach to equity dilution, more in line with its peer U.S. listed companies, which will provide a level of additional flexibility which is considered vital for us to be able to compete for talent in our core markets, while retaining governance protections appropriate for a UK-listed company. The Company is proposing new dilution limits for the issue of new shares under equity plans. Essentially, the current “10% in 10 years” limit will be extinguished as of the 2023 AGM, and a new forward-looking limit of 10% of the issued share capital over the next 5 years will be instituted for all awards from the 2023 AGM. Any forfeitures, cancellations, or withholdings from shares granted under the prior extinguished limit will not be eligible to be re-granted at any time after the 2023 AGM under the new limit. As part of the change, we will also remove the separate “5% in 10 years” dilution limit applicable to awards granted to senior employees such as Executive Directors, to ensure we have full flexibility in operating the plan. The year ahead For 2023, the following key decisions have been made in relation to how the Policy will be implemented: • Base salaries for the Executive Directors will be increased by 8.5 percent, which is slightly below the average increase for the general workforce taking into consideration a number of factors, with a primary consideration being the current inflationary pressures in the United States; • The annual bonus target and maximum will remain at 50 percent and 100 percent of base salary, respectively; and • The grants of PSP awards in 2023 will be at levels of 600 percent of base salary for the Chief Executive Officer and 300 percent of salary for the President, in line with the limits as set out in the Policy. Operation of the Performance  Share Plan In addition to matters relating to Executive Directors’ remuneration, the Committee also considers the use of equity compensation throughout the whole organization. PureTech grants its employees awards of performance shares and restricted shares under the PSP as well as market-value stock options. In line with the rules of the PSP, the number of new shares that can be issued to satisfy equity awards is limited to 10% of the issued share capital over a 10-year period, consistent with UK standard practice and the expectations of UK institutional investors, which limitation was initially put into place when the plan was implemented in 2015 following PureTech’s initial public offering. The Committee considered operational performance, the overall growth of the business during the year, the extent to which the target performance goals had in some cases been exceeded and the individual contributions of the Executive Directors. Following this exercise, the Committee determined that a bonus equal to 90% of target (or 45% of base salary) was to be awarded to the Executive Directors. The Committee is of the view that this is appropriate in recognizing the Executive Directors’ achievements in 2022. See highlights of 2022 on pages 1 to 5. In relation to the PSP, PureTech’s performance over the last three financial years was very strong in terms of achievement of strategic objectives despite such performance not being rewarded with an increase in the Company’s share price. Overall, the share price declined from an average price of 261 pence during the last three months of 2019 to an average price of 253 pence during the last three months of 2022. However, strong strategic performance over the three-year performance period resulted in the vesting of 24.2 percent of the PSP awards granted to the executive management team, including the two Executive Directors, in 2020. For the year ended December 31, 2022, the Committee believes the Remuneration Policy operated as intended and that remuneration outcomes are appropriate, taking into account outcomes throughout the business, company performance and the stakeholder experience. No discretion has been exercised in relation to the annual bonus or PSP vesting outcome. Directors’ Remuneration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92"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89 G o ve rn an ce • We are, however, conscious that as a UK-registered company and one with some significant UK shareholders, we cannot ignore UK rules and standards. We are not therefore proposing an open-ended ability to issue new shares for equity incentive purposes; our suggested 10% in 5 years limit still implies an annual burn rate of 2%, which is well below comparative US practice. • Furthermore, we are retaining the features of our plan which comply with UK best practice, for example, granting performance shares to Executive Directors, which require stretching performance targets to be met, based on measures including TSR. This contrasts with typical practice at our US competitors, where CEOs and other leading executives receive restricted shares and stock options with no performance targets (and sometimes performance shares in addition). Unlike their US counterparts, our Executive Directors are further required to hold any vested awards for an additional two- year period, in line with UK norms, and also meet stretching minimum shareholding requirements. Overall, we believe that our proposed approach represents a suitable balance between UK good practice and the commercial realities of operating in a competitive market for talent in our sector in the U.S. We recently consulted with our major shareholders on the specifics of this proposal and were very grateful to receive indications of support from those who provided feedback. Closing comments The Committee is comfortable that the operation of the Policy for 2022 has demonstrated a robust link between performance and reward. The Committee believes the proposed operation of the Policy for 2023 is appropriate and takes into account the wider stakeholder experience. The Committee looks forward to shareholders’ support at the 2023 Annual General Meeting for (i) the advisory resolution covering this Annual Statement and the Annual Report on Remuneration and (ii) the adoption of a new performance share plan, as explained above. significantly built out its overall team at all levels over the period since listing in 2015. All of this has put additional pressure on the existing dilution limits. • PureTech has not raised capital by issuing new shares since March 2018. This conservative approach to funding has meant that the number of shares outstanding has remained consistent for the past five years. (An equity raise would have the result of increasing the share capital, and thus provide extra headroom in the dilution limits.) Instead, we have raised significant non-dilutive funding (over $680m) through the sale of our equity interests in our Founded Entities to invest in our Wholly Owned Pipeline as well as giving us flexibility to directly return value to shareholders through our stock buyback programme. • Our compensation approach is not unique to PureTech: many U.S. pharma and biotech companies operate in a similar fashion, preferring equity rather than cash compensation. Although PureTech has a UK listing, we are based in Boston, the largest biotechnology cluster in the United States, and our key comparators are US companies with a similar focus. US companies in our sector use equity incentives significantly more than the wider US market, or UK companies of a similar size. The annual median gross burn rate of a Russell 3000 pharma and biotech company with a similar market capitalisation to PureTech is circa 5% of the issued share capital (for employee incentives). ISS’ analysis of US equity plans uses a current annual burn rate benchmark of 5.36% for Russell 3000 pharma and biotech stocks (albeit ISS now takes a slightly different approach to calculating the burn rate). Our current UK-compliant annual burn rate of only 1% is very uncompetitive, and this presents us with a number of serious challenges. • Critically, we are competing for key talent with these U.S. organisations. The ability to offer a compelling package based around a competitive equity element is crucial to attracting and retaining the best people in the business. Constraints on our equity offering can limit the talent pool available and thus our ability to operate to our fullest potential. In order to implement this new approach to dilution, we will be asking shareholders to approve a resolution to adopt a new performance share plan at the AGM. Our more detailed rationale for the changes is as follows: • Equity is a critically important part of our compensation packages. As a company operating in the US biopharma space, we have an in-depth programme to discover, develop and commercialise new medicines through our own pipeline and occasionally invest in other entities with exceptional potential. This includes a number of candidates in our wholly owned pipeline that we are advancing ourselves, which has required us to expand our team with experienced professional leadership at and immediately below the executive level. The development of this wholly owned pipeline is the most critical aspect of our long- term business strategy and has the potential to deliver tremendous value to shareholders. Our business, programs, and approach to new medicines is covered on pages 1 to 14 of this Report. Developing pharmaceutical therapies is expensive and cash-intensive, and our inherent preference in line with our capital allocation strategy is for using cash resources primarily to fund our own R&amp;D and investments and to return capital to shareholders where possible. As a result, and in common with other innovative pharmaceutical and biotechnology companies, there is a greater weight on equity in our compensation programmes than across industry more widely, and this is based on newly issued shares, rather than using cash to purchase shares for employee programmes. • We therefore need to have the appropriate capacity to issue equity to our employees in addition to the cash remuneration we provide. Furthermore, to ensure we can attract and retain talent at all levels of our highly skilled workforce we have a policy of granting equity throughout the whole organisation, both upon hire and on an ongoing basis in line with market trends. PureTech has Directors’ Remuneration Report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93"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90    PureTech Health plc  Annual report and accounts 2022 G o ve rn an ce Directors’ Remuneration Policy This part of the Directors’ Remuneration Report sets out the Remuneration Policy for the Executive Directors and has been prepared in accordance with the provisions of the Companies Act 2006, The Large and Medium Sized Companies and Groups (Accounts and Reports) (Amendment) Regulations 2008 and the subsequent amendments, and the UK Listing Authority Listing Rules. This Directors’ Remuneration Policy was approved by a binding shareholder vote at the Company’s AGM on May 27, 2021. All tables within this Directors’ Remuneration Policy section are audited under the International Standards on Auditing (UK) (“ISAs (UK)”) unless otherwise noted. Decision making process for determination, review and implementation of Directors’ Remuneration Policy The Committee reviews the Policy and its operation to ensure it continues to support and align to the business strategy and appropriately reward the Executive Directors and takes into account relevant market practice, regulation and governance developments, institutional investor views and the views of our shareholders. The Committee also has regard to the remuneration arrangements, policies and practices of the workforce as a whole and takes this into account when reviewing Executive Director pay. The Policy is reviewed annually by the Committee. If changes are required, a new policy (or an amendment to the policy) will be put forward to shareholder vote prior to the normal triennial shareholder vote. The Committee consults with shareholders on remuneration proposals and will consider the feedback in finalizing the Policy. Operation of the Policy is considered annually for the year ahead, including metrics for incentives, weightings and targets. The Committee reviews operation for the prior year and considers whether, in light of the strategy, changes are required for the year ahead or if remuneration remains appropriate for the year ahead. Shareholders’ views may be sought depending on the changes proposed. Policy table Element  How component  supports corporate strategy  Operation  Maximum  Performance targets and  recovery provisions  Base salary To recognize the market value of the employee and the role. Normally reviewed annually. Salaries are benchmarked periodically primarily against biotech, pharmaceutical and specialty finance companies listed in the U.S. and UK. The committee also considers UK-listed general industry companies of similar size to PureTech as a secondary point of reference. There is no prescribed maximum base salary or annual salary increase. The Committee is guided by the general increase for the broader employee population but may decide to award a lower increase for Executive Directors or indeed exceed this to recognize, for example, an increase in the scale, scope or responsibility of the role and/or to take account relevant market movements. Current salary levels are set out in the Annual Report on Remuneration. Not applicable. Pension To provide a market competitive level of contribution to pension. The company operates a 401k Plan for its U.S. Executive Directors. The operation of the Plan is in line with the operation for all other employees. Under the 401k Plan, Company contributions are capped at the lower of 3 percent of base salary or the maximum permitted by the U.S. IRS ($30,000 for 2021). Not applicable. Benefits To provide a market competitive level of benefits. Includes: private medical and dental cover, disability, life insurance. Additional benefits may also be provided in certain circumstances, such as those provided to all employees. Cost paid by the company. Not applicable.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94"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91 G o ve rn an ce Element  How component  supports corporate strategy  Operation  Maximum  Performance targets and  recovery provisions  Annual Bonus Plan (ABP) To drive and reward annual performance of individuals, teams and PureTech. Based on performance during the relevant financial year. Paid in cash. The Committee has discretion to adjust payout levels if it considers the formulaic outcome inappropriate taking into account the underlying financial performance of the Company, share price performance, the investment return to shareholders during the year, and such other factors as it considers appropriate. Up to 100 percent of base salary. Performance period: Normally one year. Payments are normally based on a scorecard of strategic and/or financial measures. Up to 0 percent of salary payable for threshold performance, 50 percent of base salary normally payable for the achievement of ’target’ performance and 100 percent of base salary payable for the achievement of stretch performance. Recovery and withholding provisions are in place. Long-term  incentives To drive and reward our sustained performance and to align the interests with those of shareholders. The Company can make long- term incentive awards with the following features: • performance shares. • vesting is dependent on the satisfaction of performance targets and continued service. • performance and vesting periods are normally three years. Awards granted from 2019 onwards will be subject to a two-year post- vesting holding period during which vested shares cannot be sold other than to settle tax. This post-vesting period continues post-cessation of employment. The Committee also has the discretion to adjust vesting levels of performance- related awards to override formulaic outcomes, taking into account similar factors as apply in relation to annual bonus awards, but by reference to the performance period. 600 percent of salary for the Chief Executive Officer, 300 percent of base salary for the other Executive Directors. Participants may benefit from the value of dividends paid over the vesting period to the extent that awards vest. This benefit is delivered in the form of cash or additional shares at the time that awards vest. Performance period: Normally three years. Up to 25 percent of an award vests at threshold performance (0 percent vests below this), increasing to 100 percent pro- rata for maximum performance. Normally at least half of any award will be measured against TSR targets with the remainder measured against relevant financial or strategic measures. Recovery and withholding provisions are in place. Share ownership/ Holding Period Further aligns executives with investors, while encouraging employee share ownership. The Committee requires that Executive Directors who participate in a long- term incentive plan operated by the Company retain half of the net shares vesting under any long-term incentive plan until a shareholding requirement is met. Minimum of 400 percent of base salary for the Chief Executive Officer and a minimum of 200 percent of base salary for the other Executive Directors. None. Post-cessation  holding period Aligns executives with investors and promotes long-term decision making Executive Directors must hold shares for two years after the date of termination of their employment. Lower of (i) 400 percent of base salary for the Chief Executive Officer and 200 percent of base salary for the other Executive Directors and (ii) the Executive Director’s shareholding at the date that notice is served. None. Directors’ Remuneration Policy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95"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92 PureTech Health plc Annual report and accounts 2022 G o ve rn an ce Element  How component  supports corporate strategy  Operation  Maximum  Performance targets and  recovery provisions  Non-Executive  Directors To provide fee levels and structure reflecting time commitments and responsibilities of each role, in line with those provided by similarly-sized companies and companies operating in our sector. Remuneration provided to Non- Executive Directors is operated in line with the terms set out in the Articles of Association. Cash fees, normally paid on a quarterly basis, are comprised of the following elements: • Base fee. • Additional fees. Beginning in 2021, a portion of the compensation to our Non-Executive Directors was in the form of our ordinary shares. Additional remuneration is payable for additional services to PureTech such as the Chairship of a Committee or membership on a Committee. Additional remuneration is also payable for services provided beyond those services traditionally provided as a director, and can be provided for a material increase in time commitment. Fees are reviewed annually and take into account: • the median level of fees for similar positions in the market; and • the time commitment each Non- Executive Director makes to us. Taxable benefits may be provided and may be grossed up where appropriate. Any remuneration provided to a Non-Executive Director will be in line with the limits set out in the Articles of Association. None. Notes: 1 In the event that the Company elects any non-U.S. Executive Directors, the 401k Plan may not be an appropriate pension arrangement. In such cases an alternative pension arrangement may be offered. Any such arrangement would not be higher than the pension rate operated for the majority of employees in that jurisdiction. 2 For those below Board level, a lower annual bonus opportunity and PSP award size may apply. In general, these differences arise from the development of remuneration arrangements that are market competitive for the various categories of individuals, together with the fact that remuneration of the Executive Directors and senior executives typically has a greater emphasis on performance-related pay. 3 The choice of the performance metrics for the annual bonus scheme reflects the Committee’s belief that incentive compensation should be appropriately challenging and linked to the delivery of the Company’s strategy. Further information on the choice of performance measures and targets is set out in the Annual Report on Remuneration. 4 The performance conditions applicable to the PSP (see Annual Report on Remuneration) are selected by the Remuneration Committee on the basis that they reward the delivery of long-term returns to shareholders and are consistent with the Company’s objective of delivering superior levels of long-term value to shareholders while providing the Company with tools to successfully recruit and retain employees in the U.S. 5 For the avoidance of doubt, the Company reserves the right to honour any commitments entered into in the past with current or former Directors (such as the vesting/ exercise of share awards) notwithstanding that these may not be in line with this Remuneration Policy. Details of any payments to former Directors will be set out in the Annual Report on Remuneration as they arise. Recovery and withholding provisions Recovery and withholding provisions (’’clawback and malus’’) may be operated at the discretion of the Remuneration Committee in respect of awards granted under the Performance Share Plan and in certain circumstances under the Annual Bonus Plan (including where there has been a material misstatement of accounts, or in the event of fraud, gross misconduct or conduct having a materially detrimental effect on the Company’s reputation). The issue giving rise to the recovery and withholding must be discovered within three years of vesting or payment and there is flexibility to recover overpayments by withholding future incentive payments and recovering the amount directly from the employee. Discretions in the policy To ensure the efficient administration of the variable incentive plans outlined above, the Committee will apply certain operational discretions. These include the following: • selecting the participants in the plans on an annual basis; • determining the timing of grants of awards and/or payments; • determining the quantum of awards and/or payments (within the limits set out in the Policy table above); • reviewing performance against LTI performance metrics; • determining the extent of vesting based on the assessment of performance; • making the appropriate adjustments required in certain circumstances, for instance for changes in capital structure; • deciding how to settle awards made under the plans, e.g. in cash, shares, nil-cost options or as otherwise permitted under the plan rules; Directors’ Remuneration Policy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96"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93 G o ve rn an ce If an event occurs which results in the annual bonus plan or PSP performance conditions and/or targets being deemed no longer appropriate (e.g. material acquisition or divestment), the Committee will have the ability to adjust appropriately the measures and/or targets and alter weightings, provided that the revised conditions are not materially less challenging than the original conditions. • undertaking the annual review of weighting of performance measures and setting targets for the annual bonus plan and other incentive schemes, where applicable, from year to year; and • discretion, in the event of a change in control of the Company, to determine that time pro-rating shall not apply to outstanding awards. • overriding formulaic outcomes of incentive plans if determined by the Committee not to be reflective of company performance; • determining “good leaver” status for incentive plan purposes and applying the appropriate treatment; further details on the discretion applicable in relation to leavers are set out on page 94; Directors’ Remuneration Policy — continued Reward scenarios The charts below show how the composition of 2023 remuneration for the Chief Executive Officer and the President varies at different levels of performance under the Policy set out above, as a percentage of total remuneration opportunity and as a total value. Executive Director compensation (unaudited) Notes:  1 The minimum performance scenario comprises the fixed elements of remuneration only, including: – Salary for FY2023 as set out in the Annual Report on Remuneration. – Pension in line with policy and benefits as disclosed for FY2022 in the Annual Report on Remuneration. 2 The On-Target level of bonus is taken to be 50 percent of the maximum bonus opportunity (50 percent of salary). The On-Target level of PSP vesting is assumed to be 50 percent of the face value of the PSP award (i.e. 300 percent of base salary for the CEO and 150 percent of base salary for the President). These values are included in addition to the components/values of Minimum remuneration. 3 Maximum assumes full bonus pay-out (100 percent of base salary) and the full face value of the proposed PSP awards (i.e. 600 percent of base salary for the CEO and 300 percent of base salary for the President), in addition to fixed components/values of Minimum remuneration. 4 No share price growth has been factored into the calculations of minimum, target and maximum compensation. An additional maximum scenario has been shown which assumes 50% share price appreciation for the PSP during the performance period. Approach to recruitment and promotions In addition, the Committee may offer additional cash and/or share-based elements to replace deferred or incentive pay forfeited by an executive leaving a previous employer if required in order to facilitate, in exceptional circumstances, the recruitment of the relevant individual. It would seek to ensure, where possible, that these awards would be consistent with awards forfeited in terms of vesting periods, expected value, performance conditions and delivery mechanism. Additionally, salary may be provided at a below mid-market level on the basis that it may progress towards the mid-market level once expertise and performance has been proven and sustained. The annual bonus and long- term incentive awards would be limited in line with the policy. Depending on the timing of the appointment, the Committee may deem it appropriate to set annual bonus performance conditions for such appointee that are different than those applicable to the incumbent Executive Directors. A PSP award can be made shortly following an appointment. The remuneration package for a new Executive Director would be set in accordance with the terms of the Company’s prevailing approved Remuneration Policy at the time of appointment and take into account the skills and experience of the individual, the market rate for a candidate of that experience and the importance of securing the relevant individual. Salary would be provided at such a level as required to attract the most appropriate candidate and may be set initially at or above mid-market level. 23% 100% 100% 11% 66% 35% 49%16% 13% 12% 21% 59%20%74% Minimum Chief Executive Officer $763,879 Target $3,283,470 Maximum $5,803,060 Minimum President $607,101 Target $1,757,201 Maximum $2,907,301 Fixed pay Annual bonus PSP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97"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94 PureTech Health plc Annual report and accounts 2022 G o ve rn an ce Consideration of shareholder views The Committee will carefully consider shareholder feedback received in relation to the AGM each year. This feedback, plus any additional feedback received during any meetings from time to time, is then considered as part of the annual review of the Remuneration Policy. The Company will seek to engage directly with major shareholders and their representative bodies should any material changes be proposed to the Remuneration Policy or its implementation. Details of votes cast for and against the resolution to approve the prior year’s remuneration report and any matters discussed with shareholders during the year will be set out in the Annual Report on Remuneration. The Company consulted with shareholders in early 2023, in relation to the proposed new performance share plan, and we are pleased to receive support from those consulted. Consideration of our employment  conditions generally To ensure a coherent cascade of the Remuneration Policy throughout the organization, no element of remuneration is operated solely for Executive Directors and all elements of remuneration provided to the Executive Directors are generally operated for other employees, including participation in stock- based incentive plans. In addition, the Committee considers the general base salary increase for the broader employee population when determining the annual salary increases for the Executive Directors. The Remuneration Committee has general responsibility for determining pay for senior management as well as Executive Directors. Employees (other than senior executives) have not been consulted in respect of the design of our Remuneration Policy, although the Committee will keep this under review. the Company. In addition, Executive Directors will be expected to mitigate their loss. The Committee ensures that there have been no unjustified payments for failure. An Executive Director may be eligible for an annual bonus payment for the final year in which that Director served as an employee, provided that they are deemed to be a ’good leaver’. If so, any such annual bonus payment will be subject to performance testing and a pro-rata reduction will normally be applied based on the time served during the relevant financial year. The default treatment for any share- based entitlements under the PSP is that any unvested outstanding awards lapse on cessation of employment. However, in certain prescribed circumstances, or at the discretion of the Remuneration Committee, ’good leaver’ status can be applied. In these circumstances, a participant’s awards will vest subject to the satisfaction of the relevant performance criteria and, ordinarily, on a time pro-rated basis, with the balance of the awards lapsing. The two-year post vest holding period will usually continue to apply. The Committee has discretion to permit the early vesting at the date of cessation of employment, again based on performance and ordinarily on a time pro-rated basis. In addition, the Company can pay for any administrative expenses, legal expenses or outplacement services arising from the termination where considered appropriate. External appointments The Board can allow Executive Directors to accept appropriate outside commercial Non-Executive Director appointments provided that the duties and time commitment required are compatible with their duties and time commitment as Executive Directors. Non-Executive Directors Non-Executive Directors are appointed as a Non-Executive Director of the Company by a letter of appointment. These letters usually provide for a notice period of one month from the Company and the Non-Executive Director prior to termination. For appointment of an Executive Director who was employed by the Company prior to the appointment, any variable pay element awarded in respect of the prior role may be allowed to pay out according to its terms. In addition, any other ongoing remuneration obligations existing prior to appointment may continue. For any Executive Director appointment, the Committee may agree that the Company will meet certain relocation and/or incidental expenses as appropriate. Service contracts Executive Directors’ service contracts do not provide for liquidated damages, longer periods of notice on a change of control of the Company or additional compensation on an Executive Director’s cessation of employment with us, except as discussed below. The Committee’s Policy is to offer service contracts for Executive Directors with notice periods of no more than 12 months, and typically between 60 to 180 days. Service contracts provide for severance pay following termination in the case that employment is terminated by the Company without ’cause’, or by the employee for ’good reason’. In this case severance pay as set out in the contract is no greater than 12-months’ base salary and is aligned to the duration of any restrictive covenants placed on the employee. Service contracts may also provide for the continuation of benefits but for no longer than a 12-month period post termination. Service contracts also provide for the payment of international tax in non-U.S. jurisdictions if applicable to the Executive Director. They also can provide for garden leave and, if required by applicable law, the recovery and withholding of incentive payments. Service contracts are available for inspection at the company’s registered office. Policy on termination of employment The Policy on termination is that the Company does not make payments beyond its contractual obligations and the commitments entered into as part of any incentive plan operated by Directors’ Remuneration Policy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98"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95 G o ve rn an ce Annual Report on Remuneration Implementation of the Remuneration Policy for the year ending December 31, 2023 All tables within the Annual Report on Remuneration are audited under the International Standards on Auditing (UK) (“ISAs (UK)”) unless otherwise noted. Base salary The Committee reviewed the base salary levels for the Executive Directors in early 2023 and an increase of 8.5 percent was awarded. This increase was slightly below the average increase for the general workforce, which was largely driven by cost of living considerations in the US. 2022 Base salary 2023 Base salary Daphne Zohar Chief Executive Officer $663,487 $719,883 Bharatt Chowrira President, Chief Business, Financial and Operating Officer, Corporate Secretary (“President”) $530,000 $575,050 Pension We will continue to contribute under the 401k Plan subject to the maximum set out in the Policy table. Benefits Benefits provided will continue to include private medical, disability and dental cover. Annual bonus For 2023, the operation of the annual bonus plan will be similar to that operated in 2022. The maximum annual bonus will continue to be 100 percent of base salary for all Executive Directors. The 2023 annual bonus will be based on internal program development goals and strategic development, financial and capital markets based goals. The performance metrics and targets will be disclosed in the FY2023 Annual Report and Accounts. Long-term incentives Awards under the PSP will be made to the Executive Directors in 2023. The Chief Executive Officer will receive a PSP award with a face value of 600 percent of base salary, and the President will receive an award with a face value of 300 percent of base salary. The PSP awards will be subject to the performance conditions described below. As a clinical-stage therapeutics company, the Company believes that TSR is an appropriate and objective measure of the Company’s performance. In addition, measuring TSR on both an absolute and relative basis rewards our management team for absolute value creation for our shareholders whilst also incentivizing outperformance of the market. To provide a balance to the TSR performance conditions that is more directly based on Management’s long term strategic performance, TSR is complemented by measures linked to strategic delivery. There will be a robust assessment of the achievement of the strategic targets over the three year period with full disclosure in the Directors’ Remuneration Report following the end of the performance period. Further detail of the performance conditions is set out below: • 40 percent of the shares under award will vest based on the achievement of absolute TSR targets. • 20 percent of the shares under award will vest based on the achievement of a relative TSR performance condition, 10 percent each against two benchmarks (explained below). • 40 percent of the shares under award will vest based on the achievement of strategic targets. The minimum performance target for the absolute TSR portion of the award will be TSR equal to 7 percent per annum, whilst the maximum target will be TSR equal to 15 percent per annum. Relative TSR will be measured against the constituent companies in the FTSE 250 Index (excluding Investment Trusts) and the MSCI Europe Health Care Index (for 10 percent of the award, respectively). The minimum performance target will be achievement of TSR equal to the median company in the Index and the maximum performance target will be achievement of upper quartile TSR performance. 25 percent of each element of the TSR targets will vest for threshold performance. Strategic measures will be based on the achievement of milestones and other qualitative measures of performance over the performance period. Strategic targets will be set at the outset based on internal program development, financial achievements, including monetization of Founded Entities, product pipeline growth, operational excellence, strategic development or transaction related goals and other shareholder value enhancing metrics in line with our strategic plan. Full disclosure of the measures, weightings and strategic targets will be made retrospectively. The Committee believes that this combination of measures is appropriate. TSR measures the success of our management team in identifying and developing new therapeutics whilst strategic targets help incentivize our management team through the stages which ultimately result in successful therapeutics.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99"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 PureTech Health plc Annual report and accounts 2022 G o ve rn an ce Non-Executive Directors Fees for our Board of Directors were reviewed for 2023 and remain unchanged from 2022. FY2022 and FY2023 Chair fee $125,000 Basic fee $75,000 Equity-based Component $50,000 Additional fees: Chair of a committee $10,000 Membership of a committee $5,000 Membership of a subsidiary board $0 to $10,000 As our Board of Directors consists of leading experts with the experience of successfully developing technologies and bringing them to market, this gives rise to the possibility that the intellectual property we seek to acquire has been developed by one of our Non-Executive Directors and/or that our Non-Executive Directors provide technical or otherwise specialized advisory services to the Company above and beyond the services typically provided by a Non-Executive Director. In such exceptional circumstances, our Remuneration Policy provides us with the flexibility to remunerate them with equity in the relevant subsidiary company as we would any other inventor of the intellectual property or provider of technical advisory services. This practice is in line with other companies in the life sciences sector. If the Company is unable to offer market- competitive remuneration in these circumstances, it risks forfeiting opportunities to obtain intellectual property developed by our Non-Executive Directors and/or foregoing valuable advisory services. The Company believes foregoing such intellectual property and/or advisory services would not be in the long-term interest of our shareholders. Accordingly, subsidiary equity grants may be made to Non-Executive Directors upon the occurrence of the exceptional circumstances set out above. Remuneration for the year ended December 31, 2022 Single total figure of remuneration for each Director (audited) The table below sets out remuneration paid in relation to the 2022 financial year with a comparative figure for the 2021 financial year. There were no exercises of share options by Executive Directors or Non-Executive Directors in either of the 2022 or 2021 financial years. 2021 and 2020 Remuneration Year Basic Salary/ Fees Benefits1 Annual Bonus Plan Performance  Share Plan (Vested)2 Pension Total Remuneration Total Variable Total Fixed Executive Directors Daphne Zohar 2022 $663,487 $34,846 $298,569 $491,377 $9,150 $1,497,429 $789,946 $707,483 2021 $625,931 $33,465 $469,448 $1,335,2566 $8,700 $2,472,800 $1,804,704 $668,096 Bharatt Chowrira3 2022 $530,000 $22,901 $238,500 $187,390 $9,150 $987,941 $425,890 $562,051 2021 $500,000 $25,452 $375,000 $253,3066 $8,700 $1,162,458 $628,306 $534,152 Non-Executive Directors Sharon Barber-Lui4 2022 $115,1237 — — — — $115,123 — $115,123 Raju Kucherlapati 2022 $135,0007 — — — — $135,000  — $135,000  2021 $145,0007 — — — — $145,000 — $145,000 John LaMattina 2022 $145,0007 — — — — $145,000  — $145,000  2021 $145,0007 — — — — $145,000 — $145,000 Robert Langer 2022 $145,0007 — — — — $145,000  — $145,000  2021 $145,0007 — — — — $145,000 — $145,000 Kiran Mazumdar-Shaw 2022 $135,0007 — — — — $135,000 — $135,000 2021 $135,0007 — — — — $135,000 — $135,000 Dame Marjorie Scardino5 2022 $140,0007 — — — — $140,000 — $140,000 2021 $140,0007 — — — — $140,000 — $140,000 Christopher Viehbacher 2022 $189,5367 — — — — $189,536 — $189,536 2021 $195,0007 — — — — $195,000 — $195,000 TOTAL 2022 $2,398,146  $57,747  $537,069 $678,768 $18,300  $3,490,030 $1,215,837 $2,274,193 TOTAL 2021 $2,030,931 $58,917 $844,448 $1,588,562 $17,400 $4,540,529 $2,433,010 $2,107,248 Notes: 1 Benefits comprise the following elements: private medical, disability and dental cover and parking. 2 The shares underlying the vested 2020 Performance Share Plan awards will be issued after the finalisation of this report. As a result, the share price on the date of issuance is not known at the date of this report and the figures shown above for the PSP awards have been valued using a share price of £2.530873, which was the average share price during the last three months of 2022, and an exchange rate of GBP 1 : USD 1.175155385, which was the average exchange rate over the last three months of 2022. 3 Dr. Chowrira joined the Board in February 2021. 4 Ms. Barber-Lui joined the Board in March 2022. 5 Dame Marjorie retired from the Board at the conclusion of December 2022. 6 These amounts have been updated from those listed in the 2021 Annual Report and Accounts to reflect the actual values paid, which was not known at the date of publication of the 2021 Annual Report and Accounts. 7 These amounts include grants of share based remuneration in July 2021 and 2022 in the form of time-vesting restricted stock units with a face value of $50,000. Annual Report on Remuneration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100"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97 G o ve rn an ce Annual Report on Remuneration — continued Annual bonus outcome for 2022 For the 2022 annual bonus, targets were set for a balanced scorecard at the beginning of the year. The 2022 targets were focused on (i) internal program development goals designed to incentivize the team to continue development of the Company’s Wholly Owned Pipeline, generate valuable clinical data in support of the Company’s programs, create innovative programs, publish key results and achieve patent protection for the Company’s programs; and (ii) strategic goals designed to incentivize the team to complete important deals, execute strategic partnerships, monetize Founded Entity holdings or otherwise strengthen the Company’s balance sheet, strengthen the Company’s investor base and provide support for Founded Entity transactions and financings. In addition, the Remuneration Committee took into account other goals and other achievements by the management team in setting final achievement attainment and fixing bonus payouts. The table below sets out the performance assessment and associated bonus outcomes: Target Goals – Maximum 100 percent Achievement Performance  Measures Category Achievement Percentage of Target  Attained Internal Program Development The Internal Program Development Goals were 100 percent achieved in 2022. The management team’s performance resulted in an achievement outcome of 50 percent which was equal to the pre-specified cap of 50 percent for this category of the goals. A description of performance in 2022 is set out below: The Company completed multiple ascending dose studies for LYT-100 in healthy older adults to support proceeding in IPF and initiated a Phase 2 study in IPF, completed studies of LYT-100 in Long COVID and Lymphedema, achieved Phase 1b study results with LYT-200 and generated data to support the initiation of Phase 2 studies of LYT-200 in leukemia and solid tumors, completed a Phase 1 study of LYT-300 to select doses for a Phase 2 study, nominated LYT-310 as an additional therapeutic candidate, generated a key publication in conjunction with a key collaborator and generated several patent allowances and issuances in the U.S. 50% Strategic Goals The Strategic Goals were 65 percent achieved in 2022. The management team’s performance resulted in an achievement outcome of 32.5 percent out of a pre-specified cap of 50 percent for this category of the goals. A description of performance in 2022 is set out below: The Company extensively evaluated certain strategic transactions and options to enhance shareholder value, monetized approximately $115 million of its Founded Entity equity holdings, and supported its Founded Entities to achieve certain strategic transactions, financings and grant funding. 32.5% Other Achievements The management team evidenced further exceptional performance as described below: The Company completed various strategic sourcing initiatives for new programs and strategic transactions, conducted extensive outreach to raise the corporate profile and cultivate new investors and analysts, conducted significant and robust activities to strengthen the Company’s intellectual property portfolio and generated value accretion through the successful activities of certain Founded Entities, especially Karuna. 7.5% Pre-Specified  Maximum Total 90% Accordingly, the Committee determined that the Company had achieved 90 percent of its target goals for 2022. Each of the above target categories are subject to maximum percentage achievement limits capped at 100 percent of the target bonus (i.e. 50 percent of salary). In this case, the Committee determined that payouts at 90 percent of target (i.e. 45 percent of salary) are appropriate taking into account the overall performance of the Executive Directors and the achievements set forth above. The Committee believes that such a bonus award is appropriate to reward and retain top management. Long-term incentive awards vesting in respect of the year (audited) The 2020 PSP awards to Executive Directors granted on July 20, 2020 were subject to three-year performance conditions covering the period from January 1, 2020 to December 31, 2022. Following an assessment of the performance conditions, the Remuneration Committee determined that the awards will vest at 24.2 percent of the maximum. The 2021 awards of RSUs to Non-executive directors granted on July 21, 2021 vested immediately prior to the 2022 AGM and were issued on August 12,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01"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98 PureTech Health plc Annual report and accounts 2022 G o ve rn an ce Annual Report on Remuneration — continued Scheme Basis of award granted Shares awarded Shares vested Shares lapsed Value of vested awards1 Daphne Zohar PSP 2020 400% of salary 683,652 165,215 518,437 $491,3772 Bharatt Chowrira PSP 2020 200% of salary 260,715 63,006 197,2097 $187,3902 Raju Kucherlapati PSP 2021 $50,000 11,190 11,190 – $31,9203 John LaMattina PSP 2021 $50,000 11,190 11,190 – $31,9203 Robert Langer PSP 2021 $50,000 11,190 11,190 – $31,9203 Kiran Mazumdar-Shaw PSP 2021 $50,000 11,190 11,190 – $31,9203 Dame Marjorie Scardino PSP 2021 $50,000 11,190 11,190 – $31,9203 Christopher Viehbacher PSP 2021 $50,000 11,190 11,190 – $31,9203 1 The value of the awards attributable to share price appreciation is nil for all Executive Directors and Non-Executive Directors. 2 Share awards have been valued using a share price of £2.530873, which was the average share price during the last three months of 2022, and an exchange rate of GBP 1 : USD 1.175155385, which was the average exchange rate over the last three months of 2022. 3 Represents the value of the 11,190 shares on August 12, 2022, the date of issuance to each Non-executive Director. The outcome of the performance condition relating to the performance based awards granted to the Executive Directors is set out below (audited): Measure and weighting Threshold Maximum Achievement Vesting (% of each element) Absolute TSR (50%) 7% p.a. 15% p.a. (1%) p.a. 0% Total return against FTSE Small Cap Index (12.5%) At or above median Upper quartile 43rd percentile 0% Total return against MSCI Euro Healthcare Index (12.5%) At or above median Upper quartile 20th percentile 0% Strategic measures (25%) See description below 24.2% The strategic measures over the three-year period were focused on (i) financial goals (55 percent), (ii) clinical development goals (40 percent), and (iii) operational excellence (5 percent). The financial achievements resulting in satisfaction of 52 percent of the vesting of the strategic measures included, among other things, obtaining over $680 million for PureTech by monetizing certain Founded Entity equity, the closing of initial public offerings of two Founded Entities and two SPAC transactions for Founded Entities, the execution of several partnership agreements which brought in non-dilutive funding and the completion of certain investor-related activities, including generation of new analyst coverage for the Company. The clinical development achievements resulting in satisfaction of 40 percent of the vesting of the strategic measures included, among other things, the successful initiation, enrollment and completion of several Phase 1 and Phase 2 clinical studies for LYT-100 and the initiation of the LYT-100 IPF phase 2 study, the advancement of other programs within our Wholly Owned Pipeline, the advancement of certain programs at the Company’s Founded Entities, including receipt of U.S. marketing clearances for two programs. The operational excellence achievements resulting in satisfaction of 5 percent of the vesting of the strategic measures include the operation of the Company’s programs within projected timelines and budgets, successfully managing operations through the COVID-19 pandemic, building out a world-class development organization, the in-licensing and creation of new programs, the issuance of certain intellectual property, the advancement of certain pre-clinical programs and the publication of validating data in top tier peer-reviewed academic journals. Long-term incentive awards granted during the year (unaudited) The following long-term Incentive awards were granted to Executive Directors during 2022: Scheme Basis of award granted Shares awarded (as conditional award of shares) Share price at date of grant1 Face value of award % of face value vesting at threshold performance Vesting determined by performance over Daphne Zohar PSP 2022 500% of salary 1,532,051 175.20 pence $3,317,434 25% Three financial years to December 31, 2024 Bharatt Chowrira PSP 2022 250% of salary 611,909 175.20 pence $1,325,000 25% 1 The share price at the date of grant is based on the 3-day average closing price immediately prior to the grant of the award. The PSP awards granted in 2022 are subject to (i) achievement of absolute TSR targets (40 percent of the awards), (ii) achievement of TSR targets as compared to TSR performance of the constituent companies in the FTSE 250 Index (excluding Investment Trusts) and the MSCI Europe Health Care Index (20 percent of the awards, 10 percent against each benchmark) and (iii) achievement of targets based on strategic measures (40 percent of the awards), measured over the three year period to December 31, 2024. The minimum performance target for the absolute TSR portion of the award is TSR equal to 7 percent per annum, whilst the maximum target is TSR equal to 15 percent per annum. The minimum performance target for the relative TSR portion of the award is TSR equal to the median of the index, whilst the maximum target will be TSR equal to the upper quartile of the index. Strategic measures are based on the achievement of project milestones and other qualitative measures of performance. Strategic targets have been set based on financial achievements, including monetization of Founded Entities, clinical development progress, product pipeline growth, operational excellence and other shareholder value enhancing metrics in line with our strategic plan. The Committee believes that this combination of measures and the equal weighting on TSR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102"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99 G o ve rn an ce and strategic objectives is appropriate. TSR measures the success of our management team in identifying and developing new therapeutics whilst strategic targets help incentivize our management team through the stages which ultimately result in successful therapeutics. Full disclosure of the strategic targets will be made retrospectively. In addition, each Non-Executive Director was granted share based remuneration on July 21, 2022 in the form of 21,507 time- vesting restricted stock units. The equity awards granted to our Non-Executive Directors vest in their entirety immediately prior to Company’s 2023 AGM, provided that the Non-Executive Directors continue their service through such date. This share based element is part of the annual fee for Non-Executive Directors and is not subject to performance (unaudited). Non-Executive Directors Shares awarded Face value of award Vesting date Sharon Barber-Lui 21,507 $50,000 June 13, 2023 Raju Kucherlapati 21,507 $50,000 June 13, 2023 John LaMattina 21,507 $50,000 June 13, 2023 Robert Langer 21,507 $50,000 June 13, 2023 Kiran Mazumdar-Shaw 21,507 $50,000 June 13, 2023 Dame Marjorie Scardino1 21,507 $50,000 June 13, 2023 Christopher Viehbacher 21,507 $50,000 June 13, 2023 1 The RSUs awarded to Dame Marjorie were forfeited upon her retirement at the conclusion of December 2022. Payments for Loss of Office (unaudited) There were no payments for Loss of Office during 2022. Payments to past Directors (unaudited) No payments to past Directors were made during 2022. Directors’ shareholdings (audited) Executive Directors are required to maintain share ownership equal to a minimum of 400 percent of base salary for the Chief Executive Officer and a minimum of 200 percent of base salary for the other Executive Directors. The Chief Executive Officer and President both satisfy this requirement, and neither has disposed of any company shares since the Company’s IPO. Post- employment shareholding requirements will apply. The table below sets out current Directors’ shareholdings which are beneficially owned or subject to a performance condition and interests of connected persons. Director Director Shareholdings Total Share Awards not subject  to Service Conditions Share awards subject  to performance conditions Total Dec 31, 2022 Dec 31, 2021 Dec 31, 2022 Dec 31, 2021 Dec 31, 2022 Dec 31, 2021 Daphne Zohar1 12,564,1892 12,197,307 2,372,5193 1,524,120 14,936,708 13,721,427 Bharatt Chowrira 2,490,7896 2,213,689 1,322,5967 1,158,902 3,813,385 3,372,591 Sharon Barber-Lui8 — — 21,5079 — 21,507 — Raju Kucherlapati 2,471,021 2,459,831 21,5079 11,190 2,492,528 2,471,021 John LaMattina10 1,443,623 1,492,463 21,5079 11,190 1,465,130 1,503,653 Robert Langer11 2,955,324 2,944,134 21,5079 11,190 2,976,831 2,955,324 Kiran Mazumdar-Shaw 11,190 — 21,5079 11,190 32,697 11,190 Dame Marjorie Scardino 809,90012 798,710 21,50713 11,190 831,40713 809,900 Chris Viehbacher 1,056,83614 1,045,646 21,5079 11,190 1,078,343 1,056,836 1 A portion of Ms. Zohar’s shareholding in the Company is indirect. As of December 31, 2020, an aggregate of 8,464,189 ordinary shares and 410,000 ADSs are held by (i) the Zohar Family Trust I, a U.S.-established trust of which Ms. Zohar is a beneficiary and trustee, (ii) the Zohar Family Trust II, a U.S.-established trust of which Ms Zohar is a beneficiary (in the event of her spouse’s death) and trustee, (iii) Zohar LLC, a U.S.-established limited liability company, and (iv) directly by Ms. Zohar. Ms. Zohar owns or has a beneficial interest in 100 percent of the share capital of Zohar LLC. 2 Includes 410,000 ADSs, which are convertible into 4,100,000 ordinary shares. Does not include 165,215 shares which are issuable pursuant to the PSP award granted to Ms. Zohar covering the financial years 2020, 2021 and 2022 which have vested but not yet been issued. 3 Includes the following PSP awards, which are subject to performance conditions: 840,468 (2021) and 1,532,051 (2022). Does not include 165,215 shares which are issuable pursuant to the PSP award granted to Ms. Zohar covering the financial years 2020, 2021 and 2022 which have vested but not yet been issued. 6 Includes 915,789 shares of stock owned by Dr. Chowrira and 1,575,000 vested stock options, none of which have been exercised. Does not include 63,006 shares which are issuable pursuant to the PSP award granted to Dr. Chowrira covering the financial years 2020, 2021 and 2022 which have vested but not yet been issued. 7 Includes the following PSP awards, which are subject to performance conditions: 335, 687 (2021) and 611,909 (2022), as well as 375,000 unvested stock options. Does not include 63,006 shares which are issuable pursuant to the PSP award granted to Dr. Chowrira covering the financial years 2020, 2021 and 2022 which have vested but not yet been issued. 8 Ms. Barber-Lui joined the Board in March 2022. 9 Denotes RSUs, which are subject to continued employment, that were granted in July 2022 and vest immediately prior to the 2023 Annual General Meeting. 10 A portion of Dr. LaMattina’s shareholding in the Company is indirect. As of December 31, 2022, an aggregate of 1,443,623 ordinary shares are held by (i) John L LaMattina Revocable Trust, (ii) John L LaMattina 2020-2 GRAT, and (iii) LaMattina Charitable Trust. 11 A portion of Dr. Langer’s shareholding in the Company is indirect. As of December 31, 2022, an aggregate of 2,955,324 ordinary shares are held by (i) Langer Family 2020 Trust and (ii) directly by Dr. Langer. 12 Includes 100 ADSs, which are convertible into 1,000 ordinary shares. 13 Includes 21,507 RSUs which were forfeited by Dame Marjorie upon her retirement from the Board at the close of business on December 31, 2022. 14 Includes 2,000 ADSs, which are convertible into 20,000 ordinary shares. Annual Report on Remuneration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03"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100    PureTech Health plc  Annual report and accounts 2022 G o ve rn an ce Directors’ service contracts (unaudited) Detail of the service contracts of current Directors is set out below: Executive Directors Notice period Contract date Maximum potential termination payment Potential payment on change of control/liquidation Daphne Zohar 180 days June 18, 2015 12 months’ salary Nil Bharatt Chowrira 60 days March 1, 2017 12 months’ salary Nil Contracts for the above Executive Directors will continue until terminated by notice either by the Company or the Executive Director. Dame Marjorie Scardino informed the Company of her intention to retire on August 24, 2022, which retirement became effective as of the close of business on December 31, 2022. Mr. Viehbacher Informed the Company on December 21, 2022 that he would not stand for re-election at the Company’s 2023 AGM. Non-Executive Directors Notice period Contract date Contract expiration date Sharon Barber-Lui 30 days March 24, 2022 March 24, 2025 Raju Kucherlapati 30 days June 5, 2021 June 5, 2024 John LaMattina 30 days June 5, 2021 June 5, 2024 Robert Langer 30 days June 5, 2021 June 5, 2024 Kiran Mazumdar-Shaw 30 days September 28, 2020 September 28, 2023 Marjorie Scardino 30 days June 5, 2021 n/a Christopher Viehbacher 30 days June 5, 2021 n/a The Company and the Non-Executive Directors listed above, other than Dame Marjorie and Mr. Viehbacher, intend to enter into new contracts prior to their expiration. TSR performance graph (unaudited) The graph shows the Company’s performance, measured by total shareholder return (TSR), compared with the Nasdaq Biotechnology Index and S&amp;P600 Biotechnology Index since the Company’s IPO. The Committee considers these to be relevant indices for TSR comparison as they are broad-based measures of the performance of the biotechnology industry. Total shareholder return (unaudited) Source: Datastream (Thomson Reuters) Annual Report on Remuneration — continued This graph shows the value, by December 31, 2022, of £100 invested in PureTech on the date of Admission (June 24, 2015), compared with the value of £100 invested in the Nasdaq Biotechnology and S&amp;P600 Biotechnology indices on the same date. The other points plotted are the values at intervening financial year-ends.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104"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101 G o ve rn an ce Chief Executive Officer’s Remuneration History (unaudited) Year Incumbent Role Single figure of total remuneration Annual bonus pay-out against maximum PSP Vesting against maximum opportunity 2015 Daphne Zohar Chief Executive Officer $955,599 100% n/a 2016 Daphne Zohar Chief Executive Officer $747,634 38.75% n/a 2017 Daphne Zohar Chief Executive Officer $821,898 50% n/a 2018 Daphne Zohar Chief Executive Officer $2,139,870 65% 50% 2019 Daphne Zohar Chief Executive Officer $5,783,682 100% 100% 2020 Daphne Zohar Chief Executive Officer $7,194,841 100% 100% 2021 Daphne Zohar Chief Executive Officer $2,472,800 75% 95.8% 2022 Daphne Zohar Chief Executive Officer $1,497,429 45% 24.2% Percentage change in remuneration of Directors and employees (unaudited) The table below shows the change in the Directors’ remuneration compared to the change in remuneration of all of our full- time employees who were employed throughout the same periods: 2021 to 2022 2020 to 2021 2019 to 2020 Base salary1 Benefits Annual bonus Base salary Benefits Annual bonus Base Salary Benefits Annual Bonus Daphne Zohar (CEO) 6% 4% (36%) 3% 6% (23%) 3% 0% 3% Bharatt Chowrira (President)2 6% (10%) (36%) N/A N/A N/A N/A N/A N/A Sharon Barber-Lui3 N/A N/A N/A N/A N/A N/A N/A N/A N/A Raju Kucherlapati (7%) N/A N/A 38.1% N/A N/A 11% N/A N/A John LaMattina 0% N/A N/A 16% N/A N/A 19% N/A N/A Robert Langer 0% N/A N/A 16% N/A N/A 13% N/A N/A Kiran Mazumdar-Shaw 0% N/A N/A 635% N/A N/A N/A N/A N/A Marjorie Scardino 0% N/A N/A 55% N/A N/A 0% N/A N/A Christopher Viehbacher (3%) N/A N/A 26% N/A N/A 45% N/A N/A Employees4 12% 6% (22%) 9% 7% 1% 8% 16% 14% 1 Base salary amounts for Non-Executive Directors in 2021 and 2022 include grants of share based remuneration in the form of time-vesting restricted stock units with a face value of $50,000. 2 Joined the Board effective February 2021. 3 Joined the Board effective March 2022. 4 Does not include employees of Founded Entities. Relative importance of spend on pay (unaudited) The following table sets out the percentage change in overall spend on pay and distributions to shareholders in 2022 compared to 2021: 2022 2021 % change Staff costs1 $32,050,089 $22,136,823 59% Distributions to Shareholders $26,359,8512 — — 1 Excludes Founded Entities. 2 Represents the value of the 10,595,347 ordinary shares repurchased under the Company’s share repurchase programme during 2022. Details of the Remuneration Committee, advisors to the Committee and their fees The Remuneration Committee consists of Dr. LaMattina, Ms. Mazumdar-Shaw and Dr. Kucherlapati, with Dr. LaMattina serving as the Chair of the Committee. In 2022 the Committee received independent remuneration advice from Korn Ferry (UK) Limited, who was appointed by and is accountable to the Committee. A separate practice within Korn Ferry provides certain other candidate placement services to the Company. The terms of engagement between the Committee and Korn Ferry are available from the Company Secretary on request. The Committee also consults with the Chief Executive Officer and President. However, no Director is permitted to participate in discussions or decisions about their personal remuneration. During the year, fees in respect of remuneration advice from Korn Ferry amounted to £27,900. Korn Ferry is a founder member of the Remuneration Consultants’ Group and complies with its Code of Conduct which sets out guidelines to ensure that its advice is independent and free of undue influence. Annual Report on Remuneration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105"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102    PureTech Health plc  Annual report and accounts 2022 G o ve rn an ce Statement of voting at general meeting (unaudited) The table below sets out the proxy results of the vote on our Remuneration Report at our 2022 AGM: Resolutions For % Against % Withheld Total votes cast To approve the Directors’ Remuneration Report 186,654,636 86.20% 29,871,462 13.80% 390,360 216,526,098 The table below sets out the proxy results of the vote on our Remuneration Policy at our 2021 AGM: Resolutions For % Against % Withheld Total votes cast To approve the Directors’ Remuneration Policy 187,285,809 83.90% 35,930,008 16.10% 2,309,748 223,215,817 2023 AGM The Company’s AGM will be held at 11:00 am EDT (4:00 pm BST) on June 13, 2023 at the Company’s headquarters at 6 Tide Street, Boston, Massachusetts. Information regarding the voting outcome will be disclosed in next year’s Annual Report on Remuneration. This report has been prepared by the Remuneration Committee and has been approved by the Board. It complies with the UK Companies Act 2006 and related regulations. This report will be put to shareholders for approval at the forthcoming AGM, alongside a vote to approve the new performance share plan. On behalf of the Board of Directors Bharatt Chowrira Company Secretary April 27, 2023 Annual Report on Remuneration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106"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103 Fi na nc ia l s ta te m en ts [Pages 103-111 have been removed]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107"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 na nc ia l s ta te m en ts 104 PureTech Health plc Annual report and accounts 2022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108"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105 Fi na nc ia l s ta te m en ts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109"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 na nc ia l s ta te m en ts 106 PureTech Health plc Annual report and accounts 2022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110"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107 Fi na nc ia l s ta te m en ts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11"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Fi na nc ia l s ta te m en ts 108 PureTech Health plc Annual report and accounts 2022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112"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109 Fi na nc ia l s ta te m en ts Independent auditor’s report to the members of PureTech Health plc — continued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113"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110 PureTech Health plc Annual report and accounts 2022 Fi na nc ia l s ta te m en ts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114" descr=""/>
                    <pic:cNvPicPr>
                      <a:picLocks noChangeAspect="1" noChangeArrowheads="1"/>
                    </pic:cNvPicPr>
                  </pic:nvPicPr>
                  <pic:blipFill>
                    <a:blip r:embed="rId1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111 Fi na nc ia l s ta te m en ts Independent auditor’s report to the members of PureTech Health plc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115" descr=""/>
                    <pic:cNvPicPr>
                      <a:picLocks noChangeAspect="1" noChangeArrowheads="1"/>
                    </pic:cNvPicPr>
                  </pic:nvPicPr>
                  <pic:blipFill>
                    <a:blip r:embed="rId1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112 PureTech Health plc Annual report and accounts 2022 Fi na nc ia l s ta te m en ts Note 2022 $000s 2021 $000s 2020 $000s Contract revenue 3 2,090 9,979 8,341 Grant revenue 3 13,528 7,409 3,427 Total revenue 15,618 17,388 11,768 Operating expenses: General and administrative expenses 7 (60,991) (57,199) (49,440) Research and development expenses 7 (152,433) (110,471) (81,859) Operating income/(loss) (197,807) (150,282) (119,531) Other income/(expense): Gain on deconsolidation of subsidiary 5 27,251 — — Gain/(loss) on investment held at fair value 5 (32,060) 179,316 232,674 Realized loss on sale of investments 5 (29,303) (20,925) (54,976) Other income/(expense) 6, 16 8,131 1,592 1,035 Other income/(expense) (25,981) 159,983 178,732 Finance income/(costs): Finance income 9 5,799 214 1,183 Finance costs – contractual 9 (3,939) (4,771) (2,946) Finance income/(costs) – fair value accounting 9 137,063 9,606 (4,351) Net finance income/(costs) 138,924 5,050 (6,115) Share of net loss of associates accounted for using the equity method 6 (27,749) (73,703) (34,117) Gain on dilution of ownership interest in associate 6 28,220 — — Impairment of investment in associate 6 (8,390) — — Income/(loss) before taxes (92,783) (58,953) 18,969 Taxation 25 55,719 (3,756) (14,401) Income/(Loss) for the year (37,065) (62,709) 4,568 Other comprehensive income/(loss): Items that are or may be reclassified as profit or loss Equity-accounted associate – share of other comprehensive income (loss) (166) — 469 Reclassification of foreign currency differences on dilution of interest (213) — — Total other comprehensive income/(loss) (379) — 469 Total comprehensive income/(loss) for the year (37,444) (62,709) 5,037 Income/(loss) attributable to: Owners of the Company (50,354) (60,558) 5,985 Non-controlling interests 18 13,290 (2,151) (1,417) (37,065) (62,709) 4,568 Comprehensive income/(loss) attributable to: Owners of the Company (50,733) (60,558) 6,454 Non-controlling interests 18 13,290 (2,151) (1,417) (37,444) (62,709) 5,037 $ $ $ Earnings/(loss) per share: Basic earnings/(loss) per share 10 (0.18) (0.21) 0.02 Diluted earnings/(loss) per share 10 (0.18) (0.21) 0.02 The accompanying notes are an integral part of these financial statements. Consolidated Statements of Comprehensive Income/(Loss) For the years ended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116" descr=""/>
                    <pic:cNvPicPr>
                      <a:picLocks noChangeAspect="1" noChangeArrowheads="1"/>
                    </pic:cNvPicPr>
                  </pic:nvPicPr>
                  <pic:blipFill>
                    <a:blip r:embed="rId1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113 Fi na nc ia l s ta te m en ts Note 2022 $000s 2021 $000s Assets Non-current assets Property and equipment, net 11 22,957 26,771 Right of use asset, net 21 14,281 17,166 Intangible assets, net 12 831 987 Investments held at fair value 5, 16 251,892 397,179 Investment in associates – equity method 6 9,147 — Note from associate 16 16,501 — Lease receivable – long-term 21 835 1,285 Other non-current assets 10 810 Total non-current assets 316,454 444,197 Current assets Trade and other receivables 22 11,867 3,174 Income tax receivable 25 10,040 4,514 Prepaid expenses 11,617 10,755 Lease receivable – short-term 21 450 415 Other financial assets 13, 22 2,124 2,124 Short-term note from associate — 15,120 Short-term investments 22 200,229 — Cash and cash equivalents 22 149,866 465,708 Total current assets 386,192 501,809 Total assets 702,647 946,006 Equity and liabilities Equity Share capital 5,455 5,444 Share premium 289,624 289,303 Treasury stock (26,492) — Merger reserve 138,506 138,506 Translation reserve 89 469 Other reserve (14,478) (40,077) Retained earnings/(accumulated deficit) 149,516 199,871 Equity attributable to the owners of the Company 14 542,220 593,515 Non-controlling interests 18 5,369 (9,368) Total equity 547,589 584,147 Non-current liabilities Deferred tax liability 25 19,645 89,765 Lease liability, non-current 21 24,155 29,040 Long-term loan 20 10,244 14,261 Liability for share based awards 8 4,128 2,659 Total non-current liabilities 58,172 135,725 Current liabilities Deferred revenue 3 2,185 65 Lease liability, current 21 4,972 3,950 Trade and other payables 19 54,840 35,817 Subsidiary: Notes payable 16, 17 2,345 4,641 Warrant liability 16 47 6,787 Preferred shares 15, 16 27,339 174,017 Current portion of long-term loan 20 5,156 857 Total current liabilities 96,885 226,135 Total liabilities 155,057 361,859 Total equity and liabilities 702,647 946,006 Please refer to the accompanying Notes to the consolidated financial information. Registered number: 09582467. The Consolidated Financial Statements were approved by the Board of Directors and authorized for issuance on April 27, 2023 and signed on its behalf by: Daphne Zohar Chief Executive Officer April 27, 2023 The accompanying notes are an integral part of these financial statements. Consolidated Statements of Financial Position As of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117" descr=""/>
                    <pic:cNvPicPr>
                      <a:picLocks noChangeAspect="1" noChangeArrowheads="1"/>
                    </pic:cNvPicPr>
                  </pic:nvPicPr>
                  <pic:blipFill>
                    <a:blip r:embed="rId1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114 PureTech Health plc Annual report and accounts 2022 Fi na nc ia l s ta te m en ts Share Capital Treasury Shares Shares Amount $000s Share premium $000s Shares Amount $000s Merger reserve $000s Translation reserve $000s Other reserve $000s Retained earnings/ (accumulated deficit) $000s Total Parent equity $000s Non- controlling interests $000s Total Equity $000s Balance January 1, 2020 285,370,619 5,408 287,962 — — 138,506 — (18,282) 254,444 668,037 (17,639) 650,398 Net income/(loss) — — — — — — — — 5,985 5,985 (1,417) 4,568 Other comprehensive income/(loss), net — — — — — — 469 — — 469 — 469 Total comprehensive income/(loss) for the year — — — — — — 469 — 5,985 6,454 (1,417) 5,037 Exercise of share- based awards 514,406 9 1,016 — — — — — — 1,025 11 1,036 Revaluation of deferred tax assets related to share-based awards — — — — — — — (684) — (684) — (684) Equity settled share- based awards — — — — — — — 7,805 — 7,805 2,822 10,627 Settlement of restricted stock units (RSU) — — — — — — — (12,888) — (12,888) — (12,888) Other — — — — — — — — — — 13 13 Balance December 31, 2020 285,885,025 5,417 288,978 — — 138,506 469 (24,050) 260,429 669,748 (16,209) 653,539 Net income/(loss) — — — — — — — — (60,558) (60,558) (2,151) (62,709) Total comprehensive income/(loss) for the year — — — — — — — — (60,558) (60,558) (2,151) (62,709) Exercise of share- based awards 1,911,560 27 326 — — — — — — 352 — 352 Revaluation of deferred tax assets related to share- based awards — — — — — — — 615 — 615 — 615 Equity settled share- based awards — — — — — — — 7,109 — 7,109 6,252 13,361 Settlement of restricted stock units — — — — — — — (10,749) — (10,749) — (10,749) Reclassification of equity settled awards to liability awards — — — — — — — (6,773) — (6,773) — (6,773) Vesting of share- based awards and net share exercise — — — — — — — (2,582) — (2,582) — (2,582) Acquisition of subsidiary non-controlling interest — — — — — — — (9,636) — (9,636) 8,668 (968) NCI exercise of share options in subsidiaries — — — — — — — 5,988 — 5,988 (5,922) 66 Distributions — — — — — — — — — — (6) (6) Balance December 31, 2021 287,796,585 5,444 289,303 — — 138,506 469 (40,077) 199,871 593,515 (9,368) 584,147 Net income/(loss) — — — — — — — — (50,354) (50,354) 13,290 (37,065) Other comprehensive income/(loss), net — — — — — — (379) — — (379) — (379) Total comprehensive income/(loss) for the year — — — — — — (379) — (50,354) (50,733) 13,290 (37,444) Deconsolidation of Subsidiary — — — — — — — — — — 11,904 11,904 Exercise of share- based awards 577,022 11 321 — — — — — — 332 — 332 Revaluation of deferred tax assets related to share- based awards — — — — — — — 45 — 45 — 45 Purchase of Treasury stock — — — (10,595,347) (26,492) — — — — (26,492) — (26,492) Equity settled share- based awards — — — — — — — 8,856 — 8,856 4,711 13,567 Partial settlement of share based liability awards and settlement of equity based RSUs 788,046 — — — — — — 1,528 — 1,528 — 1,528 NCI exercise of share options in subsidiaries — — — — — — — 15,171 — 15,171 (15,164) 7 Other — — — — — — — — — — (4) (4) Balance December 31, 2022 289,161,653 5,455 289,624 (10,595,347) (26,492) 138,506 89 (14,478) 149,516 542,220 5,369 547,589 The accompanying notes are an integral part of these financial statements. Consolidated Statements of Changes in Equity For the years ended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118" descr=""/>
                    <pic:cNvPicPr>
                      <a:picLocks noChangeAspect="1" noChangeArrowheads="1"/>
                    </pic:cNvPicPr>
                  </pic:nvPicPr>
                  <pic:blipFill>
                    <a:blip r:embed="rId1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115 Fi na nc ia l s ta te m en ts Consolidated Statements of Cash Flows  For the years ended December 31 Note 2022 $000s 2021 $000s 2020 $000s Cash flows from operating activities   Income/(loss) (37,065) (62,709) 4,568 Adjustments to reconcile net income/(loss) to net cash used in operating activities: Non-cash items: Depreciation and amortization 11, 21 8,893 7,287 6,645 Share-based compensation expense 8 14,698 13,950 10,718 (Gain)/loss on investment held at fair value 5 32,060 (179,316) (232,674) Realized loss on sale of investments 5 29,303 20,925 54,976 Gain on dilution of ownership interest in associate 6 (28,220) — — Impairment of investment in associate 6 8,390 — — Gain on deconsolidation of subsidiary 5 (27,251) — — Share of net loss of associates accounted for using the equity method 6 27,749 73,703 34,117 Fair value gain on other financial instruments 6, 16 (8,163) (800) — Loss on disposal of assets 11 138 53 66 Income taxes, net 25 (55,719) 3,756 14,402 Finance (income)/costs, net 9 (138,924) (5,050) 6,114 Changes in operating assets and liabilities: Trade and other receivables (7,734) (617) (529) Prepaid expenses (862) (5,350) (3,371) Deferred revenue 3 2,123 (1,407) (5,223) Trade and other payables 19 22,033 8,338 605 Other 359 (103) (7) Income taxes paid (20,696) (27,766) (20,737) Interest received 3,460 214 1,155 Interest paid 20, 21 (3,366) (3,382) (2,651) Net cash used in operating activities (178,792) (158,274) (131,827) Cash flows from investing activities: Purchase of property and equipment 11 (2,176) (5,571) (5,170) Proceeds from sale of property and equipment — 30 — Purchases of intangible assets 12 — (90) (254) Investment in associates 6 (19,961) — — Purchase of associate preferred shares held at fair value 5 — — (10,000) Purchase of investments held at fair value 5 (5,000) (500) (1,150) Sale of investments held at fair value 5 118,710 218,125 350,586 Purchase of short-term note from associate 16 — (15,000) — Repayment of short-term Note from associate 16 15,000 — — Purchase of Convertible Note from associate 16 (15,000) — — Cash derecognized upon loss of control over subsidiary (see table below) (479) — — Purchases of short-term investments 22 (248,733) — — Proceeds from maturity of short-term investments 22 50,000 — 30,116 Receipt of payment of sublease 21 415 381 350 Net cash provided by (used in) investing activities (107,223) 197,375 364,478 Cash flows from financing activities: Receipt of PPP loan — — 68 Issuance of long term loan 20 — — 14,720 Issuance of subsidiary preferred Shares 15 — 37,610 13,750 Issuance of Subsidiary Convertible Note 17 393 2,215 25,000 Payment of lease liability 21 (4,025) (3,375) (2,908) Exercise of stock options 332 352 1,036 Settlement of restricted stock unit equity awards — (10,749) (12,888) Vesting of restricted stock units and net share exercise — (2,582) — NCI exercise of stock options in subsidiary 15 7 66 — Issuance of warrants in subsidiary — — 92 Purchase of treasury stock 14 (26,492) — — Acquisition of a non-controlling Interest of a subsidiary — (806) — Other (41) (5) — Net cash provided by (used in) financing activities (29,827) 22,727 38,869 Net increase (decrease) in cash and cash equivalents (315,842) 61,827 271,520 Cash and cash equivalents at beginning of year 465,708 403,881 132,360 Cash and cash equivalents at end of year 149,866 465,708 403,881 Supplemental disclosure of non-cash investment and financing activities: Partial settlement of share based liability award through issuance of equity 1,528 — — Purchase of property, plant and equipment against trade and other payables 11 — 1,841 — Leasehold improvements purchased through lease incentives (deducted from Right of Use Asset) 11 — 1,010 — Conversion of subsidiary convertible note into preferred share liabilities 17 — 25,797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119" descr=""/>
                    <pic:cNvPicPr>
                      <a:picLocks noChangeAspect="1" noChangeArrowheads="1"/>
                    </pic:cNvPicPr>
                  </pic:nvPicPr>
                  <pic:blipFill>
                    <a:blip r:embed="rId1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116 PureTech Health plc Annual report and accounts 2022 Fi na nc ia l s ta te m en ts Consolidated Statements of Cash Flows — continued For the years ended December 31 Assets, Liabilities and non controlling interests other than cash in deconsolidated subsidiary 2022 $000s Trade and other payables 1,407 Subsidiary notes payable 3,403 Subsidiary preferred shares 15,853 Other assets and liabilities, net 123 Non-controlling interest (11,904) 8,882 Investment retained in deconsolidated subsidiary 18,848 Gain on deconsolidation (27,251) Cash in deconsolidated subsidiary 479 The accompanying notes are an integral part of these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120" descr=""/>
                    <pic:cNvPicPr>
                      <a:picLocks noChangeAspect="1" noChangeArrowheads="1"/>
                    </pic:cNvPicPr>
                  </pic:nvPicPr>
                  <pic:blipFill>
                    <a:blip r:embed="rId1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117 Fi na nc ia l s ta te m en ts 1. Accounting policies Description of Business PureTech Health plc (“PureTech,” the “Parent” or the “Company”) is a public company incorporated, domiciled and registered in the United Kingdom (“UK”). The registered number is 09582467 and the registered address is 8th Floor, 20 Farringdon Street, London EC4A 4AB, United Kingdom. PureTech’s group financial statements consolidate those of the Company and its subsidiaries (together referred to as the “Group”). The Parent company financial statements present financial information about the Company as a separate entity and not about its Group. The accounting policies set out below have, unless otherwise stated, been applied consistently to all periods presented in these group financial statements. Basis of Presentation The consolidated financial statements of the Group are presented as of December 31, 2022 and 2021, and for the years ended December 31, 2022, 2021 and 2020. The Group financial statements have been approved by the Directors on April 27, 2023, and are prepared in accordance with UK-adopted International Financial Reporting Standards (IFRSs). The Consolidated Financial Statements also comply fully with IFRSs as issued by the International Accounting Standards Board (IASB). UK- adopted IFRSs differs in certain respects from IFRS as issued by the IASB. However, the differences have no impact for the periods presented. For presentation of the Consolidated Statements of Comprehensive Income/(Loss), the Company uses a classification based on the function of expenses, rather than based on their nature, as it is more representative of the format used for internal reporting and management purposes and is consistent with international practice. Certain amounts in the Consolidated Financial Statements and accompanying notes may not add due to rounding. All percentages have been calculated using unrounded amounts. Basis of Measurement The consolidated financial statements are prepared on the historical cost basis except that the following assets and liabilities are stated at their fair value: investments held at fair value, short-term and convertible note from associate and liabilities classified as fair value through the profit or loss. Use of Judgments and Estimates In preparing these consolidated financial statements, management has made judgements, estimates and assumptions that affect the application of the Group’s accounting policies and the reported amounts of assets, liabilities, income and expenses. Actual results may differ from these estimates. Estimates and underlying assumptions are reviewed on an on-going basis. Significant estimation is applied in determining the following: • Financial instruments valuations (Note 16): when estimating the fair value of subsidiary preferred shares, subsidiary warrants, and subsidiary convertible notes carried at fair value through profit and loss (FVTPL) as well as investments held at fair value, at initial recognition and upon subsequent measurement.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earnings potential of the subsidiary businesses, appropriate discount rate, appropriate volatility, appropriate term to exit and other industry and company specific risk factors. Significant judgement is also applied in determining the following: • Subsidiary preferred shares liability classification (Note 15): when determining the classification of financial instruments in terms of liability or equity. These judgements include an assessment of whether the financial instruments include any embedded derivative features, whether they include contractual obligations of the Group to deliver cash or other financial assets or to exchange financial assets or financial liabilities with another party, and whether that obligation will be settled by the Company exchanging a fixed amount of cash or other financial assets for a fixed number of its own equity instruments. Further information about these critical judgements and estimates is included below under Financial Instruments. • When the power to control the subsidiaries exists (please refer to Notes 5 and 6 and accounting policy below Subsidiaries). This judgement includes an assessment of whether the Company has (i) power over the investee; (ii) exposure, or rights, to variable returns from its involvement with the investee; and (iii) the ability to use its power over the investee to affect the amount of the investor’s returns. The Company considers among others its voting shares, shareholder agreements, ability to appoint board members, representation on the board, rights to appoint management, de facto control, investee dependence on the Company etc. If the power to control investees exists we consolidate the financial statements of such investee in the consolidated financial statements of the Group. Upon issuance of new shares in a subsidiary and/or a change in any shareholders or governance agreements, the Group reassesses its ability to control the investee based on the revised voting interest and board composition and revised subsidiary governance and management structure. When such new circumstances result in the Group losing its power to control the investee, the investee is deconsolidated. • Whether the Company has significant influence over financial and operating policies of investees in order to determine if the Company should account for its investment as an associate based on IAS 28 or based on IFRS 9, Financial Instruments (please refer to Note 5). This judgement includes, among others, an assessment whether the Company has representation on the Board of Directors of the investee, whether the Company participates in the policy making processes of the investee, whether there is any interchange of managerial personnel, whether there is any essential technical information provided to the investee and if there are any transactions between the Company and the investee. Notes to the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121" descr=""/>
                    <pic:cNvPicPr>
                      <a:picLocks noChangeAspect="1" noChangeArrowheads="1"/>
                    </pic:cNvPicPr>
                  </pic:nvPicPr>
                  <pic:blipFill>
                    <a:blip r:embed="rId1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118 PureTech Health plc Annual report and accounts 2022 Fi na nc ia l s ta te m en ts • Upon determining that the Company does have significant influence over the financial and operating policies of an investee, if the Company holds more than a single instrument issued by its equity-accounted investee, judgement is required to determine whether the additional instrument forms part of the investment in the associate, which is accounted for under IAS 28 and scoped out of IFRS 9, or it is a separate financial instrument that falls in the scope of IFRS 9 (please refer to Notes 5 and 6). This judgement includes an assessment of the characteristics of the financial instrument of the investee held by the Company and whether such financial instrument provides access to returns underlying an ownership interest. • Where the company has other investments in an equity accounted investee that are not accounted for under IAS 28, judgement is required in determining if such investments constitute Long-Term Interests for the purposes of IAS 28 (please refer to Notes 5 and 6).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(please also refer to accounting policy with regard to Investments in Associates below). When the Group considered the individual facts and circumstances of the Group’s investment in its associate's preferred stock in the manner described above, including the long-term nature of such investment, the ability of the Group to convert its preferred stock investment to an investment in common shares and the likelihood of such conversion, we concluded that such investment was considered a Long Term Interest. As of December 31, 2022, the Group had cash and cash equivalents of $149.9 million and short-term investments of $200.2 million. Considering the Group’s and the Company's financial position as of December 31, 2022, and its principal risks and opportunities, a going concern analysis has been prepared for at least the twelve-month period from the date of signing the Consolidated Financial Statements ("the going concern period") utilizing realistic scenarios and applying a severe but plausible downside scenario. Even under the downside scenario, the analysis demonstrates the Group and the Company continue to maintain sufficient liquidity headroom and continue to comply with all financial obligations. The Directors believe the Group and the Company is adequately resourced to continue in operational existence for at least the twelve-month period from the date of signing the Consolidated Financial Statements. Accordingly, the Directors considered it appropriate to adopt the going concern basis of accounting in preparing the Consolidated Financial Statements and the PureTech Health plc Financial Statements. Basis of consolidation The consolidated financial information as of December 31, 2022 and 2021, and for each of the years ended December 31, 2022, 2021 and 2020, comprises an aggregation of financial information of the Company and the consolidated financial information of PureTech Health LLC (“PureTech LLC”). Intra-group balances and transactions, and any unrealized income and expenses arising from intra-group transactions, are eliminated. Subsidiaries As used in these financial statements, the term subsidiaries refers to entities that are controlled by the Group. Financial results of subsidiaries of the Group as of December 31, 2022, are reported within the Internal segment, Controlled Founded Entities segment or the Parent Company and Other section (please refer to Note 4). Under applicable accounting rules, the Group controls an entity when it is exposed to, or has the rights to, variable returns from its involvement with the entity and has the ability to affect those returns through its power over the entity. In assessing control, the Group takes into consideration potential voting rights, board representation, shareholders' agreements, ability to appoint Directors and management, de facto control and other related factors. The financial statements of subsidiaries are included in the consolidated financial statements from the date that control commences until the date that control ceases. Losses applicable to the non-controlling interests in a subsidiary are allocated to the non-controlling interests even if doing so causes the non-controlling interests to have a deficit balance. A list of all current and former subsidiaries organized with respect to classification as of December 31, 2022, and the Group’s total voting percentage, based on outstanding voting common and preferred shares as of December 31, 2022, 2021 and 2020, is outlined below. All current subsidiaries are domiciled within the United States and conduct business activities solely within the United States.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122" descr=""/>
                    <pic:cNvPicPr>
                      <a:picLocks noChangeAspect="1" noChangeArrowheads="1"/>
                    </pic:cNvPicPr>
                  </pic:nvPicPr>
                  <pic:blipFill>
                    <a:blip r:embed="rId1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119 Fi na nc ia l s ta te m en ts Voting percentage at December 31, through the holdings in 2022 2021 2020 Subsidiary Common Preferred Common Preferred Common Preferred Subsidiary operating companies Alivio Therapeutics, Inc.1,2 — 100.0 — 100.0 — 91.9 Entrega, Inc. (indirectly held through Enlight)1,2 — 77.3 — 77.3 — 83.1 Follica, Incorporated1,2 28.7 56.7 28.7 56.7 28.7 56.7 PureTech LYT (formerly Ariya Therapeutics, Inc.) — 100.0 — 100.0 — 100.0 PureTech LYT-100 — 100.0 — 100.0 — 100.0 PureTech Management, Inc.3 100.0 — 100.0 — 100.0 — PureTech Health LLC3 100.0 — 100.0 — 100.0 — Vedanta Biosciences, Inc.1,2 — 47.0 — 48.6 — 59.3 Vedanta Biosciences Securities Corp. (indirectly held through Vedanta)1,2 — 47.0 — 48.6 — 59.3 Deconsolidated former subsidiary operating companies Sonde Health, Inc.1,2,5 — 40.2 — 51.8 — 51.8 Akili Interactive Labs, Inc.6 14.7 — — 26.7 — 41.9 Gelesis, Inc.1,2,6 22.8 — 4.8 19.7 4.9 20.2 Karuna Therapeutics, Inc.1,2 3.1 — 5.6 — 12.6 — Vor Biopharma Inc.1,2 4.1 — 8.6 — — 16.4 Nontrading holding companies Endra Holdings, LLC (held indirectly through Enlight)2 86.0 — 86.0 — 86.0 — Ensof Holdings, LLC (held indirectly through Enlight)2 86.0 — 86.0 — 86.0 — PureTech Securities Corp.2 100.0 — 100.0 — 100.0 — PureTech Securities II Corp.2 100.0 — 100.0 — 100.0 — Inactive subsidiaries Appeering, Inc.2 — 100.0 — 100.0 — 100.0 Commense Inc.2 — 99.1 — 99.1 — 99.1 Enlight Biosciences, LLC2 86.0 — 86.0 — 86.0 — Ensof Biosystems, Inc. (held indirectly through Enlight)1,2 57.7 28.3 57.7 28.3 57.7 28.3 Knode Inc. (indirectly held through Enlight)2 — 86.0 — 86.0 — 86.0 Libra Biosciences, Inc.2 — 100.0 — 100.0 — 100.0 Mandara Sciences, LLC2 98.3 — 98.3 — 98.3 — Tal Medical, Inc.1,2 — 100.0 — 100.0 — 100.0 1 The voting percentage is impacted by preferred shares that are classified as liabilities, which results in the ownership percentage not being the same as the ownership percentage used in allocations to non-controlling interests disclosed in Note 18. The allocation of losses/profits to the noncontrolling interest is based on the holdings of subordinated stock that provide ownership rights in the subsidiaries. The ownership of liability classified preferred shares are quantified in Note 15. 2 Registered address is Corporation Trust Center, 1209 Orange St., Wilmington, DE 19801, USA. 3 Registered address is 2711 Centerville Rd., Suite 400, Wilmington, DE 19808, USA. 4 The Company’s interests in its subsidiaries are predominantly in the form of preferred shares, which have a liquidation preference over the common stock, are convertible into common stock at the holder’s discretion or upon certain liquidity events, are entitled to one vote per share on all matters submitted to shareholders for a vote and entitled to receive dividends when and if declared. In the case of Enlight, Mandara and PureTech Health LLC, the holdings are membership interests in an LLC. The holders of common stock are entitled to one vote per share on all matters submitted to shareholders for a vote and entitled to receive dividends when and if declared. 5 On May 25, 2022 PureTech lost control over Sonde and Sonde was deconsolidated from the Group’s financial statements, resulting in only the profits and losses generated by Sonde through the deconsolidation date being included in the Group’s Consolidated Statement of Comprehensive Income/(Loss). See Notes 5 and 6 for further details about the accounting for the investments in Sonde subsequent to deconsolidation. 6 See Notes 5 and 6 for the Gelesis and Akili SPAC merger and for the exchange of the Group's preferred stock investments for common stock of those entities. Change in subsidiary ownership and loss of control Changes in the Group’s interest in a subsidiary that do not result in a loss of control are accounted for as equity transactions. Where the Group loses control of a subsidiary, the assets and liabilities are derecognized along with any related non- controlling interest (“NCI”). Any interest retained in the former subsidiary is measured at fair value when control is lost. Any resulting gain or loss is recognized as profit or loss in the Consolidated Statements of Comprehensive Income/(Loss). Associates As used in these financial statements, the term associates are those entities in which the Group has no control but maintains significant influence over the financial and operating policies. Significant influence is presumed to exist when the Group holds between 20 and 50 percent of the voting power of an entity, unless it can be clearly demonstrated that this is not the case. The Group evaluates if it maintains significant influence over associates by assessing if the Group has lost the power to participate in the financial and operating policy decisions of the associate.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123" descr=""/>
                    <pic:cNvPicPr>
                      <a:picLocks noChangeAspect="1" noChangeArrowheads="1"/>
                    </pic:cNvPicPr>
                  </pic:nvPicPr>
                  <pic:blipFill>
                    <a:blip r:embed="rId1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120 PureTech Health plc Annual report and accounts 2022 Fi na nc ia l s ta te m en ts Application of the equity method to associates Associates are accounted for using the equity method (equity accounted investees) and are initially recognized at cost, or if recognized upon deconsolidation they are initially recorded at fair value at the date of deconsolidation. The consolidated financial statements include the Group’s share of the total comprehensive income and equity movements of equity accounted investees, from the date that significant influence commences until the date that significant influence ceases. To the extent the Group holds interests in associates that are not providing access to returns underlying ownership interests, the instrument held by PureTech is accounted for in accordance with IFRS 9 as investments held at fair value. When the Group’s share of losses exceeds its equity method investment in the investee, losses are applied against Long-Term Interests, which are investments accounted for under IFRS 9. Investments are determined to be Long-Term Interests when they are long-term in nature and in substance they form part of the Group's net investment in that associate. This determination is impacted by many factors, among others, whether settlement by the investee through redemption or repayment is planned or likely in the foreseeable future, whether the investment can be converted and/or is likely to be converted to common stock or other equity instrument and other factors regarding the nature of the investment. Whilst this assessment is dependent on many specific facts and circumstances of each investment, typically conversion features whereby the investment is likely to convert to common stock or other equity instruments would point to the investment being a Long-Term Interest. Similarly, where the investment is not planned or likely to be settled through redemption or repayment in the foreseeable future, this would indicate that the investment is a Long-Term Interest. When the net investment in the associate, which includes the Group’s investments in other long-term interests, is reduced to nil, recognition of further losses is discontinued except to the extent that the Group has incurred legal or constructive obligations or made payments on behalf of an investee. The Group has also adopted the amendments to IAS 28 Investments in Associates that addresses the dual application of IAS 28 and IFRS 9 (see below) when equity method losses are applied against Long-Term Interests (LTI). The amendments provide the annual sequence in which both standards are to be applied in such a case. The Group has applied the equity method losses to the LTIs presented as part of Investments held at fair value subsequent to remeasuring such investments to their fair value at balance sheet date. Financial Instruments Classification The Group classifies its financial assets in the following measurement categories: • Those to be measured subsequently at fair value (either through other comprehensive income, or through profit or loss), and • Those to be measured at amortized cost. The classification depends on the Group’s business model for managing the financial assets and the contractual terms of the cash flows. For assets measured at fair value, gains and losses are recorded in profit or loss. For investments in equity instruments that are not held for trading, this will depend on whether the Group has made an irrevocable election at the time of initial recognition to account for the equity investment at FVOCI. As of balance sheet dates, none of the Company's financial assets are accounted for as FVOCI. Measurement At initial recognition, the Group measures a financial asset at its fair value plus, in the case of a financial asset not at FVTPL, transaction costs that are directly attributable to the acquisition of the financial asset. Transaction costs of financial assets that are carried at FVTPL are expensed. Impairment The Group assesses on a forward-looking basis the expected credit losses associated with its debt instruments carried at amortized cost. For trade receivables, the Group applies the simplified approach permitted by IFRS 9, which requires expected lifetime losses to be recognized from initial recognition of the receivables. Financial Assets The Group’s financial assets consist of cash and cash equivalents, investments in debt securities, trade and other receivables, notes, restricted cash deposits and investments in equity securities. The Group’s financial assets are virtually all classified into the following categories: investments held at fair value, notes, trade and other receivables, short-term investments and cash and cash equivalents. The Group determines the classification of financial assets at initial recognition depending on the purpose for which the financial assets were acquired.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124" descr=""/>
                    <pic:cNvPicPr>
                      <a:picLocks noChangeAspect="1" noChangeArrowheads="1"/>
                    </pic:cNvPicPr>
                  </pic:nvPicPr>
                  <pic:blipFill>
                    <a:blip r:embed="rId1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121 Fi na nc ia l s ta te m en ts Investments held at fair value are investments in equity instruments that are not held for trading. Such investments consist of the Group's minority interest holdings where the Group has no significant influence or preferred share investments in the Group's associates that are not providing access to returns underlying ownership interests. These financial assets are initially measured at fair value and subsequently re-measured at fair value at each reporting date. The Company elects if the gain or loss will be recognized in Other Comprehensive Income/(Loss) or through profit and loss on an instrument by instrument basis. The Company has elected to record the changes in fair values for the financial assets falling under this category through profit and loss. Please refer to Note 5. Changes in the fair value of financial assets at FVTPL are recognized in other income/(expense) in the Consolidated Statements of Comprehensive Income/(Loss) as applicable. The notes from an associate, since their contractual terms do not consist solely of cash flow payments of principal and interest on the principal amount outstanding, such notes are initially and subsequently measured at fair value, with changes in fair value recognized through profit and loss. Short term investments consist of short-term US treasury bills that are held to maturity. The contractual terms consist solely of payment of the principal and the Group's business model is to hold the treasury bills to maturity. As such, such short term investments are recorded at amortized cost. As of balance sheet date amortized cost approximated the fair value of such short- term investments. Trade and other receivables are non-derivative financial assets with fixed and determinable payments that are not quoted on active markets. These financial assets are carried at the amounts expected to be received less any expected lifetime losses. Such losses are determined taking into account previous experience, credit rating and economic stability of counterparty and economic conditions. When a trade receivable is determined to be uncollectible, it is written off against the available provision. As of balance sheet date, The Group did not incur or record any such expected lifetime losses. Trade and other receivables are included in current assets, unless maturities are greater than 12 months after the end of the reporting period. Financial Liabilities The Group’s financial liabilities consist of trade and other payables, subsidiary notes payable, long-term loan, preferred shares, and warrant liability. Warrant liabilities are initially recognized at fair value. After initial recognition, these financial liabilities are re-measured at FVTPL using an appropriate valuation technique. Subsidiary notes payable without embedded derivatives and the long-term loan are accounted for at amortized cost. The majority of the Group’s subsidiaries have preferred shares and certain notes payable with embedded derivatives, which are classified as current liabilities. When the Group has preferred shares and notes with embedded derivatives that qualify for bifurcation, the Group has elected to account for the entire instrument as FVTPL after determining under IFRS 9 that the instrument qualifies to be accounted for under such FVTPL method. The Group derecognizes a financial liability when its contractual obligations are discharged, cancelled or expire. Equity Instruments Issued by the Group Financial instruments issued by the Group are treated as equity only to the extent that they meet the following two conditions, in accordance with IAS 32: 1. They include no contractual obligations upon the Group to deliver cash or other financial assets or to exchange financial assets or financial liabilities with another party under conditions that are potentially unfavorable to the Group; and 2. Where the instrument will or may be settled in the Group’s own equity instruments, it is either a non-derivative that includes no obligation to deliver a variable number of the Group’s own equity instruments or is a derivative that will be settled by the Group exchanging a fixed amount of cash or other financial assets for a fixed number of its own equity instruments. To the extent that this definition is not met, the financial instrument is classified as a financial liability. Where the instrument so classified takes the legal form of the Group’s own shares, the amounts presented in the Group's shareholders' equity exclude amounts in relation to those shares. Changes in the fair value of liabilities at FVTPL are recognized in Net finance income (costs) in the Consolidated Statements of Comprehensive Income/(Loss) as applicable. IFRS 15, Revenue from Contracts with Customers The standard establishes a five-step principle-based approach for revenue recognition and is based on the concept of recognizing an amount that reflects the consideration for performance obligations only when they are satisfied and the control of goods or services is transferred. The majority of the Group’s contract revenue is generated from licenses and services, some of which are part of collaboration arrangements. Management reviewed contracts where the Group received consideration in order to determine whether or not they should be accounted for in accordance with IFRS 15. To date, PureTech has entered into transactions that generate revenue and meet the scope of either IFRS 15 or IAS 20 Accounting for Government Grants. Contract revenue is recognized at either a point-in-time or over time, depending on the nature of the performance obligations.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125" descr=""/>
                    <pic:cNvPicPr>
                      <a:picLocks noChangeAspect="1" noChangeArrowheads="1"/>
                    </pic:cNvPicPr>
                  </pic:nvPicPr>
                  <pic:blipFill>
                    <a:blip r:embed="rId1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122 PureTech Health plc Annual report and accounts 2022 Fi na nc ia l s ta te m en ts The Group accounts for agreements that meet the definition of IFRS 15 by applying the following five step model: • Identify the contract(s) with a customer – A contract with a customer exists when (i) the Group enters into an enforceable contract with a customer that defines each party’s rights regarding the goods or services to be transferred and identifies the payment terms related to those goods or services, (ii) the contract has commercial substance and, (iii) the Group determines that collection of substantially all consideration for goods or services that are transferred is probable based on the customer’s intent and ability to pay the promised consideration. • Identify the performance obligations in the contract – Performance obligations promised in a contract are identified based on the goods or services that will be transferred to the customer that are both capable of being distinct, whereby the customer can benefit from the good or service either on its own or together with other resources that are readily available from third parties or from the Group, and are distinct in the context of the contract, whereby the transfer of the goods or services is separately identifiable from other promises in the contract. • Determine the transaction price – The transaction price is determined based on the consideration to which the Group will be entitled in exchange for transferring goods or services to the customer. To the extent the transaction price includes variable consideration, the Group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Group’s judgement, it is probable that a significant future reversal of cumulative revenue under the contract will not occur. • Allocate the transaction price to the performance obligations in the contract –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 Recognize revenue when (or as) the Group satisfies a performance obligation – The Group satisfies performance obligations either over time or at a point in time as discussed in further detail below. Revenue is recognized at the time the related performance obligation is satisfied by transferring a promised good or service to a customer. Revenue generated from services agreements (typically where licenses and related services were combined into one performance obligation) is determined to be recognized over time when it can be determined that the services meet one of the following: (a) the customer simultaneously receives and consumes the benefits provided by the entity’s performance as the entity performs; (b) the entity’s performance creates or enhances an asset that the customer controls as the asset is created or enhanced; or (c) the entity’s performance does not create an asset with an alternative use to the entity and the entity has an enforceable right to payment for performance completed to date. It was determined that the Group has contracts that meet criteria (a), since the customer simultaneously receives and consumes the benefits provided by the Company’s performance as the Company performs. Therefore revenue is recognized over time using the input method based on costs incurred to date as compared to total contract costs. The Company believes that in research and development service type agreements using costs incurred to date represents the most faithful depiction of the entity’s performance towards complete satisfaction of a performance obligation. Revenue from licenses that are not part of a combined performance obligation are recognized at a point in time due to the licenses relating to intellectual property that has significant stand-alone functionality and as such represent a right to use the entity's intellectual property as it exists at the point in time at which the license is granted. Royalty income received in respect of licensing agreements is recognized as the related third party sales in the licensee occur. Amounts that are receivable or have been received per contractual terms but have not been recognized as revenue since performance has not yet occurred or has not yet been completed are recorded as deferred revenue. The Company classifies as non-current deferred revenue amounts received for which performance is expected to occur beyond one year or one operating cycle. Grant Income The Company recognizes grants from governmental agencies as grant income in the Consolidated Statement of Comprehensive Income/(Loss), gross of the expenditures that were related to obtaining the grant, when there is reasonable assurance that the Company will comply with the conditions within the grant agreement and there is reasonable assurance that payments under the grants will be received. The Company evaluates the conditions of each grant as of each reporting date to ensure that the Company has reasonable assurance of meeting the conditions of each grant arrangement and that it is expected that the grant payment will be received as a result of meeting the necessary conditions. The Company submits qualifying expenses for reimbursement after the Company has incurred the research and development expense. The Company records an unbilled receivable upon incurring such expenses. In cases were grant income is received prior to the expenses being incurred or recognized, the amounts received are deferred until the related expense is incurred and/or recognized. Grant income is recognized in the Consolidated Statements of Comprehensive Income/(Loss) at the time in which the Company recognizes the related reimbursable expense for which the grant is intended to compensate.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126" descr=""/>
                    <pic:cNvPicPr>
                      <a:picLocks noChangeAspect="1" noChangeArrowheads="1"/>
                    </pic:cNvPicPr>
                  </pic:nvPicPr>
                  <pic:blipFill>
                    <a:blip r:embed="rId1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123 Fi na nc ia l s ta te m en ts Functional and Presentation Currency These consolidated financial statements are presented in United States dollars (“US dollars”). The functional currency of all members of the Group is the U.S. dollar. The Group's share in foreign exchange differences in associates were reported in Other Comprehensive Income/(Loss). Foreign Currency Transactions in foreign currencies are translated to the respective functional currencies of Group entities at the foreign exchange rate ruling at the date of the transaction. Monetary assets and liabilities denominated in foreign currencies at the balance sheet date are retranslated to the functional currency at the foreign exchange rate ruling at that date. Foreign exchange differences arising on remeasurement are recognized in the Consolidated Statement of Comprehensive Income/ (Loss). Non-monetary assets and liabilities that are measured in terms of historical cost in a foreign currency are translated using the exchange rate at the date of the transaction. Cash and Cash Equivalents Cash and cash equivalents include all highly liquid instruments with original maturities of three months or less. Share Capital Ordinary shares are classified as equity. The Group's equity is comprised of share capital, share premium, merger reserve, other reserve, translation reserve, and retained earnings/accumulated deficit. Treasury Shares Treasury shares are recognized at cost and are deducted from shareholders' equity. No gain or loss is recognized in profit and loss for the purchase, sale, re-issue or cancellation of the Company's own equity shares Property and Equipment Property and equipment is stated at cost less accumulated depreciation and any accumulated impairment losses. Cost includes expenditures that are directly attributable to the acquisition of the asset. Assets under construction represent leasehold improvements and machinery and equipment to be used in operations or research and development activities. When parts of an item of property and equipment have different useful lives, they are accounted for as separate items (major components) of property and equipment. Depreciation is calculated using the straight-line method over the estimated useful life of the related asset: Laboratory and manufacturing equipment 2-8 years Furniture and fixtures 7 years Computer equipment and software 1-5 years Leasehold improvements 5-10 years, or the remaining term of the lease, if shorter Depreciation methods, useful lives and residual values are reviewed at each balance sheet date. Intangible Assets Intangible assets, which include purchased patents and licenses with finite useful lives, are carried at historical cost less accumulated amortization, if amortization has commenced. Intangible assets with finite lives are amortized from the time they are available for their intended use. Amortization is calculated using the straight-line method to allocate the costs of patents and licenses over their estimated useful lives. Research and development intangible assets, which are still under development and have accordingly not yet obtained marketing approval, are presented as In-Process Research and Development (IPR&amp;D). IPR&amp;D is not amortized since it is not yet available for its intended use, but it is evaluated for potential impairment on an annual basis or more frequently when facts and circumstances warrant. Impairment Impairment of Non-Financial Assets The Group reviews the carrying amounts of its property and equipment and intangible assets at each reporting date to determine whether there are indicators of impairment. If any such indicators of impairment exist, then an asset’s recoverable amount is estimated. The recoverable amount is the higher of an asset’s fair value less cost of disposal and value in use. The Company’s IPR&amp;D intangible assets are not yet available for their intended use. As such, they are tested for impairment at least annually. An impairment loss is recognized when an asset’s carrying amount exceeds its recoverable amount. For the purposes of impairment testing, assets are grouped at the lowest levels for which there are largely independent cash flows. If a non- financial asset instrument is impaired, an impairment loss is recognized in the Consolidated Statements of Comprehensive Income/(Loss). Investments in associates are considered impaired if, and only if, objective evidence indicates that one or more events, which occurred after the initial recognition, have had an impact on the future cash flows from the net investment and that impact can be reliably estimated. If an impairment exists the Company measures an impairment by comparing the carrying value of the net investment in the associate to its recoverable amount and recording any excess as an impairment loss. See Note 6 for impairment recorded in respect of an investment in associate during the year ended December 31, 2022.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127" descr=""/>
                    <pic:cNvPicPr>
                      <a:picLocks noChangeAspect="1" noChangeArrowheads="1"/>
                    </pic:cNvPicPr>
                  </pic:nvPicPr>
                  <pic:blipFill>
                    <a:blip r:embed="rId15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124 PureTech Health plc Annual report and accounts 2022 Fi na nc ia l s ta te m en ts Employee Benefits Short-Term Employee Benefits Short-term employee benefit obligations are measured on an undiscounted basis and expensed as the related service is provided. A liability is recognized for the amount expected to be paid if the Group has a present legal or constructive obligation due to past service provided by the employee, and the obligation can be estimated reliably. Defined Contribution Plans A defined contribution plan is a post-employment benefit plan under which an entity pays fixed contributions into a separate entity and has no legal or constructive obligation to pay further amounts. Obligations for contributions to defined contribution plans are recognized as an employee benefit expense in the periods during which related services are rendered by employees. Prepaid contributions are recognized as an asset to the extent that a cash refund or a reduction in future payments is available. Share-based Payments Share-based payment arrangements, in which the Group receives goods or services as consideration for its own equity instruments, are accounted for as equity-settled share-based payment transactions (except certain restricted stock units – see below) in accordance with IFRS 2, regardless of how the equity instruments are obtained by the Group. The grant date fair value of employee share-based payment awards is recognized as an expense with a corresponding increase in equity over the requisite service period related to the awards. The amount recognized as an expense is adjusted to reflect the actual number of awards for which the related service and non-market performance conditions are expected to be met, such that the amount ultimately recognized as an expense is based on the number of awards that do meet the related service and non-market performance conditions at the vesting date. For share-based payment awards with market conditions, the grant date fair value is measured to reflect such conditions and there is no true-up for differences between expected and actual outcomes. Certain restricted stock units are treated as liability settled awards starting in 2021. Such awards are remeasured at every reporting date until settlement date and are recognized as compensation expense over the requisite service period. Differences in remeasurement are recognized in profit and loss. The cumulative cost that will ultimately be recognized in respect of these awards will equal to the amount at settlement. The fair value of the awards is measured using option pricing models and other appropriate models, which take into account the terms and conditions of the awards granted. See further details in Note 8. Development Costs Expenditures on research activities are recognized as incurred in the Consolidated Statements of Comprehensive Income/ (Loss). In accordance with IAS 38 development costs are capitalized only if the expenditure can be measured reliably, the product or process is technically and commercially feasible, future economic benefits are probable, the Group can demonstrate its ability to use or sell the intangible asset, the Group intends to and has sufficient resources to complete development and to use or sell the asset, and it is able to measure reliably the expenditure attributable to the intangible asset during its development. The point at which technical feasibility is determined to have been reached is, generally, when regulatory approval has been received where applicable. Management determines that commercial viability has been reached when a clear market and pricing point have been identified, which may coincide with achieving meaningful recurring sales. Otherwise, the development expenditure is recognized as incurred in the Consolidated Statements of Comprehensive Income/(Loss). As of balance sheet date the Group has not capitalized any development costs. Provisions A provision is recognized in the Consolidated Statements of Financial Position when the Group has a present legal or constructive obligation due to a past event that can be reliably measured, and it is probable that an outflow of economic benefits will be required to settle the obligation. Provisions are determined by discounting the expected future cash flows at a pre-tax rate that reflects risks specific to the liability.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128" descr=""/>
                    <pic:cNvPicPr>
                      <a:picLocks noChangeAspect="1" noChangeArrowheads="1"/>
                    </pic:cNvPicPr>
                  </pic:nvPicPr>
                  <pic:blipFill>
                    <a:blip r:embed="rId16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125 Fi na nc ia l s ta te m en ts Leases The Group leases real estate (and some minor equipment) for use in operations. These leases generally have lease terms of 1 to 10 years. The Group includes options that are reasonably certain to be exercised as part of the determination of the lease term. The group determines if an arrangement is a lease at inception of the contract in accordance with guidance detailed in IFRS 16. ROU assets represent the Group’s right to use an underlying asset for the lease term and lease liabilities represent the Group's obligation to make lease payments arising from the lease. Operating lease ROU assets and lease liabilities are recognized at commencement date based on the present value of the lease payments over the lease term. As most of the Group's leases do not provide an implicit rate, The Group used its estimated incremental borrowing rate, based on information available at commencement date, in determining the present value of future payments. The Group’s leases are virtually all leases of real estate. The Group has elected to account for lease payments as an expense on a straight-line basis over the life of the lease for: • Leases with a term of 12 months or less and containing no purchase options; and • Leases where the underlying asset has a value of less than $5,000. The right-of-use asset is depreciated on a straight-line basis and the lease liability gives rise to an interest charge. Further information regarding the subleases, right of use asset and lease liability can be found in Note 21. Finance Income and Finance Costs Finance income is comprised of income on funds invested in U.S. treasuries, income on money market funds and income on a finance lease. Financing income is recognized as it is earned. Finance costs comprise mainly of loan, notes and lease liability interest expenses and the changes in the fair value of financial liabilities carried at FVTPL (such changes can consist of finance income when the fair value of such financial liabilities decreases). Taxation Tax on the profit or loss for the year comprises current and deferred income tax. In accordance with IAS 12, tax is recognized in the Consolidated Statements of Comprehensive Income/(Loss) except to the extent that it relates to items recognized directly in equity. Current income tax is the expected tax payable or receivable on the taxable income or loss for the year, using tax rates enacted or substantially enacted at the reporting date, and any adjustment to tax payable in respect of previous years. 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with respect to investments in associates are recognized only to the extent that it is probable the temporary difference will reverse in the foreseeable future and taxable profit will be available against which the temporary difference can be utilised. Deferred tax assets are reviewed at each reporting date and are reduced to the extent that it is no longer probable that the related tax benefit will be realized. Deferred tax is measured at the tax rates that are expected to be applied to temporary differences when they reverse, using tax rates enacted or substantively enacted at the reporting date.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 1. Accounting policies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129"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126 PureTech Health plc Annual report and accounts 2022 Fi na nc ia l s ta te m en ts Fair Value Measurements The Group’s accounting policies require that certain financial assets and certain financial liabilities be measured at their fair value. The Group uses valuation techniques that are appropriate in the circumstances and for which sufficient data are available to measure fair value, maximizing the use of relevant observable inputs and minimizing the use of unobservable inputs. Fair values are categorized into different levels in a fair value hierarchy based on the inputs used in the valuation techniques as follows: • Level 1: quoted prices (unadjusted) in active markets for identical assets or liabilities. • Level 2: inputs other than quoted prices included in Level 1 that are observable for the asset or liability, either directly (i.e. as prices) or indirectly (i.e. derived from prices). • Level 3: inputs for the asset or liability that are not based on observable market data (unobservable inputs). The Group recognizes transfers between levels of the fair value hierarchy at the end of the reporting period during which the change has occurred. The carrying amount of cash and cash equivalents, accounts receivable, restricted cash, deposits, accounts payable, accrued expenses and other current liabilities in the Group’s Consolidated Statements of Financial Position approximates their fair value because of the short maturities of these instruments. Operating Segments Operating segments are reported in a manner that is consistent with the internal reporting provided to the chief operating decision maker (“CODM”). The CODM reviews discrete financial information for the operating segments in order to assess their performance and is responsible for making decisions about resources allocated to the segments. The CODM has been identified as the Group’s Directors. 2. New Standards and Interpretations Not Yet Adopted A number of new standards, interpretations, and amendments to existing standards are effective for annual periods commencing on or after January 1, 2023 and have not been applied in preparing the consolidated financial information. The Company’s assessment of the impact of these new standards and interpretations is set out below. Effective January 1, 2023, the definition of accounting estimates has been amended as an amendment to IAS 8 Accounting Policies, Changes in Accounting Estimates and Errors. The amendments clarify how companies should distinguish changes in accounting policies from changes in accounting estimates. The distinction is important because changes in accounting estimates are applied prospectively only to future transactions and future events, but changes in accounting policies are generally also applied retrospectively to past transactions and other past events. This amendment is not expected to have an impact on the Group's financial statements. Effective January 1, 2023, IAS 1 has been amended to clarify that liabilities are classified as either current or non-current, depending on the rights that exist at the end of the reporting period. Classification is unaffected by the expectations of the entity or events after the reporting date. The Company does not expect this amendment will have a material impact on its financial statements. Effective January 1, 2023, IAS 12 is amended to narrow the scope of the initial recognition exemption (IRE) so that it does not apply to transactions that give rise to equal and offsetting temporary differences. As a result, companies will need to recognise a deferred tax asset and a deferred tax liability for temporary differences arising on initial recognition of a lease and a decommissioning provision. The amendment is not expected to have an impact on the Group's financial statements as the Group has already recognized a deferred tax asset and deferred tax liability that arose on initial recognition of its leases (the Group does not have decommissioning provisions). None of the other new standards, interpretations, and amendments are applicable to the Company’s financial statements and therefore will not have an impact on the Company. Notes to the Consolidated Financial Statements — continued 1. Accounting policies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130"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127 Fi na nc ia l s ta te m en ts 3. Revenue Revenue recorded in the Consolidated Statement of Comprehensive Income/(Loss) consists of the following: For the years ended December 31, 2022 $000s 2021 $000s 2020 $000s Contract revenue 2,090 9,979 8,341 Grant income 13,528 7,409 3,427 Total revenue 15,618 17,388 11,768 All amounts recorded in contract revenue were generated in the United States. For the years ended December 31, 2022, 2021 and 2020 contract revenue includes royalties received from an associate in the amount of $509 thousand, $231 thousand, and $54 thousand, respectively. Primarily all of the Company’s other contracts for the years ended December 31, 2022, 2021 and 2020 were determined to have a single performance obligation which consists of a combined deliverable of license to intellectual property and research and development services (not including the license acquired by Imbrium upon option exercise – see below). Therefore, for such contracts, revenue is recognized over time based on the input method which the Company believes is a faithful depiction of the transfer of goods and services. Progress is measured based on costs incurred to date as compared to total projected costs. Payments for such contracts are primarily made up front on a periodic basis. During the year ended December 31, 2021, the company received a $6.5 million payment from Imbrium Therapeutics, Inc. following the exercise of the option to acquire an exclusive license for the Initial Product Candidate, as defined in the agreement. Since the license transferred was a functional license, revenue from the option exercise was recognized at a point in time upon transfer of the license, which occurred during the year ended December 31, 2021. During the year ended December 31, 2020, the Company received a $2.0 million milestone payment from Karuna Therapeutics, Inc. following initiation of its KarXT Phase 3 clinical study pursuant to the Exclusive Patent License Agreement between PureTech and Karuna. This milestone was recognized as revenue during the year ended December 31, 2020. Disaggregated Revenue The Group disaggregates contract revenue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 Timing of contract revenue recognition For the years ended December 31, 2022 $000s 2021 $000s 2020 $000s Transferred at a point in time – Licensing Income1 527 6,809 2,054 Transferred over time2 1,563 3,171 6,286 2,090 9,979 8,341 1 2022 – Attributed to Non-Controlled Founded Entities segment ( $19 thousand) and to Parent Company and Other ($509 thousand); 2021 – Attributed to the Internal segment ($6,500 thousand), Non-Controlled Founded Entities segment ($74 thousand), and to Parent Company and Other ($235 thousand); 2020 – Attributed to Parent Company and Other. See note 4, Segment information. 2 2022 – Attributed to Controlled Founded Entities segment ($1,500 thousand) and to Non-Controlled Founded Entities segment ($63 thousand ); 2021 – Attributed to Internal segment ($1,629 thousand), Non-Controlled Founded Entities segment ($41 thousand), and to Controlled Founded Entities segment ($1,500 thousand). 2020 – Attributed to Internal segment ($5,297 thousand), Controlled Founded Entities segment ($896 thousand), and to Non-Controlled Founded Entities segment ($93 thousand). See Note 4, Segment Information.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31"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128 PureTech Health plc Annual report and accounts 2022 Fi na nc ia l s ta te m en ts Customers over 10% of revenue 2022 $000s 2021 $000s 2020 $000s Customer A — — 1,518 Customer B 1,500 1,500 896 Customer C — — 2,043 Customer D — 7,250 1,736 Customer E — — 2,000 Customer F 509 — — 2,009 8,750 8,193 Accounts receivables represent rights to consideration in exchange for products or services that have been transferred by the Group, when payment is unconditional and only the passage of time is required before payment is due. Accounts receivables do not bear interest and are recorded at the invoiced amount. Accounts receivable are included within Trade and other receivables on the Consolidated Statement of Financial Position. Contract liabilities represent the Group’s obligation to transfer products or services to a customer for which consideration has been received, or for which an amount of consideration is due from the customer. Contract liabilities are included within deferred revenue on the Consolidated Statement of Financial Position. Contract Balances 2022 $000s 2021 $000s Accounts receivable 606 704 Deferred revenue – short term — 65 During the year ended December 31, 2022, $65 thousand of revenue was recognized from deferred revenue outstanding at December 31, 2021. Remaining performance obligations represent the transaction price of unsatisfied or partially satisfied performance obligations within contracts with an original expected contract term that is greater than one year and for which fulfillment of the contract has started as of the end of the reporting period. The aggregate amount of transaction consideration allocated to remaining performance obligations as of December 31, 2022, was nil. As of December 31, 2022 the deferred revenue balance related entirely to deferred grant income. Notes to the Consolidated Financial Statements — continued 3. Revenue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132"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129 Fi na nc ia l s ta te m en ts 4. Segment Information Basis for Segmentation The Directors are the Group’s strategic decision-makers. The Group’s operating segments are reported based on the financial information provided to the Directors periodically for the purposes of allocating resources and assessing performance. The Group has determined that each entity is representative of a single operating segment as the Directors monitor the financial results at this level. When identifying the reportable segments the Group has determined that it is appropriate to aggregate multiple operating segments into a single reportable segment given the high level of operational and financial similarities across the entities. The Group has identified multiple reportable segments as presented below. There was no change to reportable segments in 2022, except for the transfer of Sonde Health, Inc. to the Non-Controlled Founded Entities segment due to the deconsolidation of Sonde Health, Inc (Sonde) on May 25, 2022. The Non-Controlled Founded Entities segment includes Sonde Health, Inc. which was deconsolidated on May 25, 2022. Segment results incorporate the operational results of Sonde Health, Inc. to the date of deconsolidation. Following the date of deconsolidation, the Company accounts for its investment in Sonde Health, Inc. at the parent level, and therefore the results associated with investment activity following the date of deconsolidation (including the Group's share in Sonde losses) is included in the Parent Company and Other section. The Company has revised in these financial statements the prior year financial information to conform to the presentation as of and for the year ending December 31, 2022 to include Sonde in the Non-Controlled Founded Entities segment. The change in segments reflects how the Company’s Board of Directors reviews the Group’s results, allocates resources and assesses performance of the Group at this time. Virtually all of the revenue and profit generating activities of the Group are generated within the United States and accordingly, no geographical disclosures are provided. Internal The Internal segment (the “Internal segment”), is advancing Wholly Owned Programs which are focused on treatments for patients with devastating diseases. The Internal segment is comprised of the technologies that are wholly owned and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2022, this segment included PureTech LYT, PureTech LYT- 100 and Alivio Therapeutics, Inc. Controlled Founded Entities The Controlled Founded Entity segment (the “Controlled Founded Entity segment”) is comprised of the Group’s subsidiaries that are currently consolidated operational subsidiaries that either have, or have plans to hire, independent management teams and currently have already raised third-party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company. As of December 31, 2022, this segment included Entrega Inc., Follica Incorporated, and Vedanta Biosciences, Inc. Non-Controlled Founded Entities The Non-Controlled Founded Entities segment (the “Non-Controlled Founded Entities segment”) is comprised of the entities in respect of which PureTech Health no longer has control over the entity. Upon deconsolidation of an entity the segment disclosure is restated to reflect the change on a retrospective basis, as this constitutes a change in the composition of its reportable segments. The Non-Controlled Founded Entities segment includes Sonde Health Inc. which was deconsolidated on May 25, 2022. The Non-Controlled Founded Entities segment incorporates the operational results of the aforementioned entity to the date of deconsolidation. Following the date of deconsolidation, the Company accounts for its investment in each entity at the parent level, and therefore the results associated with investment activity (including the recognition of equity method income/ (losses)) following the date of deconsolidation is included in the Parent Company and Other section. Parent Company and Other Parent Company and Other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Intercompany transactions between segments consist primarily of management fees charged from the Parent Company to the other segments. This section also captures the accounting for the Company’s holdings in entities for which control has been lost, which is inclusive of the following items: gain on deconsolidation, gain or loss on investments held at fair value, realized loss on sale of investments, the share of net income/ (loss) of associates accounted for using the equity method, gain on dilution of ownership interest in associate, impairment of investment in associate. As of December 31, 2022, this segment included PureTech Health plc, PureTech Health LLC, PureTech Management, Inc., PureTech Securities Corp. and PureTech Securities II Corp., as well as certain other dormant, inactive and shell entities.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33"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130 PureTech Health plc Annual report and accounts 2022 Fi na nc ia l s ta te m en ts Information About Reportable Segments: 2022 Internal $000s Controlled Founded Entities $000s Non-Controlled Founded Entities $000s Parent Company &amp; Other $000s Consolidated $000s Consolidated Statements of Comprehensive Income/(Loss) Contract revenue — 1,500 81 509 2,090 Grant revenue 2,826 10,702 — — 13,528 Total revenue 2,826 12,202 81 509 15,618 General and administrative expenses (8,301) (16,462) (1,296) (34,933) (60,991) Research and development expenses (116,054) (34,668) (826) (885) (152,433) Total operating expense (124,355) (51,130) (2,122) (35,817) (213,425) Other income/(expense): Gain on deconsolidation of subsidiary — — — 27,251 27,251 Gain/(loss) on investment held at fair value — — — (32,060) (32,060) Realized loss on sale of investments — — — (29,303) (29,303) Other income/(expense) (204) (3) — 8,338 8,131 Total other income/(expense) (204) (3) — (25,775) (25,981) Net finance income/(costs) 615 138,006 (3,045) 3,348 138,924 Share of net income/(loss) of associates accounted for using the equity method — — — (27,749) (27,749) Gain on dilution of ownership interest in associate — — — 28,220 28,220 Impairment of investment in associate — — — (8,390) (8,390) Income/(loss) before taxes (121,118) 99,075 (5,085) (65,655) (92,783) Income/(loss) before taxes pre IFRS 9 fair value accounting, share-based payment expense, depreciation of tangible assets and amortization of intangible assets (114,255) (32,468) (2,079) (57,452) (206,254) Finance income/(costs) – IFRS 9 fair value accounting — 140,056 (2,993) — 137,063 Share-based payment expense (5,136) (4,703) (8) (4,852) (14,699) Depreciation of tangible assets (1,727) (2,526) (4) (1,588) (5,845) Amortization of ROU assets — (1,283) — (1,764) (3,047) Amortization of intangible assets — — (1) — (1) Taxation — — — 55,719 55,719 Income/(loss) for the year (121,118) 99,075 (5,085) (9,936) (37,065) Other comprehensive income/(loss) — — — (379) (379) Total comprehensive income/(loss) for the year (121,118) 99,075 (5,085) (10,316) (37,444) Total comprehensive income/(loss) attributable to: Owners of the Company (121,118) 85,471 (4,755) (10,331) (50,733) Non-controlling interests — 13,604 (330) 15 13,290 December 31, 2022 $000s Consolidated Statements of Financial Position: Total assets 51,599 35,341 — 615,707 702,647 Total liabilities1 271,186 76,635 — (192,763) 155,057 Net assets/(liabilities) (219,587) (41,294) — 808,470 547,589 1 Parent Company and Other Includes eliminations of intercompany liabilities between the Parent Company and the reportable segments in the amount of $255.5 million. 4. Segment Information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134"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131 Fi na nc ia l s ta te m en ts 2021 Internal $000s Controlled Founded Entities $000s Non-Controlled Founded Entities $000s Parent Company &amp; Other $000s Consolidated $000s Consolidated Statements of Comprehensive Income/(Loss) Contract revenue 8,129 1,500 115 235 9,979 Grant revenue 1,253 6,156 — — 7,409 Total revenue 9,382 7,656 115 235 17,388 General and administrative expenses (8,673) (17,504) (3,225) (27,797) (57,199) Research and development expenses (65,444) (40,667) (3,116) (1,244) (110,471) Total Operating expenses (74,118) (58,171) (6,341) (29,041) (167,671) Other income/(expense): Gain/(loss) on investment held at fair value — — — 179,316 179,316 Realized loss on sale of investments — — — (20,925) (20,925) Other income/(expense) — 70 — 1,523 1,593 Total other income/(expense) (1) 70 — 159,914 159,983 Net finance income/(costs) (16) 7,528 (784) (1,679) 5,050 Share of net income/(loss) of associate accounted for using the equity method — — — (73,703) (73,703) Income/(loss) before taxes (64,753) (42,917) (7,010) 55,727 (58,953) (Loss)/income before taxes pre IFRS 9 fair value accounting, finance costs – subsidiary preferred shares, share-based payment expense, depreciation of tangible assets and amortization of intangible assets (60,368) (44,335) (6,248) 63,628 (47,323) Finance income/(costs) – IFRS 9 fair value accounting — 10,322 (716) — 9,606 Share-based payment expense (3,066) (6,224) (32) (4,628) (13,950) Depreciation of tangible assets (1,319) (1,506) (12) (1,510) (4,347) Amortization of ROU assets — (1,174) — (1,764) (2,938) Amortization of intangible assets — — (2) — (2) Taxation — — — (3,756) (3,756) Income/(loss) for the year (64,753) (42,917) (7,010) 51,971 (62,709) Other comprehensive income/(loss) — — — — — Total comprehensive income/(loss) for the year (64,753) (42,917) (7,010) 51,971 (62,709) Total comprehensive income/(loss) attributable to: Owners of the Company (64,657) (41,283) (6,574) 51,956 (60,558) Non-controlling interests (96) (1,634) (436) 15 (2,151) December 31, 2021 $000s Consolidated Statements of Financial Position: Total assets 125,726 64,508 1,765 754,007 946,006 Total liabilities1 228,789 209,212 19,645 (95,787) 361,859 Net (liabilities)/assets (103,063) (144,704) (17,880) 849,794 584,147 1 Parent Company and Other Includes eliminations of intercompany liabilities between the Parent Company and the reportable segments in the amount of $233.3 million. The proportion of net assets shown above that is attributable to non-controlling interest is disclosed in Note 18. Notes to the Consolidated Financial Statements — continued 4. Segment Information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135"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132 PureTech Health plc Annual report and accounts 2022 Fi na nc ia l s ta te m en ts 2020 Internal $000s Controlled Founded Entities $000s Non-Controlled Founded Entities $000s Parent Company &amp; Other $000s Consolidated $000s Consolidated Statements of Comprehensive Loss Contract revenue 5,297 896 93 2,054 8,341 Grant revenue 1,563 1,864 — — 3,427 Total revenue 6,860 2,760 93 2,054 11,768 General and administrative expenses (3,482) (10,752) (2,939) (32,267) (49,440) Research and development expenses (45,346) (33,152) (3,128) (234) (81,859) Total operating expense (48,828) (43,904) (6,067) (32,500) (131,299) Other income/(expense): Gain/(loss) on investment held at fair value — — — 232,674 232,674 Realized loss on sale of investments — — — (54,976) (54,976) Gain/(loss) on disposal of assets (15) (15) — — (30) Other income/(expense) — 100 — 965 1,065 Other income/(expense) (15) 85 — 178,662 178,732 Net finance income/(costs) 19 (4,352) (852) (930) (6,115) Share of net income/(loss) of associate accounted for using the equity method — — — (34,117) (34,117) Income/(loss) before taxes (41,964) (45,410) (6,826) 113,170 18,969 (Loss)/income before taxes pre IAS 39 fair value accounting, finance costs – subsidiary preferred shares, share-based payment expense, depreciation of tangible assets and amortization of intangible assets (38,349) (36,736) (5,866) 121,644 40,694 Finance income/(costs) – IFRS 9 fair value accounting — (3,492) (859) — (4,351) Share-based payment expense (2,762) (2,469) (83) (5,405) (10,718) Depreciation of tangible assets (854) (1,528) (17) (1,547) (3,945) Amortization of ROU assets — (1,186) — (1,523) (2,709) Amortization of intangible assets — — (1) — (1) Taxation — (1) — (14,400) (14,401) Income/(loss) for the year (41,964) (45,411) (6,826) 98,769 4,568 Other comprehensive income/(loss) — — — 469 469 Total comprehensive income/(loss) for the year (41,964) (45,411) (6,826) 99,238 5,037 Total comprehensive income/(loss) attributable to: Owners of the Company (41,773) (44,506) (6,519) 99,253 6,454 Non-controlling interests (191) (905) (306) (15) (1,417) Notes to the Consolidated Financial Statements — continued 4. Segment Information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36"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133 Fi na nc ia l s ta te m en ts 5. Investments held at fair value Investments held at fair value include both unlisted and listed securities held by PureTech. These investments, which include interests in Akili, Vor, Karuna, Gelesis (preferred shares until exchanged for common stock, accounted for under the equity method, and Earn-out shares following exchange), Sonde and other insignificant investments, are initially measured at fair value and are subsequently re-measured at fair value at each reporting date with changes in the fair value recorded through profit and loss. Interests in these investments were accounted for as shown below: Investments held at fair value $000's Balance as of January 1, 2021 553,167 Sale of Karuna shares (218,125) Loss realised on sale of investments (20,925) Cash purchase of Vor preferred shares 500 Gain – change in fair value through profit and loss 179,271 Balance as of December 31, 2021 and January 1, 2022 before allocation of share in associate loss to long-term interest* 493,888 Investment in Sonde Preferred shares – Sonde deconsolidation 11,168 Sale of Karuna and Vor shares (118,710) Loss realised on sale of investments as a result of written call option (29,303) Cash Investment (Akili) 5,000 Gelesis Earn out shares received in SPAC exchange 14,214 Exchange of Gelesis preferred shares to Gelesis common shares (92,303) Loss – change in fair value through profit and loss (32,060) Balance as of December 31, 2022  251,892 * Share in associate losses allocated to long-term interest amounted to $96.7 million as of December 31, 2021 and January 1, 2022 Vor Vor was deconsolidated in February 2019. As PureTech did not hold common shares in Vor upon deconsolidation and the preferred shares it held did not have equity-like features, PureTech had no basis to account for its investment in Vor under IAS 28. The preferred shares held by PureTech fell under the guidance of IFRS 9 and were treated as a financial asset held at fair value with changes in fair value recorded in the Consolidated Statement of Comprehensive Income/(Loss). 2020 On February 12, 2020, PureTech participated in the second closing of Vor’s Series A-2 Preferred Share financing. For consideration of $0.7 million, PureTech received 1,625,000 A-2 shares. On June 30, 2020, PureTech participated in the first closing of Vor’s Series B Preferred Share financing. For consideration of $0.5 million, PureTech received 961,538 shares. Upon the conclusion of such Vor financings PureTech no longer had significant influence over Vor. 2021 On January 8, 2021, PureTech participated in the second closing of Vor’s Series B Preferred Share financing. For consideration of $0.5 million, PureTech received an additional 961,538 B Preferred shares. On February 9, 2021, Vor closed its initial public offering (IPO) of 9,828,017 shares of its common stock at a price to the public of $18.00 per share. Subsequent to the closing, PureTech held 3,207,200 shares of Vor common stock, representing 8.6 percent of Vor common stock. Following its IPO, the valuation of Vor common stock is based on level 1 inputs in the fair value hierarchy. See Note 16. 2022 In August and December 2022, PureTech sold an aggregate of 535,400 shares of Vor common shares for aggregate proceeds of $3.3 million. During the years ended December 31, 2022, 2021 and 2020, the Company recognized a loss of $16.2 million, a gain of $3.9 million, and a gain of $19.1 million, respectively for the changes in the fair value of the investment that were recorded in the line item Gain/(loss) on investments held at fair value within the Consolidated Statement of Comprehensive Income/(Loss). Please refer to Note 16 for information regarding the valuation of these instruments.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137"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134 PureTech Health plc Annual report and accounts 2022 Fi na nc ia l s ta te m en ts Gelesis Gelesis was deconsolidated in July 2019. The common stock held in Gelesis is accounted for under the equity method, while the preferred shares and warrants held by PureTech fell under the guidance of IFRS 9 and were treated as financial assets held at fair value, where changes to the fair value of the preferred shares and warrant were recorded through the Consolidated Statement of Income/(Loss). Please refer to Note 6 for information regarding the Company's investment in Gelesis as an associate. 2020 On April 1, 2020, PureTech participated in the 2nd closing of Gelesis’s Series 3 Growth Preferred Share financing. For consideration of $10.0 million, PureTech received 579,038 Series 3 Growth shares. 2020 and 2021 During the years ended December 31, 2021 and 2020, due to the equity method based investment in Gelesis being reduced to zero, the Group allocated a portion of its share in the net loss in Gelesis in the years ended December 31, 2021 and 2020, totaling $73.7 million, and $23.0 million, respectively, to its preferred share and warrant investments in Gelesis, which were considered to be long-term interests in Gelesis. 2022 On January 13, 2022, Gelesis completed its business combination with Capstar Special Purpose Acquisition Corp ("Capstar"). As part of the business combination, all shares in Gelesis, common and preferred, including the shares held by PureTech, were exchanged for common shares of the merged entity and unvested common shares that will vest upon the stock price of the new combined entity reaching certain target prices (hereinafter "Earn-out shares"). In addition, PureTech invested $15.0 million in the class A common shares of Capstar as part of the Private Investment in Public Equity ("PIPE") transaction that took place immediately prior to the closing of the business combination and an additional approximately $5.0 million, as part of the Backstop agreement signed with Capstar on December 30, 2021 (See Note 6). Pursuant to the business combination, Gelesis became a wholly-owned subsidiary of Capstar and Capstar changed its name to Gelesis Holdings, Inc., which began trading on the New York Stock Exchange under the ticker symbol "GLS" on January 14, 2022. The exchange of the preferred stock (including warrants) for common stock (including common stock warrants) represents an additional investment in Gelesis equity investment. The Group recorded the changes in fair value of the preferred stock (including warrant) through the date of the exchange upon which the preferred stock were derecognized and recorded as an additional investment in Gelesis equity interest – See Note 6 for the net gain on the dilution of the equity interest in Gelesis, resulting from the exchange of all preferred stock in Gelesis to common stock of Gelesis Holdings Inc, the PIPE transaction and the closing of the merger. All equity method losses allocated in prior periods against the investment in Gelesis held at fair value are now included within the equity method investment in Gelesis and were offset against the gain on dilution of interest – see Note 6. As part of the aforementioned exchange PureTech received 4,526,622 Earn-out shares, which were valued on the date of the exchange at $14.2 million. The Group accounts for such Earn-out shares under IFRS 9 as investments held at fair value with changes in fair value recorded through profit and loss. During the years ended December 31, 2022, 2021 and 2020, the Company recognized a loss of $4.4 million, a gain of $34.6 million, and a gain of $7.1 million, respectively related to the change in the fair value of the preferred shares and warrants that was recorded in the line item Gain/(loss) on investments held at fair value within the Consolidated Statement of Comprehensive Income/(Loss). In addition, the Company recognized a loss of $14.1 million during the year ended December 31, 2022 in respect of the Earn- out shares, for the change in the fair value related to such investment during the period. As of December 31, 2022 the value of such earn-out shares amounted to $0.1 million. Karuna Karuna was deconsolidated in March 2019. During 2019 Karuna completed its IPO and PureTech lost its significant influence in Karuna. The shares held in Karuna are accounted for as an investment held at fair value. 2020 On January 22, 2020, PureTech sold 2,100,000 shares of Karuna common shares for aggregate proceeds of $200.9 million. On May 26, 2020, PureTech sold an additional 555,500 Karuna common shares for aggregate proceeds of $45.0 million. On August 26, 2020, PureTech sold 1,333,333 common shares of Karuna for aggregate proceeds of $101.6 million. As a result of the sales, Puretech recorded a loss of $54.8 million attributable to blockage discount included in the sales price, to the line item Loss Realized on Sale of Investment within the Consolidated Statement of Comprehensive Income/(Loss). See below for gain recorded in respect of the change in fair value of the Karuna investment. 2021 On February 9, 2021, the Group sold 1,000,000 common shares of Karuna for $118.0 million. Following the sale the Group held 2,406,564 common shares of Karuna, which represented 8.2 percent of Karuna common stock at the time of sale. On November 9, 2021, the group sold an additional 750,000 common shares of Karuna for $100.1 million. Following the sale the group holds 1,656,564 common shares of Karuna, which represented 5.6 percent at time of sale. As a result of the aforementioned sales, the Company recorded a loss of $20.9 million, attributable to blockage discount included in the sales price, to the line item Loss Realised on Sale of Investment within the Consolidated Statement of Comprehensive Income/ (Loss). See below for gain recorded in respect of the change in fair value of the Karuna investment. 5. Investments held at fair value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138"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135 Fi na nc ia l s ta te m en ts 2022 On August 8, 2022, the Company sold 125,000 shares of Karuna common stock. In addition, the Company wrote a series of call options entitling the holders thereof to purchase up to 477,100 Karuna common stock at a set price, which were exercised in full in August and September 2022. Aggregate proceeds to the Company from all aforementioned transactions amounted to $115.5 million, net of transaction fees. As a result of the aforementioned sales, the Company recorded a loss of $29.3 million, attributable to the exercise of the aforementioned call options, to the line item Realized Loss on Sale of Investment within the Consolidated Statement of Comprehensive Income/ (Loss).See below for gain recorded in respect of the change in fair value of the Karuna investment. During the years ended December 31, 2022, 2021, and 2020 the Company recognized gains of $135.0 million, $110.0 million and $191.2 million, respectively for the changes in the fair value of the Karuna investment that were recorded in the line item Gain/(loss) on investments held at fair value within the Consolidated Statement of Comprehensive Income/(Loss). As of December 31, 2022, PureTech continued to hold Karuna common shares or 3.1 percent of total outstanding Karuna common shares. Please refer to Note 16 for information regarding the valuation of these instruments. Akili Akili was deconsolidated in 2018. As PureTech did not hold common shares in Akili and the preferred shares it held did not have equity-like features, PureTech had no basis to account for its investment in Akili under IAS 28. The preferred shares held by PureTech Health fell under the guidance of IFRS 9 and were treated as a financial asset held at fair value and all movements to the value of the preferred shares were recorded through the Consolidated Statements of Comprehensive Income/(Loss), in accordance with IFRS 9. 2021 On May 25, 2021, Akili completed its Series D financing for gross proceeds of $110.0 million in which Akili issued 13,053,508 Series D preferred shares. The Group did not participate in this round of financing and as a result, the Group's interest in Akili was reduced from 41.9 percent to 27.5 percent. 2022 On January 26, 2022, Akili Interactive and Social Capital Suvretta Holdings Corp. I, a special purpose acquisition company, announced they had entered into a definitive business combination agreement. The transaction closed on August 19, 2022 and the combined company's securities began trading on August 22, 2022 on the Nasdaq Stock Market under the ticker symbol "AKLI". As part of this transaction the Akili Interactive shares held by the Company were exchanged for the common stock of the combined company's securities as well as unvested common stock ("Akili Earnout Shares") that will vest when the share price exceeds certain thresholds. In addition, as part of a PIPE transaction that took place concurrently with the closing of the transaction, the Company purchased 500,000 shares in consideration for $5.0 million. Following the closing of the aforementioned transactions, the Company holds 12,527,477 shares of the combined entity (excluding the Akili Earnout Shares), which represents 14.7 percent of its outstanding common stock. The Company also holds 1,433,914 Akili Earn-out Shares, which fair value amounted to $1.0 million as of December 31, 2022. During the years ended December 31, 2022, 2021 and 2020, the Company recognized a loss of $131.4 million, a gain of $32.2 million, and a gain of $14.4 million, respectively for the changes in the fair value of the investment in Akili that was recorded on the line item Gain/(loss) on investments held at fair value within the Consolidated Statement of Comprehensive Income/(Loss). Please refer to Note 16 for information regarding the valuation of these instruments. resTORbio On April 30, 2020, PureTech sold its remaining 2,119,696 resTORbio common shares, for aggregate proceeds of $3.0 million. As a result of the sale, the Company recorded a loss of $0.2 million attributable to blockage discount included in the sales price, to the line item Loss realized on sale of investments within the Consolidated Statement of Comprehensive Income/(Loss). Additionally, during the year ended December 31, 2020, the Company recognized a gain of $0.1 million that was recorded on the line item Gain/(loss) on investments held at fair value within the Consolidated Statement of Comprehensive Income/(Loss). Sonde – Investment and gain on deconsolidation On May 25, 2022, Sonde completed a Series B Preferred Share financing. As part of the financing a new investor invested $3.5 million in cash in exchange for 1,125,401 shares and all convertible notes, including the convertible notes held by PureTech, converted into Preferred B shares at the price per share paid by the investor minus a 20% discount. As a result of the aforementioned financing, the Group's voting interest was reduced below 50% and the Group no longer controls Sonde's Board of Directors, which is the governance body that has the power to direct the relevant activities of Sonde. Consequently, the Group concluded it lost control over Sonde and as such it should cease to consolidate Sonde on the date the round of financing was completed. Therefore, the results of operations of Sonde are included in the consolidated financial statements through the date of deconsolidation. Notes to the Consolidated Financial Statements — continued 5. Investments held at fair value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139"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136 PureTech Health plc Annual report and accounts 2022 Fi na nc ia l s ta te m en ts Following deconsolidation, the Group still has significant influence in Sonde through its voting interest in Sonde and its remaining representation on Sonde's Board of Directors.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 with changes in fair value recorded in profit and loss. Upon deconsolidation, the Group derecognized its assets and liabilities and non controlling interest in respect of Sonde and recorded its aforementioned investments in Sonde at fair value. The deconsolidation resulted in a gain of $27.3 million. As of the date of deconsolidation, the investment in Sonde preferred shares held at fair value amounted to $11.2 million. During the year ended December 31, 2022, the Company recognized a gain of $0.2 million for the changes in the fair value of the investment in Sonde that was recorded on the line item Gain/(loss) on investments held at fair value within the Consolidated Statement of Comprehensive Income/(Loss). Please refer to Note 16 for information regarding the valuation of these instruments. 6. Investments in Associates Gelesis Gelesis was founded by PureTech and raised funding through preferred shares financings as well as issuances of warrants and loans. As of July 1, 2019, Gelesis was deconsolidated from the Group’s financial statements. While the Group no longer controls Gelesis, it was concluded that PureTech still has significant influence over Gelesis and as such Gelesis is accounted for as an associate under IAS 28 in the consolidated financial statements. Upon the date of deconsolidation, PureTech held preferred shares and common shares of Gelesis and warrants issued by Gelesis to PureTech. PureTech’s investment in common shares of Gelesis is subject to equity method accounting. See table below for the Group's share in the profits and losses of Gelesis for the periods presented. The preferred shares and warrants held by PureTech fell under the guidance of IFRS 9 and were treated as financial assets held at fair value, where changes to the fair value of the preferred shares and warrants were recorded through the Consolidated Statement of Comprehensive Income/(Loss). See Note 5 above. Years ended December 31, 2020 and 2021 During the years ended December 31, 2021 and 2020, the Group recorded its share in the losses of Gelesis. In 2020 the Group's investment in associates accounted for under the equity method was reduced to zero. Since the Group had investments in Gelesis warrants and preferred shares that were deemed to be Long-term interests, the Company continued recognizing its share in Gelesis losses while applying such losses to its preferred share and warrant investment in Gelesis accounted for as an investment held at fair value. In 2021, the total investment in Gelesis, including the Long-term interests, was reduced to zero. Since the Group did not incur legal or constructive obligations or made payments on behalf of Gelesis, the Group discontinued recognizing equity method losses in 2021. As of December 31, 2021, unrecognized equity method losses amounted to $38.1 million, which included $0.7 million of unrecognized other comprehensive loss. During 2021, due to exercise of stock options into common shares in Gelesis the Group's equity interest in Gelesis was reduced from 47.9 percent at December 31, 2020 to 42.0 percent as of December 31, 2021. The gain resulting from the issuance of shares to third parties and the resulting reduction in the Group's share in the accumulated deficit of Gelesis under the equity method was fully offset by the unrecognized equity method losses. Backstop agreement – 2022 and 2021 On December 30, 2021, PureTech signed a Backstop agreement with Capstar according to which PureTech had committed to acquire Capstar class A common shares immediately prior to the closing of the business combination between Gelesis and Capstar, in case subsequent to the redemptions of Capstar shares being completed, the Available Funds, as defined in the agreement, were less than$15.0 million. PureTech had committed to acquire two thirds of the necessary shares at $10 per share so that the Available Funds increase to $15.0 million. According to the Backstop agreement, in case PureTech were required to acquire any shares under the agreement, PureTech would receive an additional 1,322,500 class A common shares of Capstar (immediately prior to the closing of the business combination) at no additional consideration. The Company determined that such agreement meets the definition of a derivative under IFRS 9 and as such should be recorded at fair value with changes in fair value recorded through profit and loss. The derivative was initially recorded at fair value adjusted to defer the day 1 gain equal to the difference between the fair value of $11.2 million and transaction price of zero on the effective date and as such was initially recorded at zero. The deferred gain was amortized to Other income (expense) in the Consolidated Statement of Income (loss) over the period from the effective date until settlement date, January 13, 2022. During the years ended December 31, 2022 and 2021, the Group recognized income of $10.4 million and $0.8 million, respectively for the amortization of the deferred gain. During the year ended December 31, 2022 the Group recognized a loss of $2.8 million in respect of the decrease in the fair value of the derivative until date of settlement, resulting in a net gain of $7.6 million recorded during the year ended December 31, 2022 in respect of the Backstop agreement. The gain was recorded in the line item Other Income/(expense) in the Consolidated Statements of Comprehensive Income/(Loss). Notes to the Consolidated Financial Statements — continued 5. Investments held at fair value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140" descr=""/>
                    <pic:cNvPicPr>
                      <a:picLocks noChangeAspect="1" noChangeArrowheads="1"/>
                    </pic:cNvPicPr>
                  </pic:nvPicPr>
                  <pic:blipFill>
                    <a:blip r:embed="rId17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137 Fi na nc ia l s ta te m en ts The fair value of the derivative on the date of settlement in the amount of $8.4 million represents an additional investment in Gelesis as part of the SPAC transaction described below. On January 13, 2022, as part of the conclusion of the aforementioned Backstop agreement, the Group acquired 496,145 class A common shares of Capstar for $5.0 million and received an additional 1,322,500 common A shares of Capstar for no additional consideration. 2022 Share exchange – Capstar On January 13, 2022, Gelesis completed its business combination with Capstar Special Purpose Acquisition Corp ("Capstar"). As part of the business combination, all shares in Gelesis, common and preferred, including the shares held by PureTech, were exchanged for common shares of the merged entity and unvested common shares that will vest upon the stock price of the new combined entity reaching certain target prices (hereinafter "Earn-out shares"). In addition, PureTech invested $15.0 million in the class A common shares of Capstar as part of the PIPE transaction that took place immediately prior to the closing of the business combination and an additional $5.0 million, as part of the Backstop agreement described above. Pursuant to the business combination, Gelesis became a wholly-owned subsidiary of Capstar and Capstar changed its name to Gelesis Holdings, Inc., which began trading on the New York Stock Exchange under the ticker symbol "GLS" on January 14, 2022. Following the closing of the business combination, the PIPE transaction, the settlement of the aforementioned Backstop agreement with Capstar, and the exchange of all preferred shares in Gelesis to common shares in the new combined entity, PureTech holds 16,727,582 common shares of Gelesis Holdings Inc., which was equal to approximately 23.2% of Gelesis Holdings Inc's outstanding common shares at the time of the exchange. Due to PureTech's significant equity holding and voting interest in Gelesis, PureTech continues to maintain significant influence in Gelesis and as such continues to account for its Gelesis equity investment under the equity method. Gelesis was deemed to be the acquirer in Gelesis Holdings Inc. and the financial assets and financial liabilities in Capstar were deemed to be acquired by Gelesis in consideration for the shares held by Capstar legacy shareholders. As such, the Group did not revalue the retained investment in Gelesis but rather treated the exchange as a dilution of its equity interest in Gelesis from 42.0 percent as of December 31, 2021 to 22.8 percent as of January 13, 2022 (including warrants that provide its holders access to returns associated with equity holders). After considering the aforementioned additional investments, the exchange of the preferred stock, previously accounted for as an investment held at fair value, to common stock (and representing an additional equity investment in Gelesis – See Note 5), the Earn-out shares received in Gelesis (see Note 5) and the offset of previously unrecognized equity method losses, the net gain recorded on the dilution of interest amounted to $28.3 million. Impairment Following Gelesis’s decline in its market price in 2022 and its lack of liquidity, the Group recorded an impairment loss of $8.4 million as of December 31, 2022 in respect of its investment in Gelesis. The recoverable amount of the investment in Gelesis was $4.9 million as of December 31, 2022, which was determined based on fair value less costs to sell (costs to sell were estimated to be insignificant). Fair value was determined based on level 1 of the fair value hierarchy as Gelesis shares were traded on an active market as of December 31, 2022. The impairment loss was presented separately in the Consolidated Statement of Comprehensive Income/ (loss) for the year ended December 31, 2022 in the line item Impairment of investment in associate. Sonde On May 25, 2022, Sonde completed a Series B Preferred Share financing. As a result of the aforementioned financing, the Group's voting interest was reduced below 50% and the Group lost its control over Sonde and as such ceased to consolidate Sonde on the date the round of financing was completed. See Note 5 above for further details. Following deconsolidation, the Group has significant influence in Sonde through its voting interest in Sonde and its remaining representation on Sonde's Board of Directors. The Group's voting interest at date of deconsolidation and as of December 31, 2022 was 48.2% and 40.17%, respectively.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 See Note 5. The fair value of the Preferred A-1 shares on the date of deconsolidation amounted to $7.7 million, which is the initial value of the equity method investment in Sonde. When applying the equity method, the Group records its share of the losses in Sonde based on its equity interest in Sonde. Since only the common shares and Preferred A-1 shares in Sonde represent a residual equity interest and PureTech is the sole holder of the Preferred A-1 shares, the Group's share in Sonde's equity is 93.6%. During the year ended December 31, 2022 the Company recorded $3.4 million of equity method losses in respect of Sonde. 6. Investments in Associates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141"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138 PureTech Health plc Annual report and accounts 2022 Fi na nc ia l s ta te m en ts The following table summarizes the activity related to the investment in associates balance for the years ended December 31, 2022 and 2021. Investment in Associates $000's As of January 1, 2021 — Share of net loss in Gelesis – limited to net investment amount (73,703) Share of losses recorded against Long Term Interests (LTIs) 73,703 As of December 31, 2021 and January 1, 2022 — Cash investment in associate 19,961 Additional investment as a result of backstop settlement (see above) 8,424 Gain on dilution of interest in associate* 13,793 Investment in Sonde – deconsolidation 7,680 Share in net loss of associates (27,749) Reversal of equity method losses recorded against LTIs (due to decrease in LTI fair value) (4,406) Share in other comprehensive loss of associates (166) Impairment (8,390) As of December 31, 2022 9,147 * Gain on dilution of interest was further increased due to the receipt of Gelesis earn out shares accounted for as investments held at fair value (see above). Summarized financial information The following table summarizes the financial information of Gelesis as included in its own financial statements, adjusted for fair value adjustments at deconsolidation and differences in accounting policies. The table also reconciles the summarized financial information to the carrying amount of the Company’s interest in Gelesis. 2022 $000s 2021 $000sAs of and for the year ended December 31, Percentage ownership interest 22.5% 42.0% Non-current assets 333,040 357,508 Current assets 23,495 66,092 Non-current liabilities (99,053) (120,786) Current liabilities (80,010) (537,432) Non controlling interests and options issued to third parties (46,204) (14,216) Net assets (deficit) attributable to shareholders of Gelesis Inc. 131,268 (248,834) Group's share of net assets (net deficit) 29,504 (104,527) Goodwill 3,858 7,211 Impairment (28,452) (37,495) Equity method losses recorded against Long-term Interests — 96,709 Unrecognized equity method losses* — 38,101 Investment in associate 4,910 — 2022 $000s 2021 $000s 2020 $000s Revenue 25,767 11,185 21,442 Loss from continuing operations (100%) (111,567) (271,430) (71,157) Total comprehensive loss (100%) (112,285) (273,005) (70,178) Group's share in net losses – limited to net investment amount** (24,306) (73,703) (34,117) Group's share of total comprehensive loss – limited to net investment amount (24,472) (73,703) (33,648) * Unrecognized equity method losses includes unrecognized other comprehensive loss of $0.7 million for the year ended December 31, 2021. ** For the year ended December 31, 2022 includes $4.4 million reversal of equity method losses recorded against Long-Term Interest (LTI) due to the decrease in fair value of such LTI. 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In addition, in April 2023 (subsequent to balance sheet date)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See note 16 for the note issued to the Group by Gelesis and see Note 26 for additional details, including information related to an additional note issued by Gelesis to the Group subsequent to balance sheet date. Notes to the Consolidated Financial Statements — continued 6. Investments in Associates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142"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139 Fi na nc ia l s ta te m en ts 7. Operating Expenses Total operating expenses were as follows: For the years ending December 31, 2022 $000s 2021 $000s 2020 $000s General and administrative 60,991 57,199 49,440 Research and development 152,433 110,471 81,859 Total operating expenses 213,425 167,671 131,299 The average number of persons employed by the Group during the year, analyzed by category, was as follows: For the years ending December 31, 2022 2021 2020 General and administrative 57 52 43 Research and development 144 119 95 Total 201 171 138 The aggregate payroll costs of these persons were as follows: 2022 $000s 2021 $000s 2020 $000sFor the years ending December 31, General and administrative 25,322 26,438 22,943 Research and development 36,321 28,950 20,674 Total 61,643 55,388 43,616 Detailed operating expenses were as follows: 2022 $000s 2021 $000s 2020 $000sFor the years ending December 31, Salaries and wages 41,750 36,792 29,403 Healthcare benefits 2,908 2,563 1,866 Payroll taxes 2,286 2,084 1,629 Share-based payments 14,699 13,950 10,718 Total payroll costs 61,643 55,388 43,616 Other general and administrative expenses 35,669 30,761 26,497 Other research and development expenses 116,113 81,521 61,186 Total other operating expenses 151,782 112,282 87,683 Total operating expenses 213,425 167,671 131,299 Auditor's remuneration: For the years ending December 31, 2022 $000s 2021 $000s 2020 $000s Audit of these financial statements 1,716 1,183 1,145 Audit of the financial statements of subsidiaries 132 312 291 Audit of the financial statements of associate** 814 571 350 Audit-related assurance services* 1,157 1,868 490 Non-audit related services — — 173 Total 3,819 3,934 2,449 * 2021 – $468.2 thousand represents prepaid expenses related to an expected initial public offering of a subsidiary. ** Audit fees of $720.0 thousand, $500.0 thousand and $350.0 thousand in respect of financial statements of associates for the years ended December 31, 2022, 2021, and 2020 respectively, are not included within the consolidated financial statements. Fees related to the audit of the financial statements of associates have been disclosed in respect of 2022, 2021, and 2020 as these fees went towards supporting the audit opinion on the Group accounts. Such amounts were not previously disclosed in the 2020 financial statements. Please refer to Note 8 for further disclosures related to share-based payments and Note 24 for management’s remuneration disclosures.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43"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140 PureTech Health plc Annual report and accounts 2022 Fi na nc ia l s ta te m en ts 8. Share-based Payments Share-based payments includes stock options, restricted stock units (“RSUs”) and performance-based RSUs in which the expense is recognized based on the grant date fair value of these awards, except for performance based RSUs to executives that are treated as liability awards where expense is recognized based on reporting date fair value up until settlement date. Share-based Payment Expense The Group share-based payment expense for the years ended December 31, 2022, 2021 and 2020, were comprised of charges related to the PureTech Health plc incentive stock and stock option issuances and subsidiary stock plans. The following table provides the classification of the Group’s consolidated share-based payment expense as reflected in the Consolidated Statement of Income/(Loss): Year ended December 31, 2022 $000s 2021 $000s 2020 $000s General and administrative 8,862 9,310 7,650 Research and development 5,837 4,640 3,068 Total 14,699 13,950 10,718 The Performance Share Plan In June 2015, the Group adopted the Performance Stock Plan (“PSP”). Under the PSP and subsequent amendments, awards of ordinary shares may be made to the Directors, senior managers and employees of, and other individuals providing services to the Company and its subsidiaries up to a maximum authorized amount of 10.0 percent of the total ordinary shares outstanding. The shares have various vesting terms over a period of service between two and four years, provided the recipient remains continuously engaged as a service provider. The share-based awards granted under the PSP are generally equity settled (see cash settlements below) and expire 10 years from the grant date. As of December 31, 2022, the Company had issued share-based awards to purchase an aggregate of 24,889,462 shares under this plan. RSUs RSU activity for the years ended December 31, 2022, 2021 and 2020 is detailed as follows: Number of Shares/Units Wtd Avg Grant Date Fair Value (GBP)* Outstanding (Non-vested) at January 1, 2020 4,636,347 2.08 RSUs Granted in Period 1,759,011 1.80 Vested (2,781,687) 1.54 Forfeited (191,089) 2.37 Outstanding (Non-vested) at December 31, 2020 and January 1, 2021 3,422,582 2.46 RSUs Granted in Period 2,195,133 2.15 Vested (1,176,695) 2.93 Forfeited (808,305) 2.25 Outstanding (Non-vested) at December 31, 2021 and January 1, 2022 3,632,715 1.91 RSUs Granted in Period 4,309,883 1.76 Vested (696,398) 2.80 Forfeited (1,155,420) 2.67 Outstanding (Non-vested) at December 31, 2022 6,090,780 1.74 * 2021 – for liability awards based on fair value at reporting date. Each RSU entitles the holder to one ordinary share on vesting and the RSU awards are generally based on a cliff vesting schedule over a one to three-year requisite service period in which the Company recognizes compensation expense for the RSUs. Following vesting, each recipient will be required to make a payment of one pence per ordinary share on settlement of the RSUs. Vesting of the majority of the RSUs is subject to the satisfaction of performance and market conditions. The grant date fair value of market condition awards that were treated as equity settled awards were measured to reflect such conditions and there was no true-up for differences between expected and actual outcomes. For liability settled awards, see below. The Company recognizes the estimated fair value of performance-based awards as share-based compensation expense over the performance period based upon its determination of whether it is probable that the performance targets will be achieved. The Company assesses the probability of achieving the performance targets at each reporting period. Cumulative adjustments, if any, are recorded to reflect subsequent changes in the estimated outcome of performance-related conditions.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144"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141 Fi na nc ia l s ta te m en ts The fair value of the market and performance-based awards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 The performance and market conditions attached to the RSU awards are based on the achievement of total shareholder return (“TSR”), based on the achievement of absolute TSR targets, and to a lesser extent based on TSR as compared to the FTSE 250 Index, and the MSCI Europe Health Care Index. The remaining portion is based on the achievement of strategic targets. The RSU award performance criteria have changed over time as the criteria is continually evaluated by the Group’s Remuneration Committee. In 2017, the Company granted certain executives RSUs that vested based on the service, market and performance conditions, as described above. The vesting of all RSUs was achieved by December 31, 2019 where all service, market and performance conditions were met. The remuneration committee of PureTech's Board of Directors approved the achievement of the vesting conditions as of December 31, 2019 and reached the decision during the year ended December 31, 2020 to cash settle the 2017 RSUs. The settlement value was determined based on the 3 day average closing price of the shares. The settlement value was $12.5 million (which after deducting tax withheld on behalf of recipients amounted to $7.2 million). The settlement value did not exceed the fair value at settlement date and as such the cash settlement was treated as an equity transaction in the financial statements for the year ended December 31, 2020, whereby the full repurchase cash settlement amount was charged to equity in Other reserves. Similarly in 2018, the Company granted certain executives RSUs that vested based on service, market and performance conditions, as described above. The vesting of all RSUs was achieved by December 31, 2020 where all service, market and performance conditions were met. In February 2021 the remuneration committee of PureTech's board of directors approved the achievement of the vesting conditions as of December 31, 2020 and on May 28, 2021 reached the decision to cash settle RSUs to certain employees while others were issued shares. The settlement value was determined based on the three day average closing price of the shares. The settlement value was $10.7 million (which after deducting tax withheld on behalf of recipients amounted to $6.4 million). The settlement value did not exceed the fair value at settlement date and as such the cash settlement was treated as an equity transaction, whereby the full repurchase cash settlement amount was charged to equity in Other reserves in the financial statements as of and for the year ended December 31, 2021. Following the different cash settlements, the Company concluded that although the remaining RSUs are to be settled by shares according to their respective agreements, and any cash settlement is at the Company's discretion, due to past practice of cash settlement to multiple employees, some for multiple years, these RSUs to the company executives should be treated as liability awards and as such adjusted to fair value at every reporting date with changes in fair value recorded in earnings as stock based compensation expense. Consequently, the Company reclassified during the year ended December 31, 2021 $1.9 million from equity to other non-current liabilities and $4.8 million from equity to other payables equal to the fair value of the awards at the date of reclassification. The Company treated the excess of the fair value at the reclassification date over the grant date fair value of the RSUs (for the portion of the vesting period that has already elapsed) in the amount of $2.9 million as an equity transaction. Therefore the full amount of the liability at reclassification was recorded as a charge to equity. The changes in fair value of the liability from reclassification date to balance sheet date or settlement date are recorded as stock-based compensation expense in the Consolidated Statement of Comprehensive Income (loss). The Company incurred share-based payment expenses for performance, market and service based RSUs of $1.6 million (including $1.1 million expense in respect of RSU liability awards), $1.5 million (including $0.6 million expense in respect of RSU liability awards), and $5.7 million for the years ended December 31, 2022, 2021 and 2020, respectively. The decrease in the share based compensation expense in respect of the RSUs for the year ended December 31, 2021, as compared to the year ended December 31, 2020 is due to reduction in the fair value of the liability awards as compared to their value at the date the awards were reclassified from equity awards to liability awards, as well as forfeitures of certain awards due to unexpected terminations of RSU holders. As of December 31, 2022, the carrying amount of the RSU liability awards was $5.9 million, $1.8 million current; $4.1 million non current, out of which $1.8 million related to awards that have met all their performance and market conditions. 8. Share-based Payments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145"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142 PureTech Health plc Annual report and accounts 2022 Fi na nc ia l s ta te m en ts Stock Options Stock option activity for the years ended December 31, 2022, 2021 and 2020, is detailed as follows: Number of Options Wtd Average Exercise Price (GBP) Wtd Average of remaining contractual term (in years) Wtd Average Stock Price at Exercise (GBP) Outstanding at January 1, 2020 8,472,827 1.16 8.55 Granted 4,076,982 3.14 Exercised (514,410) 1.52 2.88 Forfeited and expired (1,119,313) 1.88 Options Exercisable at December 31, 2020 and January 1, 2021 5,447,405 0.98 7.46 Outstanding at December 31, 2020 and January 1, 2021 10,916,086 1.81 8.38 Granted 5,424,000 3.34 Exercised (2,238,187) 0.70 3.63 Forfeited and expired (687,781) 2.53 Options Exercisable at December 31, 2021 and January 1, 2022 4,773,873 1.42 6.50 Outstanding at December 31, 2021 and January 1, 2022 13,414,118 2.58 8.29 Granted 8,881,000 2.04 Exercised (577,022) 0.50 2.43 Forfeited and expired (3,924,215) 2.89 Options Exercisable at December 31, 2022 6,185,216 2.03 6.21 Outstanding at December 31, 2022 17,793,881 2.31 8.03 The fair value of the stock options awarded by the Company was estimated at the grant date using the Black-Scholes option valuation model, considering the terms and conditions upon which options were granted, with the following weighted- average assumptions: At December 31, 2022 2021 2020 Expected volatility 41.70% 41.05% 41.25% Expected terms (in years) 6.11 6.16 6.11 Risk-free interest rate 2.13% 1.06% 0.53% Expected dividend yield — — — Grant date fair value $1.15 $1.87 $1.72 The Company incurred share-based payment expense for the stock options of $8.4 million, $6.2 million and $2.1 million for the years ended December 31, 2022, 2021 and 2020, respectively. The increase in expense for the year ended December 31, 2022, as compared to the year ended December 31, 2021, is due to the new grants granted in 2022. The increase in expense for the year ended December 31, 2021, as compared to the year ended December 31, 2020, is due to new grants granted in 2021. For shares outstanding as of December 31, 2022, the range of exercise prices is detailed as follows: Range of Exercise Prices (GBP) Options Outstanding Wtd Average Exercise Price (GBP) Wtd Average of remaining contractual term (in years) 0.01 439,490 — 6.76 1.00 to 2.00 6,276,391 1.58 7.00 2.00 to 3.00 5,375,750 2.26 8.92 3.00 to 4.00 5,702,250 3.34 8.40 Total 17,793,881 2.31 8.03 8. Share-based Payments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146"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143 Fi na nc ia l s ta te m en ts Subsidiary Plans Certain subsidiaries of the Group have adopted stock option plans. A summary of stock option activity by number of shares in these subsidiaries is presented in the following table: Outstanding as of January 1, 2022 Granted During the Year Exercised During the Year Expired During the Year Forfeited During the Year Deconsolidation During the Year Outstanding as of December 31, 2022 Entrega 349,500 45,000 — (50,000) — — 344,500 Follica 2,686,120 90,000 — — — — 2,776,120 Sonde 2,049,004 — — — — (2,049,004) — Vedanta 1,991,637 490,506 (400,000) (65,235) (192,332) — 1,824,576 Outstanding as of January 1, 2021 Granted During the Year Exercised During the Year Expired During the Year Forfeited During the Year Deconsolidation During the Year Outstanding as of December 31, 2021 Alivio 3,888,168 197,398 (2,373,750) (506,260) (1,205,556) — — Entrega 962,000 — (525,000) (87,500) — — 349,500 Follica 1,309,040 1,383,080 — (6,000) — — 2,686,120 Sonde 2,192,834 — — (51,507) (92,323) — 2,049,004 Vedanta 1,741,888 451,532 (52,938) (76,491) (72,354) — 1,991,637 Outstanding as of January 1, 2020 Granted During the Year Exercised During the Year Expired During the Year Forfeited During the Year Deconsolidation During the Year Outstanding as of December 31, 2020 Alivio 3,698,244 189,924 — — — — 3,888,168 Entrega 972,000 — — — (10,000) — 962,000 Follica 1,309,040 — — — — — 1,309,040 Sonde 1,829,004 363,830 — — — — 2,192,834 Vedanta 1,450,100 493,951 (813) — (201,350) — 1,741,888 The weighted-average exercise prices and remaining contractual life for the options outstanding as of December 31, 2022, were as follows: Outstanding at December 31, 2022 Number of options Weighted- average exercise price $ Weighted- average contractual life outstanding Entrega 344,500 1.91 4.92 Follica 2,776,120 1.41 6.38 Vedanta 1,824,576 15.89 6.88 The weighted average exercise prices for the options granted for the years ended December 31, 2022, 2021 and 2020, were as follows: For the years ended December 31, 2022 $ 2021 $ 2020 $ Alivio — — 0.47 Entrega 0.02 — — Follica 1.86 1.86 — Sonde — — 0.18 Vedanta 14.94 19.69 19.59 8. Share-based Payments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47"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144 PureTech Health plc Annual report and accounts 2022 Fi na nc ia l s ta te m en ts The weighted average exercise prices for options forfeited during the year ended December 31, 2022, were as follows: Forfeited during the year ended December 31, 2022 Number of options Weighted- average exercise price $ Vedanta 192,332 19.64 The weighted average exercise prices for options exercised during the year ended December 31, 2022, were as follows: Exercised during the year ended December 31, 2022 Number of options Weighted- average exercise price $ Vedanta 400,000 0.02 The weighted average exercise prices for options exercisable as of December 31, 2022, were as follows: Exercisable at December 31, 2022 Number of Options Weighted-average exercise price $ Exercise Price Range $ Entrega 344,500 1.91 0.02-2.36 Follica 2,776,120 1.41 0.03-1.86 Vedanta 1,824,576 15.89 0.02-21.35 Significant Subsidiary Plans Vedanta 2020 Stock Incentive Plan On June 2, 2020, the Company’s Board of Directors approved the 2020 Stock Incentive Plan, or 2020 Plan, which replaced the 2010 Stock Incentive Plan, or 2010 Plan, which was set to expire in December 2020. All authorized and issued shares under the 2010 Plan were transferred to the 2020 Plan. The 2020 Plan provides for the grant of incentive stock options, nonqualified stock options, and restricted stock to employees, directors, and nonemployees of the Company up to an aggregate of 2,145,867 shares of the Company's common stock. In March 2021, the Company’s Board of Directors approved an increase in the authorized shares of 151,188 for a total of 2,297,055. In July 2021, the Company’s Board of Directors approved an increase in the authorized shares of 500,000 for a total of 2,797,055. Under the 2020 Plan, 914,331 shares remained available for issuance as of December 31, 2022. The options granted under the 2020 Plan are equity settled and expire 10 years from the grant date. Typically, the awards vest in four years but vesting conditions can vary based on the discretion of Vedanta’s Board of Directors. Options granted under the 2020 Plan are exercisable at a price per share not less than the fair market value of the underlying ordinary shares on the date of grant. The estimated fair value of options, including the effect of estimated forfeitures, is recognized over the options’ vesting period. The fair value of the stock option grants has been estimated at the date of grant using the Black-Scholes option pricing model with the following range of assumptions: Assumption/Input 2022 2021 2020 Expected award life (in years) 6.00-8.33 6.00-7.11 6.00-10.00 Expected award price volatility 88.22%-89.68% 88.05%-88.59% 89.24%-95.46% Risk free interest rate 1.67%-3.13% 0.96%-1.32% 0.32%-0.87% Expected dividend yield — — — Grant date fair value $10.51-$15.14 $13.84-$16.23 $13.09-$16.54 Share price at grant date $14.00-$18.84 $19.00-$21.35 $19.59 Vedanta incurred share-based compensation expense of $4.3 million, $5.4 million and $2.4 million for the years ended December 31, 2022, 2021 and 2020, respectively. Other Plans The stock compensation expense under plans at other subsidiaries of the Group not including Vedanta amounted to $0.4 million, $0.8 million and $0.4 million for the years ended December 31, 2022, 2021 and 2020, respectively. Notes to the Consolidated Financial Statements — continued 8. Share-based Payments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148"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145 Fi na nc ia l s ta te m en ts 9. Finance Cost, net The following table shows the breakdown of finance income and costs: 2022 $000s 2021 $000s 2020 $000sFor the years ended December 31, Finance income Interest income from financial assets 5,799 214 1,183 Total finance income 5,799 214 1,183 Finance costs Contractual interest expense on notes payable (212) (1,031) (96) Interest expense on other borrowings (1,759) (1,502) (496) Interest expense on lease liability (1,982) (2,181) (2,354) Gain/(loss) on foreign currency exchange 14 (56) — Total finance cost – contractual (3,939) (4,771) (2,946) Gain/(loss) from change in fair value of warrant liability 6,740 1,419 (117) Gain/(loss) from change in fair value of preferred shares 130,825 8,362 (4,234) Gain/(loss) from change in fair value of convertible debt (502) (175) — Total finance income/(costs) – fair value accounting 137,063 9,606 (4,351) Finance income/(costs), net 138,924 5,050 (6,115) 10. Earnings/(Loss) per Share  The basic and diluted income/(loss) per share has been calculated by dividing the income/(loss) for the year attributable to ordinary shareholders by the weighted average number of ordinary shares outstanding during the years ended December 31, 2022, 2021 and 2020, respectively. During the years ended December 31, 2022 and 2021 the Company incurred a net loss and therefore all outstanding potential securities were considered anti-dilutive. The amount of potential securities that were excluded from the calculation amounted to 3,134,131 and 6,553,905 shares, respectively. Earnings/(Loss) Attributable to Owners of the Company: 2022 2021 2020 Basic $000s Diluted $000s Basic $000s Diluted $000s Basic $000s Diluted $000s Income/(loss) for the year, attributable to the owners of the Company (50,354) (50,354) (60,558) (60,558) 5,985 5,985 Income/(loss) attributable to ordinary shareholders (50,354) (50,354) (60,558) (60,558) 5,985 5,985 Weighted-Average Number of Ordinary Shares: 2022 2021 2020 Basic Diluted Basic Diluted Basic Diluted Issued ordinary shares at January 1, 287,796,585 287,796,585 285,885,025 285,885,025 285,370,619 285,370,619 Effect of shares issued 690,772 690,772 705,958 705,958 233,048 233,048 Effect of dilutive shares (please refer to Note 8) — — — — — 7,252,246 Effect of treasury shares purchased (3,727,922) (3,727,922) — — — — Weighted average number of ordinary shares at December 31, 284,759,435 284,759,435 286,590,983 286,590,983 285,603,667 292,855,913 Earnings/(Loss) per Share: 2022 2021 2020 Basic $ Diluted $ Basic $ Diluted $ Basic $ Diluted $ Basic and diluted earnings/(loss) per share (0.18) (0.18) (0.21) (0.21) 0.02 0.02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149"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146 PureTech Health plc Annual report and accounts 2022 Fi na nc ia l s ta te m en ts 11. Property and Equipment Cost Laboratory and Manufacturing Equipment $000s Furniture and Fixtures $000s Computer Equipment and Software $000s Leasehold Improvements $000s Construction in process $000s Total $000s Balance as of January 1, 2021 8,420 1,452 1,519 18,054 3,852 33,297 Additions, net of transfers 1,424 — 92 183 6,723 8,422 Disposals (323) — (282) — — (605) Reclassifications 2,211 — — 248 (2,459) — Balance as of December 31, 2021 11,733 1,452 1,329 18,485 8,116 41,115 Additions, net of transfers 390 — 11 412 1,362 2,176 Disposals (118) — — — (77) (195) Deconsolidation of subsidiaries — — (58) — — (58) Reclassifications 1,336 58 137 5,067 (6,598) — Balance as of December 31, 2022 13,341 1,510 1,419 23,964 2,803 43,037 Accumulated depreciation and impairment loss Laboratory and Manufacturing Equipment $000s Furniture and Fixtures $000s Computer Equipment and Software $000s Leasehold Improvements $000s Construction in process $000s Total $000s Balance as of January 1, 2021 (3,965) (454) (1,287) (4,815) — (10,520) Depreciation (1,973) (208) (174) (1,991) — (4,346) Disposals 251 — 271 — — 522 Balance as of December 31, 2021 (5,686) (663) (1,190) (6,806) — (14,344) Depreciation (2,082) (212) (107) (3,444) — (5,845) Disposals 57 — — — — 57 Deconsolidation of subsidiaries — — 53 — — 53 Balance as of December 31, 2022 (7,711) (875) (1,244) (10,250) — (20,080) Property and Equipment, net Laboratory and Manufacturing Equipment $000s Furniture and Fixtures $000s Computer Equipment and Software $000s Leasehold Improvements $000s Construction in process $000s Total $000s Balance as of December 31, 2021 6,047 790 139 11,679 8,116 26,771 Balance as of December 31, 2022 5,630 635 174 13,714 2,803 22,957 Depreciation of property and equipment is included in the General and administrative expenses and Research and development expenses line items in the Consolidated Statements of Comprehensive Income/(Loss). The Company recorded depreciation expense of $5.8 million, $4.3 million and $3.9 million for the years ended December 31, 2022, 2021 and 2020, respectively.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150"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147 Fi na nc ia l s ta te m en ts 12. Intangible Assets Intangible assets consist of licenses of intellectual property acquired by the Group through various agreements with third parties and are recorded at the value of the consideration transferred. Information regarding the cost and accumulated amortization of intangible assets is as follows: Cost Licenses $000s Balance as of January 1, 2021 900 Additions 90 Balance as of December 31, 2021 990 Additions 25 Write-off (163) Deconsolidation of subsidiaries (21) Balance as of December 31, 2022 831 Accumulated amortization Licenses $000s Balance as of January 1, 2021 (1) Amortization (2) Balance as of December 31, 2021 (3) Amortization (1) Deconsolidation of subsidiary 4 Balance as of December 31, 2022 — Intangible assets, net Licenses $000s Balance as of December 31, 2021 987 Balance as of December 31, 2022 831 Substantially all the intangible asset licenses represent in-process-research-and-development assets since they are still being developed and are not ready for their intended use. As such, these assets are not yet amortized but tested for impairment annually. During 2022, the company wrote off one of its research intangible assets for which research was ceased in the amount of $162.5 thousand. The Company tested all other such intangible assets for impairment as of balance sheet date and concluded that none of such assets were impaired. During the year ended December 31, 2022, Sonde Health, Inc. was deconsolidated and as such $17.5 thousand in net assets were derecognised. The company had negligible Amortization expense for the years ended December 31, 2022 2021 and 2020. 13. Other Financial Assets Other financial assets consist of restricted cash held, which represents amounts that are reserved as collateral against letters of credit with a bank that are issued for the benefit of a landlord in lieu of a security deposit for office space leased by the Group. Information regarding restricted cash was as follows: 2022 $000s 2021 $000sAs of December 31, Restricted cash 2,124 2,124 Total other financial assets 2,124 2,124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51"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148 PureTech Health plc Annual report and accounts 2022 Fi na nc ia l s ta te m en ts 14. Equity Total equity for PureTech as of December 31, 2022, and 2021, was as follows: December 31, 2022 $000s December 31, 2021 $000sEquity Share capital, £0.01 par value, issued and paid 278,566,306 and 287,796,585 as of December 31, 2022 and 2021, respectively 5,455 5,444 Merger Reserve 138,506 138,506 Share premium 289,624 289,303 Treasury shares, 10,595,347 and zero as of December 31, 2022 and 2021, respectively (26,492) — Translation reserve 89 469 Other reserves (14,478) (40,077) Retained earnings/(accumulated deficit) 149,516 199,871 Equity attributable to owners of the Group 542,220 593,515 Non-controlling interests 5,369 (9,368) Total equity 547,589 584,147 Changes in share capital and share premium relate primarily to incentive options exercises during the period. Shareholders are entitled to vote on all matters submitted to shareholders for a vote. Each ordinary share is entitled to one vote. Each ordinary share is entitled to receive dividends when and if declared by the Company’s Directors. The Company has not declared any dividends in the past. On June 18, 2015, the Company acquired the entire issued share capital of PureTech LLC in return for 159,648,387 Ordinary Shares. This was accounted for as a common control transaction at cost. It was deemed that the share capital was issued in line with movements in share capital as shown prior to the transaction taking place. In addition, the merger reserve records amounts previously recorded as share premium. Other reserves comprise the cumulative credit to share-based payment reserves corresponding to share-based payment expenses recognized through Consolidated Statements of Comprehensive Income/(Loss), settlements of vested share based payment awards as well as other additions that flow directly through equity such as the excess or deficit from changes in ownership of subsidiaries while control is maintained by the Group. On May 9, 2022, the Company announced the commencement of a $50.0 million share repurchase program the ("Program") of its ordinary shares of one pence each (“Ordinary Shares”). The Company is executing the Program in two equal tranches. In respect of the two tranches, PureTech entered into an irrevocable (see below) non-discretionary instruction with Jefferies International Limited (“Jefferies”) in relation to the purchase by Jefferies of Ordinary Shares for an aggregate consideration (excluding expenses) of no greater than $25.0 million for each tranche and the simultaneous on-sale of such Ordinary Shares by Jefferies to PureTech, subject to certain volume and price restrictions. Jefferies makes its trading decisions in relation to the Ordinary Shares independently of, and uninfluenced by, the Company. Purchases may continue during any close period to which the Company is subject. The instruction to Jeffries may be amended or withdrawn so long as the Company is not in a close period or otherwise in possession of inside information. Any purchases of Ordinary Shares under the Program were carried out on the London Stock Exchange and could be carried out on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annual general meeting on May 27, 2021, and relevant Rules and Regulations. All Ordinary Shares repurchased under the Program are held in treasury. As of December 31, 2022, the Company’s issued share capital was 278,566,306 shares, including 10,595,347 shares, which had been repurchased under the Program and were held by the Company in treasury. 15. Subsidiary Preferred Shares Preferred shares issued by subsidiaries often contain redemption and conversion features that are assessed under IFRS 9 in conjunction with the host preferred share instrument. This balance represents subsidiary preferred shares issued to third parties. The subsidiary preferred shares are redeemable upon the occurrence of a contingent event, other than full liquidation of the Company, that is not considered to be within the control of the Company. Therefore these subsidiary preferred shares are classified as liabilities. These liabilities are measured at fair value through profit and loss. The preferred shares are convertible into ordinary shares of the subsidiaries at the option of the holder and mandatorily convertible into ordinary shares upon a subsidiary listing in a public market at a price above that specified in the subsidiary’s charter or upon the vote of the holders of subsidiary preferred shares specified in the charter.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at fair value through profit and loss, as mentioned above, no bifurcation is required.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152"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149 Fi na nc ia l s ta te m en ts The preferred shares are entitled to vote with holders of common shares on an as converted basis. The Group recognized the preferred share balance upon the receipt of cash financing or upon the conversion of notes into preferred shares at the amount received or carrying balance of any notes converted into preferred shares. The balance as of December 31, 2022 and December 31, 2021, represents the fair value of the instruments for all subsidiary preferred shares. The following summarizes the subsidiary preferred share balance: 2022 $000s 2021 $000sAs of December 31, Entrega 169 669 Follica 350 11,191 Sonde — 13,362 Vedanta Biosciences 26,820 148,796 Total subsidiary preferred share balance 27,339 174,017 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 As of December 31, 2022 and December 31, 2021, the minimum liquidation preference reflects the amounts that would be payable to the subsidiary preferred holders upon a liquidation event of the subsidiaries, which is as follows: 2022 $000s 2021 $000sAs of December 31, Entrega 2,216 2,216 Follica 6,405 6,405 Sonde — 12,000 Vedanta Biosciences 149,568 149,568 Total minimum liquidation preference 158,189 170,189 For the years ended December 31, 2022 and 2021, the Group recognized the following changes in the value of subsidiary preferred shares: $000s Balance as of January 1, 2021 118,972 Issuance of new preferred shares – financing cash flow 37,610 Conversion of convertible notes 25,797 Decrease in value of preferred shares measured at fair value – finance costs (income) (8,362) Balance as of January 1, 2022 174,017 Decrease in value of preferred shares measured at fair value – finance costs (income) (130,825) Deconsolidation of subsidiary – (Sonde) (15,853) Balance as of December 31, 2022 27,339 2022 During the year ended December 31, 2022 there were no issuances of new preferred shares. 2021 On July 21, 2021 Vedanta closed a Series D financing in which Vedanta issued 2,387,675 Preferred D shares for consideration of $68.4 million. From such consideration of $68.4 million, $25.8 million was received from Pfizer through conversion of its convertible note (see Note 17) and $5.0 million was received from PureTech in exchange for 174,520 Preferred D shares. The amount received from PureTech was eliminated in the consolidated financial statements. 15. Subsidiary Preferred Shares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53"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150 PureTech Health plc Annual report and accounts 2022 Fi na nc ia l s ta te m en ts 16. Financial Instruments The Group’s financial instruments consist of financial liabilities, including preferred shares, convertible notes, warrants and loans payable, as well as financial assets. Many of these financial instruments are presented at fair value with fair value changes recorded through profit and loss. Fair Value Process For financial instruments measured at fair value under IFRS 9, the change in the fair value is reflected through profit and loss. Using the guidance in IFRS 13, the total business enterprise value and allocable equity of each entity being valued was determined using a market backsolve approach through a recent arm’s length financing round (or a future probable arm's length transaction), market PWERM approach, discounted cash flow income approach, or hybrid approaches. The approaches, in order of strongest fair value evidence, are detailed as follows: Valuation Method Description Market – Backsolve The market backsolve approach benchmarks the original issue price (OIP) of the company’s latest funding transaction as current value. Market/Asset – PWERM Under a PWERM, the company value is based upon the probability-weighted present value of expected future investment returns, considering each of the possible future outcomes available to the enterprise. An asset approach may be included as an expected future outcome within the PWERM method. Possible future outcomes can include IPO scenarios, potential SPAC transactions, merger and acquisition transactions as well as other similar exit transactions of the investee. Income Based – DCF The income approach is used to estimate fair value based on the income streams, such as cash flows or earnings, that an asset or business can be expected to generate. As of December 31, 2022 and 2021, at each measurement date, the fair value of preferred shares and warrant liabilities, including embedded conversion rights that are not bifurcated, as well as investments held at fair value (that are not publicly traded), were determined using the following allocation methods: option pricing model (“OPM”), Probability-Weighted Expected Return Method ("PWERM"), or Hybrid allocation framework. The methods are detailed as follows: Allocation Method Description OPM The OPM model treats preferred stock as call options on the enterprise’s equity value, with exercise prices based on the liquidation preferences of the preferred stock. PWERM Under a PWERM, share value is based upon the probability-weighted present value of expected future investment returns, considering each of the possible future outcomes available to the enterprise, as well as the rights of each share class. Hybrid The hybrid method (“HM”) is a combination of the PWERM and OPM. Under the hybrid method, multiple liquidity scenarios are weighted based on the probability of the scenarios occurrence, similar to the PWERM, while also utilizing the OPM to estimate the allocation of value in one or more of the scenarios. Valuation policies and procedures are regularly monitored by the Company’s finance group. Fair value measurements, including those categorized within Level 3, are prepared and reviewed on their issuance date and then on an annual basis for reasonableness and compliance with the fair value measurements guidance under IFRS. The Group measures fair values using the following fair value hierarchy that reflects the significance of the inputs used in making the measurements: Fair Value Hierarchy Level Description Level 1 Inputs that are quoted market prices (unadjusted) in active markets for identical instruments. Level 2 Inputs other than quoted prices included within Level 1 that are observable either directly (i.e. as prices) or indirectly (i.e. derived from prices). Level 3 Inputs that are unobservable. This category includes all instruments for which the valuation technique includes inputs not based on observable data and the unobservable inputs have a significant effect on the instrument’s valuation. Whilst the Group considers the methodologies and assumptions adopted in fair value measurements as supportable, reasonable and robust, because of the inherent uncertainty of valuation, those estimated values may differ significantly from the values that would have been used had a ready market for the investment existed.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154"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151 Fi na nc ia l s ta te m en ts Subsidiary Preferred Shares Liability and Subsidiary Convertible Notes The following table summarizes the changes in the Group’s subsidiary preferred shares and convertible note liabilities measured at fair value, which were categorized as Level 3 in the fair value hierarchy: Subsidiary Preferred Shares $000s Subsidiary Convertible Notes $000s Balance at January 1, 2020 100,989 — Value at issuance 13,750 25,000 Change in fair value 4,233 — Balance at December 31, 2020 and January 1, 2021 118,972 25,000 Value at issuance 37,610 2,215 Conversion to subsidiary preferred shares 25,797 (25,797) Accrued interest – contractual — 867 Change in fair value (8,362) 175 Balance at December 31, 2021 and January 1, 2022 174,017 2,461 Value at issuance — 393 Accrued interest – contractual — 48 Change in fair value (130,825) 502 Deconsolidation – Sonde (15,853) (3,403) Balance at December 31, 2022 27,339 — The change in fair value of preferred shares and convertible notes are recorded in Finance income/(costs) – fair value accounting in the Consolidated Statements of Comprehensive Income/(Loss). The table below sets out information about the significant unobservable inputs used at December 31, 2022, in the fair value measurement of the Group’s material subsidiary preferred shares liabilities categorized as Level 3 in the fair value hierarchy: Fair Value at December 31, 2022 Valuation Technique Unobservable Inputs Weighted Average Sensitivity to Decrease in Input 26,820 PWERM based on pro forma backsolve approach that leverages a Monte Carlo simulation Estimated Time to Exit 2.14 Fair value decrease Equity Discount Rate 30% Fair value increase Debt Discount Rate 15% Fair value decrease Volatility 95% Fair value decrease Subsidiary Preferred Shares Sensitivity The following summarizes the sensitivity from the assumptions made by the Company with respect to the significant unobservable inputs which are categorized as Level 3 in the fair value hierarchy and used in the fair value measurement of the Group’s subsidiary preferred shares liabilities (Please refer to Note 15): Input Subsidiary Preferred Share Liability As of December 31, 2022 Sensitivity Range Financial Liability Increase/(Decrease) $000s Time to Liquidity - 6 Months (1,322) + 6 Months 856 Volatility (10)% (1,133) +10% 1,200 Discount Rate (5)% (2,035) +5% 1,922 16. Financial Instruments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155"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152 PureTech Health plc Annual report and accounts 2022 Fi na nc ia l s ta te m en ts Financial Assets Held at Fair Value Karuna, Vor and Akili Valuation Karuna (Nasdaq: KRTX), Vor (Nasdaq: VOR), Akili (Nasdaq: AKLI) and additional immaterial investments are listed entities on an active exchange and as such the fair value as of December 31, 2022, was calculated utilizing the quoted common share price. Please refer to Note 5 for further details. Akili, Gelesis and Sonde In accordance with IFRS 9, the Company accounted for its preferred share investments in Akili (until the exchange of such shares to common stock traded on Nasdaq) and Gelesis (until the exchange of such shares to common stock) and accounts for its investment in Sonde (investment in Preferred A-2 and B shares, subsequent to the date of deconsolidation) as financial assets held at fair value through the profit and loss. In addition, the Company accounts for its investment in Gelesis Earn- out shares and Akili Earn-out shares (see Note 5) as investments held at fair value. All the valuations of the aforementioned investments are categorized as Level 3 in the fair value hierarchy due to the use of significant unobservable inputs to value such assets. During the year ended December 31, 2022, the Company recorded such investments at fair value and recognized the change in fair value of the investments as a loss of $30.0 million that was recorded to the Consolidated Statements of Comprehensive Income/(Loss) in the line item Gain/(loss) on investments held at fair value. The following table summarizes the changes in all the Group’s investments held at fair value, which were categorized as Level 3 in the fair value hierarchy: $'000s Balance at January 1, 2020 154,445 Cash purchase of Gelesis preferred shares (please refer to Note 6) 10,000 Cash purchase of Vor preferred shares 1,150 Gain/(Loss) on changes in fair value 41,297 Balance at December 31, 2020 and January 1, 2021 206,892 Cash purchase of Vor preferred shares 500 Reclassification of Vor from level 3 to level 1 (33,365) Gain/(Loss) on changes in fair value 65,505 Balance at January 1, 2022 before allocation of associate loss to long-term interest 239,533 Deconsolidation of Sonde 11,168 Gelesis – New Investment – Earn out Shares 14,214 Exchange of Gelesis preferred shares to Gelesis common shares (92,303) Reclassification of Akili to level 1 investment (128,764) Change in fair value (31,253) Balance as of December 31, 2022 12,593 The change in fair value of investments held at fair value are recorded in Gain/(loss) on investments held at fair value in the Consolidated Statements of Comprehensive Income/(Loss). The table below sets out information about the significant unobservable inputs used at December 31, 2022, in the fair value measurement of the Group’s material preferred share investments held at fair value categorized as Level 3 in the fair value hierarchy: Fair Value at December 31, 2022 Valuation Technique Unobservable Inputs Weighted Average Sensitivity to Decrease in Input 11,403 Market Backsolve &amp; OPM Estimated time to exit 2.00 Fair value decrease Volatility 55% Fair value decrease As the material investments held at fair value categorized as level 3 in the fair value hierarchy are based on a market backsolve approach using a recent arm's length transaction the change in unobservable inputs in reasonably possible scenarios has an immaterial impact on the financial statements. 16. Financial Instruments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156"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153 Fi na nc ia l s ta te m en ts Warrants Warrants issued by subsidiaries within the Group are classified as liabilities, as they will be settled in a variable number of preferred shares. The following table summarizes the changes in the Group’s subsidiary warrant liabilities, which were categorized as Level 3 in the fair value hierarchy: Subsidiary Warrant Liability $000s Balance at January 1, 2020 7,997 Warrant Issuance 92 Change in fair value – finance costs (income) 117 Balance at December 31, 2020 and January 1, 2021 8,206 Change in fair value – finance costs (income) (1,419) Balance at December 31, 2021 and January 1, 2022 6,787 Change in fair value – finance costs (income) (6,740) Balance at December 31, 2022 47 The change in fair value of warrants are recorded in Finance income/(costs) – fair value accounting in the Consolidated Statements of Comprehensive Income/(Loss). In connection with various amendments to its 2010 Loan and Security Agreement, Follica issued Series A-1 preferred share warrants at various dates in 2013 and 2014. In 2017, in conjunction with the issuance of convertible notes, the exercise price of the warrants was adjusted to $0.07 per share. In connection with the September 2, 2021 Oxford Finance LLC loan issuance, Vedanta also issued Oxford Finance LLC 12,886 Series C-2 preferred share warrants with an exercise price of $23.28 per share, expiring September 2030. The fair value of the warrant liabilities was immaterial as of December 31, 2022 due to the decline in the fair value of the underlying preferred shares in the Follica warrant. See also Note 15 for the fair value of Follica preferred share liabilities. Short-term Note from Associate On December 7, 2021, Gelesis issued PureTech a $15.0 million note to be repaid the earlier of three business days after the closing of the business combination of Gelesis with Capstar Special Acquisition Corp ("Capstar"), or 30 days following the termination of such business combination. In the event of the business combination termination, the Company, who represented the majority of the note holders, could have elected to convert the note at the next equity financing at a discount of 25% from the financing price. The note bore interest at a rate of 10% per annum. The note was repaid by Gelesis in January 2022 due to the closing of the business combination between Gelesis and Capstar on January 13, 2022. Note from Associate On July 27, 2022, PureTech, as a lender, entered into an unsecured Short Term Promissory Note ("Note") with Gelesis (GLS), as a borrower, in the amount of $15.0 million. The Note bears an annual interest rate of 15% per annum and accrues until the note is repaid. The term of the Note is the earlier of December 31, 2023 or five business days following the consummation of a qualified financing by Gelesis. In case of default, PureTech will be issued a warrant which shall entitle PureTech to purchase at an exercise price per share of $0.01 a number of shares of Gelesis common Stock equal to (i) (A) 0.2 multiplied by (B) the amount of outstanding principal and accrued interest under the Note as of the date of conversion described below, divided by (ii) the volume weighted average price of each share of Common Stock, as reported by the New York Stock Exchange, for the last five (5) trading days ("the “Common Stock VWAP”) occurring immediately prior to the date of exercise. In addition, PureTech will have the option to convert the amount of outstanding principal and accrued interest under the Note into a number of shares of Gelesis Common Stock (the “Conversion Securities”) equal to (i) the amount of outstanding principal and accrued interest under the Note as of the date of such conversion, divided by (ii) the lesser of the price per share of (A) the Gelesis common Stock, as reported by the New York Stock Exchange, as of 4:00 P.M. Eastern Time on the date of the conversion notice or (B) the Common Stock VWAP as of the day prior to the date of the conversion notice. 16. Financial Instruments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157"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154 PureTech Health plc Annual report and accounts 2022 Fi na nc ia l s ta te m en ts Based on the terms of the note, the note is required to be measured at fair value with changes in fair value recorded through profit and loss. The fair value of the note as of December 31, 2022 was $16.5 million. During the year ended December 31, 2022 the Group recorded $963 thousand of interest income and a gain of $539 thousand for the change in the fair value of the note. The change in the fair value of the note was recorded in the line item Other Income/(expense) in the Consolidated Statements of Comprehensive Income/(Loss). The note was valued using a discounted cash flow approach of the probability weighted future returns on the note, using a discount rate of 28.9%. Increasing or decreasing the discount rate by 5.0% will decrease or increase the value, respectively, by approximately $0.4 million. Also, increasing the estimated term to a qualified financing by 6 months (estimated as 3 months from December 31, 2022) will decrease the fair value by approximately $0.9 million. 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See Note 26 for additional details, including information related to an additional note issued by Gelesis to the Group after balance sheet date. Fair Value Measurement and Classification The fair value of financial instruments by category at December 31, 2022 and 2021: 2022 Carrying Amount Fair Value Financial Assets $000s Financial Liabilities $000s Level 1 $000s Level 2 $000s Level 3 $000s Total $000s Financial assets: Money Markets1,2 95,249 — 95,249 — — 95,249 Short-term investments1 200,229 — 200,229 — — 200,229 Note from associate 16,501 — — — 16,501 16,501 Investments held at fair value 251,892 — 239,299 — 12,593 251,892 Trade and other receivables3 11,867 — — 11,867 — 11,867 Total financial assets 575,738 — 534,777 11,867 29,094 575,738 Financial liabilities: Subsidiary warrant liability — 47 — — 47 47 Subsidiary preferred shares — 27,339 — — 27,339 27,339 Subsidiary notes payable — 2,345 — 2,097 248 2,345 Share based liability awards — 5,932 4,396 — 1,537 5,932 Total financial liabilities — 35,664 4,396 2,097 29,171 35,664 1 Issued by a diverse group of corporations, largely consisting of financial institutions, virtually all of which are investment grade. 2 Included within Cash and cash equivalents 3 Outstanding receivables are owed primarily by government agencies and large corporations, virtually all of which are investment grade. As of balance sheet date the long term loan book value (see Note 20) approximated its fair value due to its variable rate. 2021 Carrying Amount Fair Value Financial Assets $000s Financial Liabilities $000s Level 1 $000s Level 2 $000s Level 3 $000s Total $000s Financial assets: Money Markets1 432,649 — 432,649 — — 432,649 Short-term note from associate 15,120 — — — 15,120 15,120 Investments held at fair value2 493,888 — 254,355 — 239,533 493,888 Trade and other receivables3 3,174 — — 3,174 — 3,174 Total financial assets 944,832 — 687,005 3,174 254,653 944,832 Financial liabilities: Subsidiary warrant liability — 6,787 — — 6,787 6,787 Subsidiary preferred shares — 174,017 — — 174,017 174,017 Subsidiary notes payable — 4,641 — 1,945 2,696 4,641 Share based liability awards — 7,362 6,081 — 1,281 7,362 Total financial liabilities — 192,808 6,081 1,945 184,781 192,808 1 Issued by a diverse group of corporations, largely consisting of financial institutions, virtually all of which are investment grade. Included within Cash and cash equivalents 2 Balance prior to share of associate loss allocated to long-term interest (please refer to Note 5). 3 Outstanding receivables are owed primarily by government agencies, virtually all of which are investment grade. Notes to the Consolidated Financial Statements — continued 16. Financial Instruments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158"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155 Fi na nc ia l s ta te m en ts 17. Subsidiary Notes Payable The subsidiary notes payable are comprised of loans and convertible notes. As of December 31, 2022 and December 31, 2021, the loan in Follica and the financial instruments for Knode and Appeering did not contain embedded derivatives and therefore these instruments continue to be held at amortized cost. The notes payable consist of the following: 2022 $000s 2021 $000sAs of December 31, Loans 2,097 1,945 Convertible notes 248 2,696 Total subsidiary notes payable 2,345 4,641 Loans In October 2010, Follica entered into a loan and security agreement with Lighthouse Capital Partners VI, L.P. The loan is secured by Follica’s assets, including Follica’s intellectual property and bears interest at a rate of 12.0 percent. The outstanding loan balance totaled approximately $2.0 million and $1.9 million as of December 31, 2022 and December 31, 2021, respectively. The increase in 2022 is attributed to interest expense for the year ended December 31, 2022. Convertible Notes Convertible Notes outstanding were as follows: Vedanta $000s Knode $000s Appeering $000s Sonde $000s Total $000s January 1, 2021 25,000 89 134 — 25,223 Gross principal – issuance of notes – financing activity — — — 2,215 2,215 Accrued interest on convertible notes – finance costs 797 5 8 70 880 Conversion to subsidiary preferred shares (25,797) — — — (25,797) Change in fair value – finance costs — — — 175 175 December 31, 2021 and January 1, 2022 — 94 141 2,461 2,696 Gross principal – issuance of notes – financing activity — — — 393 393 Accrued interest on convertible notes – finance costs — 5 8 48 60 Change in fair value – finance costs — — — 502 502 Deconsolidation — — — (3,403) (3,403) December 31, 2022 — 99 149 — 248 On December 30, 2020, Vedanta issued a $25.0 million convertible promissory note to an investor. The note bore interest at an annual rate of 6.0 percent and its maturity date was the first anniversary of the note. Prepayment of the note was not allowed and there was no conversion discount feature on the note. The note was mandatorily convertible in a Qualified equity financing and a Qualified Public Offering at the current price of the financing or offering, all as defined in the note purchase agreement. In addition, the note allowed for optional conversion immediately prior to a Non Qualified public offering, Non Qualified Equity financing, or a Corporate transaction and for a pay-out in the case of a change of control transaction. On July 19, 2021, upon the occurrence of Vedanta's Series D preferred share issuance that was considered to be a Qualified Equity Financing, the entire outstanding amount of the note, principal and interest, was converted into Series D preferred shares of Vedanta at the current price of the financing. For further details, please see Note 15. On April 6, 2021, and on November 24, 2021, Sonde issued unsecured convertible promissory notes to its existing shareholders for a combined total of $4.3 million, of which $2.2 million were issued to third party shareholders (and $2.1 million were issued to the Company and eliminated in consolidation). In addition, in March 2022 Sonde issued an additional amount of $0.9 million, of which $0.4 million were issued to third parties (and $0.5 million issued to PureTech and eliminated in consolidation). The notes bore interest at an annual rate of 6.0 percent and were to mature on the second anniversary of the issuance. The notes were to mandatorily convert in a Qualified Financing, as defined in the note purchase agreement, at a discount of 20.0 percent from the price per share in the Qualified Financing. In addition, the notes allowed for optional conversion concurrently with a discount of 20.0 percent from the price per share in the Non Qualified Equity Financing. Upon the completion of the Preferred B round of financing in Sonde on May 25, 2022, the Group lost control in Sonde and all convertible notes were derecognized as part of the deconsolidation – See Note 5. For the Vedanta and Sonde convertible notes, since these Notes contained embedded derivatives, the Notes were assessed under IFRS 9 and the entire financial instruments were elected to be accounted for as FVTPL. The Vedanta convertible note was settled through its conversion in July 2021 and the Sonde notes were deconsolidated in May 2022. See above.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159"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156 PureTech Health plc Annual report and accounts 2022 Fi na nc ia l s ta te m en ts 18. Non-Controlling Interest During the year ended December 31, 2022, Sonde Health, Inc was deconsolidated and therefore transferred retroactively to the Non-Controlled Founded Entity segment. See Note 5. Investments Held at Fair Value. The Company has revised in the 2022 financial statements the prior period financial information related to the segmentation of NCI, to conform to the presentation as of and for the year ending December 31, 2022. Please refer to Note 4 “Segment Information” for further details regarding reportable segments. The following table summarizes the changes in the equity classified non-controlling ownership interest in subsidiaries by reportable segment: Internal $000s Controlled Founded Entities $000s Non-Controlled Founded Entities $000s Parent Company &amp; Other $000s Total $000s Balance at January 1, 2020 * (8,682) 1,465 (11,016) 593 (17,639) Share of comprehensive loss (191) (905) (306) (15) (1,417) Equity settled share-based payments 305 2,395 122 — 2,822 Other — 11 19 (6) 24 Balance at December 31, 2020 and January 1, 2021 * (8,567) 2,966 (11,181) 574 (16,209) Share of comprehensive loss (96) (1,634) (436) 15 (2,151) NCI exercise of share-based awards in subsidiaries – change in NCI interest — (5,922) — — (5,922) Equity settled share-based payments (4) 6,224 32 — 6,252 Acquisition of a subsidiary non controlling interest 8,668 — — — 8,668 Other — — — (6) (6) Balance at December 31, 2021 and January 1, 2022 — 1,634 (11,585) 583 (9,368) Share of comprehensive income (loss) — 13,604 (330) 15 13,290 NCI exercise of share-based awards — (15,164) — — (15,164) Deconsolidation of subsidiaries — — 11,904 — 11,904 Equity settled share-based payments — 4,703 8 — 4,711 Other — — 2 (6) (4) Balance as of December 31, 2022 — 4,778 — 592 5,369 * Revised to reclassify Sonde to the Non-controlled Founded Entities segment to comply with current period classification. See Note 4. The following tables summarize the financial information related to the Group’s subsidiaries with material non-controlling interests, aggregated for interests in similar entities, and before and after intra group eliminations. 2022 For the year ended December 31 Internal $000s Controlled Founded Entities $000s Intra-group eliminations $000s Total $000s Statement of Comprehensive Loss Total revenue — 12,202 — 12,202 Income/(loss) for the year — 98,633 1,003 99,636 Other comprehensive income/(loss) — — — — Total comprehensive income/(loss) for the year — 98,633 1,003 99,636 Statement of Financial Position Total assets — 35,341 (100) 35,241 Total liabilities — 76,635 (11,057) 65,578 Net assets/(liabilities) — (41,294) 10,957 (30,336) As of December 31, 2022, Controlled Founded Entities with non-controlling interests primarily include Follica Incorporated, Entrega Inc., and Vedanta Biosciences, Inc. Ownership interests of the non-controlling interests in Follica Incorporated, Entrega Inc., and Vedanta Biosciences, Inc are 19.9 percent, 11.7 percent, and 12.2 percent, respectively. In addition, Non-controlling interests include the amounts recorded for subsidiary stock options, with the vast majority comprising of Vedanta stock options.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160"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157 Fi na nc ia l s ta te m en ts 2021 For the year ended December 31 Internal $000s Controlled Founded Entities $000s Intra-group eliminations $000s Total $000s Statement of Comprehensive Loss Total revenue — 7,771 — 7,771 Income/(loss) for the year — (50,436) 792 (49,644) Other comprehensive income/(loss) — — — — Total comprehensive income/(loss) for the year — (50,436) 792 (49,644) Statement of Financial Position Total assets — 66,279 (161) 66,118 Total liabilities — 228,856 (10,755) 218,101 Net assets/(liabilities) — (162,576) 10,594 (151,982) As of December 31, 2021, Controlled Founded Entities with non-controlling interests primarily include, Follica Incorporated, Sonde Health Inc., Entrega Inc. and Vedanta Biosciences, Inc. Ownership interests of the non-controlling interests in Follica Incorporated, Sonde Health Inc., and Vedanta Biosciences, Inc are 19.9 percent, 11.7 percent, 6.2 percent and 3.7 percent, respectively. In addition, Non-controlling interests include the amounts recorded for subsidiary stock options, with the vast majority comprising of Vedanta stock options. 2020 For the year ended December 31 Internal $000s Controlled Founded Entities $000s Intra-group eliminations Total Statement of Comprehensive Loss Total revenue 3,267 1,957 — 5,224 Income/(loss) for the year (2,407) (53,535) 1,073 (54,869) Total comprehensive income/(loss) for the year (2,407) (53,535) 1,073 (54,869) As of December 31, 2020, Internal segment with non-controlling interests includes Alivio, Controlled Founded Entities with non-controlling interests primarily include, Follica Incorporated, Sonde Health Inc., and Vedanta Biosciences, Inc. Ownership interests of the non-controlling interests in Alivio Therapeutics, Inc., Follica Incorporated, Sonde Health Inc., and Vedanta Biosciences, Inc are 8.1 percent, 19.9 percent, 4.5 percent and 0.4 percent, respectively. In addition, Non-controlling interests include the amounts recorded for subsidiary stock options, with the vast majority comprising of Vedanta stock options. On June 11, 2021, PureTech acquired the remaining 17.1 percent of the minority non-controlling interests of Alivio (after exercise of all in the money stock options) increasing its ownership to 100.0 percent of Alivio. The consideration for such non controlling interests amounted to $1.2 million, to be paid in three equal installments, with the first installment of $0.4 million paid at the effective date of the transaction and two additional installment to be paid upon the occurrence of certain contingent events. The Group recorded a contingent consideration liability of $0.6 million at fair value for the two additional installments, resulting in a total acquisition cost of $1.0 million. The excess of the consideration paid over the book value of the non-controlling interest of approximately $9.6 million was recorded directly as a charge to shareholders’ equity. The second installment of $0.4 million was paid in July 2021, upon the occurrence of the contingent event specified in the agreement. The contingent consideration liability is adjusted to fair value at the end of each reporting period with changes in fair value recorded in earnings. Changes in fair value of the aforementioned contingent consideration liability were not material. As of December 31, 2022, the remaining contingent liability was reduced to zero as the second contingent event did not occur. On December 1, 2021, options holders in Entrega exercised options into shares of common stock, increasing the NCI interest held from 0.2 percent to 11.7 percent. During 2021 option holders in Vedanta exercised options and increased the NCI interest to 3.7 percent. The exercise of the options resulted in an increase in the NCI share in Entrega's and Vedanta's shareholder's deficit of $5.9 million. The consideration paid by NCI ($0.1 million) together with the increase in NCI share in Entrega's and Vedanta's shareholder deficit ( $5.9 million) amounted to $6.0 million and was recorded as a gain directly in shareholders' equity. On February 15, 2022, option holders in Vedanta exercised options into shares of common stock, increasing the NCI interest held from 3.7 percent to 12.2 percent. The exercise of the options resulted in an increase in the NCI share in Vedanta's shareholder's deficit of $15.2 million. The consideration paid by NCI ($7.2 thousand) together with the increase in NCI share in Vedanta's shareholder deficit ($15.2 million) amounted to $15.2 million and was recorded as a gain directly in shareholders' equity. Notes to the Consolidated Financial Statements — continued 18. Non-Controlling Interest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161"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158 PureTech Health plc Annual report and accounts 2022 Fi na nc ia l s ta te m en ts 19. Trade and Other Payables Information regarding Trade and other payables was as follows: As of December 31, 2022 $000s 2021 $000s Trade payables 26,504 11,346 Accrued expenses 24,518 17,309 Income tax payable 57 57 Liability settled share based awards 1,805 4,703 Other 1,957 2,403 Total trade and other payables 54,840 35,817 20. Long-term loan In September 2020, Vedanta entered into a $15.0 million loan and security agreement with Oxford Finance LLC. The loan is secured by Vedanta's assets, including equipment, inventory and intellectual property. The loan bears a floating interest rate of 7.7 percent plus the greater of (i) 30 day U.S. Dollar LIBOR reported in the Wall Street Journal or (ii) 0.17 percent. The loan matures September 2025 and requires interest only payments prior to 2023. The loan also carries a final fee upon full repayment of 7.0 percent of the original principal, or $1.1 million. As part of the loan agreement, Vedanta also issued Oxford Finance LLC 12,886 Series C-2 preferred share warrants with an exercise price of $23.28 per share, expiring September 2030. The outstanding loan balance totaled approximately $15.4 million as of December 31, 2022. The following table summarizes long-term loan activity for the years ended December 31, 2022 and 2021: Long-term loan 2022 $000s 2021 $000s Balance at January 1, 15,118 14,818 Accrued interest 1,755 1,502 Interest paid (1,436) (1,201) Other (38) — Balance at December 31, 15,400 15,118 The following table summarizes Vedanta's future principal payments for the long-term loan as of December 31, 2022: Balance Type 2023 2024 2025 Total Principal 5,156 5,625 4,219 15,000 Balance of accreted premium net of unamortized issuance costs 400 Total 15,400 The long-term loan is presented as follows in the Statement of Financial Position as of December 31, 2022 and 2021: Long-term loan 2022 $000s 2021 $000s Current portion of Long-term loan 5,156 857 Long-term loan 10,244 14,261 Total Long-term loan 15,400 15,118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162"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159 Fi na nc ia l s ta te m en ts 21 Leases  The activity related to the Group’s right of use asset and lease liability for the years ended December 31, 2022 and 2021 is as follows: Right of use asset, net 2022 $000s 2021 $000s Balance at January 1, 17,166 20,098 Additions 163 739 Tenant improvement – lease incentive — (733) Depreciation (3,047) (2,938) Balance at December 31, 14,281 17,166 Total lease liability 2022 $000s 2021 $000s Balance at January 1, 32,990 35,348 Additions 163 1,016 Cash paid for rent – principal – financing cash flow (4,025) (3,375) Cash paid for rent – interest (1,982) (2,181) Interest expense 1,982 2,181 Balance at December 31, 29,128 32,990 Depreciation of the right-of-use assets, which virtually all consist of leased real estate, is included in the General and administrative expenses and Research and development expenses line items in the Consolidated Statements of Comprehensive Income/(Loss). The Company recorded depreciation expense of $3.0 million, $2.9 million and $2.7 million for the years ended December 31, 2022, 2021 and 2020 respectively. The following details the short term and long-term portion of the lease liability as of December 31, 2022 and 2021: Total lease liability 2022 $000s 2021 $000s Short-term Portion of Lease Liability 4,972 3,950 Long-term Portion of Lease Liability 24,155 29,040 Total Lease Liability 29,128 32,990 The following table details the future maturities of the lease liability, showing the undiscounted lease payments to be paid after the reporting date: 2022 $000s Less than one year 6,673 One to two years 6,763 Two to three years 5,168 Three to four years 4,419 Four to five years 4,551 More than five years 7,483 Total undiscounted lease maturities 35,056 Interest 5,928 Total lease liability 29,128 During the year ended December 31, 2019, PureTech entered into a lease agreement for certain premises consisting of approximately 50,858 rentable square feet of space located at 6 Tide Street. The lease commenced on April 26, 2019 (“Commencement Date”) for an initial term consisting of ten years and three months and there is an option to extend for two consecutive periods of five years each. The Company assessed at lease commencement date whether it is reasonably certain to exercise the extension options and deemed such options not reasonably certain to be exercised. The Company will reassess whether it is reasonably certain to exercise the options only if there is a significant event or significant changes in circumstances within its control.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163"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160 PureTech Health plc Annual report and accounts 2022 Fi na nc ia l s ta te m en ts On June 26, 2019, PureTech executed a sublease agreement with Gelesis. The lease is for the approximately 9,446 rentable square feet located on the sixth floor of the Company’s former offices at the 501 Boylston Street building. The sublessee obtained possession of the premises on June 1, 2019 and the rent period term began on June 1, 2019 and expires on August 31, 2025. The sublease was determined to be a finance lease. As of December 31, 2022, the balances related to the sublease were as follows: Total lease receivable $000s Short-term Portion of Lease Receivable 450 Long-term Portion of Lease Receivable 835 Total Lease Receivable 1,285 The following table details the future maturities of the lease receivable, showing the undiscounted lease payments to be received after the reporting date: 2022 $000s Less than one year 513 One to two years 523 Two to three years 353 Total undiscounted lease receivable 1,389 Unearned Finance income 103 Net investment in the lease 1,285 On August 6, 2019, PureTech executed a sublease agreement with Dewpoint Therapeutics, Inc. (“Dewpoint”). The sublease was for approximately 11,852 rentable square feet located on the third floor of the 6 Tide Street building, where the Company’s offices are currently located. Dewpoint obtained possession of the premises on September 1, 2019 with a rent period term that began on September 1, 2019, and expired on August 31, 2021. The sublease was determined to be an operating lease. Rental income recognized by the Company during the years ended December 31, 2021 and 2020 was $0.6 million and $1.1 million, respectively and is included in the Other income/(expense) line item in the Consolidated Statements of Comprehensive Income/(Loss). 22. Capital and Financial Risk Management Capital Risk Management The Group's capital and financial risk management policy is to maintain a strong capital base so as to support its strategic priorities, maintain investor, creditor and market confidence as well as sustain the future development of the business. The Group’s objectives when managing capital are to safeguard its ability to continue as a going concern in order to provide returns for shareholders and benefits for other stakeholders and to maintain an optimal capital structure to reduce the cost of capital. To maintain or adjust the capital structure, the Group may issue new shares or incur new debt. The Group has some external debt and no material externally imposed capital requirements. The Group’s share capital is clearly set out in Note 14. Management continuously monitors the level of capital deployed and available for deployment in the Internal segment and at the corporate level as well as at Controlled Founded Entities. The Directors seek to maintain a balance between the higher returns that might be possible with higher levels of deployed capital and the advantages and security afforded by a sound capital position. The Group’s Directors have overall responsibility for establishment and oversight of the Group's capital and risk management framework. The Group is exposed to certain risks through its normal course of operations. The Group’s main objective in using financial instruments is to promote the development and commercialization of intellectual property through the raising and investing of funds for this purpose. The Group’s policies in calculating the nature, amount and timing of investments are determined by planned future investment activity. Due to the nature of activities and with the aim to maintain the investors’ funds as secure and protected, the Group’s policy is to hold any excess funds in highly liquid and readily available financial instruments and maintain insignificant exposure to other financial risks. Notes to the Consolidated Financial Statements — continued 21. Leases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64"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161 Fi na nc ia l s ta te m en ts The Group has exposure to the following risks arising from financial instruments: Credit Risk Credit risk is the risk of financial loss to the Group if a customer or counterparty to a financial instrument fails to meet its contractual obligations. Financial instruments that potentially subject the Group to concentrations of credit risk consist principally of cash and cash equivalents, short term investments, and trade and other receivables. The Group held the following balances (not including the income tax receivable resulting from overpayment of income taxes, see Note 25): 2022 $000s 2021 $000sAs of December 31 Cash and cash equivalents 149,866 465,708 Short-term investments 200,229 — Trade and other receivables 11,867 3,174 Total 361,961 468,882 The Group invests its excess cash in U.S. Treasury Bills (presented as short-term investments), and money market accounts, which the Group believes are of high credit quality. Further the Group's cash and cash equivalents and short-term investments are held at diverse, investment-grade financial institutions. The Group assesses the credit quality of customers on an ongoing basis. The credit quality of financial assets is assessed by historical and recent payment history, counterparty financial position, reference to credit ratings (if available) or to historical information about counterparty default rates. The Group does not have expected credit losses owing largely to a small number of counterparties and the high credit quality of most counterparties (primarily the US government and large funds with respect to grant income and large high credit quality corporations). The aging of trade and other receivables that were not impaired at December 31 is as follows: As of December 31 2022 $000s 2021 $000s Not impaired 11,867 3,174 Total 11,867 3,174 With regard to the Note from associate, such note is presented at fair value which incorporates, among other factors, the credit risk of the counterparty. See Note 16 for details. Liquidity Risk Liquidity risk is the risk that the Group will encounter difficulty in meeting the obligations associated with its financial liabilities that are settled by delivering cash or another financial asset. The Group actively manages its risk of a funds shortage by closely monitoring the maturity of its financial assets and liabilities and projected cash flows from operations, under both normal and stressed conditions, without incurring unacceptable losses or risking damage to the Group’s reputation. Due to the nature of these financial liabilities, the funds are available on demand to provide optimal financial flexibility. The table below summarizes the maturity profile of the Group’s financial liabilities, including subsidiary preferred shares that have customary liquidation preferences, as of December 31, 2022 and 2021, based on contractual undiscounted payments: As of December 31 2022 Carrying Amount $000s Within Three Months $000s Three to Twelve Months $000s One to Five Years $000s Total $000s* Long-term loan (non-current + current) 15,400 1,838 5,281 11,413 18,531 Subsidiary notes payable 2,345 2,345 — — 2,345 Trade and other payables 54,840 54,840 — — 54,840 Warrants2 47 47 — — 47 Subsidiary preferred shares (Note 15)1 27,339 27,339 — — 27,339 Total 99,971 86,409 5,281 11,413 103,103 As of December 31 2021 Carrying Amount $000s Within Three Months $000s Three to Twelve Months $000s One to Five Years $000s Total $000s* Long-term loan 15,118 296 2,182 16,274 18,752 Subsidiary notes payable 4,641 4,641 — — 4,641 Trade and other payables 35,817 35,817 — — 35,817 Warrants2 6,787 6,787 — — 6,787 Subsidiary preferred shares (Note 15)1 174,017 174,017 — — 174,017 Total 236,381 221,559 2,182 16,274 240,015 1 Redeemable only upon a liquidation or Deemed liquidation event, as defined in the applicable shareholder documents. 2 Warrants issued by subsidiaries to third parties to purchase preferred shares. * Does not include payments in respect of lease obligations. For the contractual future payments related to lease obligations, see Note 21. 22. Capital and Financial Risk Management — continued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65"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162 PureTech Health plc Annual report and accounts 2022 Fi na nc ia l s ta te m en ts Interest Rate Sensitivity As of December 31, 2022, the Group had cash and cash equivalents of $149.9 million, and short term investments of $200.2 million. The Group's exposure to interest rate sensitivity is impacted by changes in the underlying U.K. and U.S. bank interest rates. The Group has not entered into investments for trading or speculative purposes. Due to the conservative nature of the Group's investment portfolio, which is predicated on capital preservation and investments in short duration, high- quality U.S. Treasury Bills and related money market accounts, a change in interest rates would not have a material effect on the fair market value of the Group's portfolio, and therefore the Group does not expect operating results or cash flows to be significantly affected by changes in market interest rates. Controlled Founded Entity Investments The Group maintains investments in certain Controlled Founded Entities. The Group’s investments in Controlled Founded Entities are eliminated as intercompany transactions upon financial consolidation. The Group is however exposed to a preferred share liability owing to the terms of existing preferred shares and the ownership of Controlled Founded Entities preferred shares by third parties. As discussed in Note 15, certain of the Group’s subsidiaries have issued preferred shares that include the right to receive a payment in the event of any voluntary or involuntary liquidation, dissolution or winding up of a subsidiary, including in the event of "deemed liquidation" as defined in the incorporation documents of the entities, which shall be paid out of the assets of the subsidiary available for distribution to shareholders and before any payment shall be made to holders of ordinary shares. The liability of preferred shares is maintained at fair value through the profit and loss. The Group’s strong cash position, budgeting and forecasting processes, as well as decision making and risk mitigation framework enable the Group to robustly monitor and support the business activities of the Controlled Founded Entities to ensure no exposure to dissolution or liquidation. Accordingly, the Group views exposure to 3rd party preferred share liability as low. Non-Controlled Founded Entity Investments The Group maintains certain investments in Non-Controlled Founded Entities which are deemed either as investments and accounted for as investments held at fair value or associates and accounted for under the equity method (please refer to Note 1). The Group's exposure to investments held at fair value is $251.9 million as of December 31, 2022, and the Group may or may not be able to realize the value in the future. Accordingly, the Group views the risk as high. The Group’s exposure to investments in associates is limited to the carrying amount of the investment in an Associate. The Group is not exposed to further contractual obligations or contingent liabilities beyond the value of the investments. Accordingly, the Group does not view this as a high risk. As of December 31, 2022, Gelesis and Sonde are the only associates. The carrying amount of the investment in Gelesis and Sonde as associates was $9.1 million. Please refer to Notes 5, 6 and 16 for further information regarding the Group's exposure to Non-Controlled Founded Entity Investments. Equity Price Risk As of December 31, 2022, the Group held 1,054,464 common shares of Karuna, 2,671,800 common shares of Vor and 12,527,477 common shares of Akili. The fair value of these investments in Karuna, Vor and Akili was $239.0 million. The investments in Karuna, Vor and Akili are exposed to fluctuations in the market price of these common shares. The effect of a 10.0 percent adverse change in the market price of Karuna, Vor and Akili common shares as of December 31, 2022, would have been a loss of approximately $23.9 million, that would have been recognized as a component of Other income (expense) in the Consolidated Statements of Comprehensive Income/(Loss). Foreign Exchange Risk The Group maintains consolidated financial statements in the Group's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See Note 9. The Group does not currently engage in currency hedging activities since its foreign currency risk is limited, but the Group may begin to do so in the future if and when its foreign currency risk exposure changes. Notes to the Consolidated Financial Statements — continued 22. Capital and Financial Risk Management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66" descr=""/>
                    <pic:cNvPicPr>
                      <a:picLocks noChangeAspect="1" noChangeArrowheads="1"/>
                    </pic:cNvPicPr>
                  </pic:nvPicPr>
                  <pic:blipFill>
                    <a:blip r:embed="rId19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163 Fi na nc ia l s ta te m en ts 23 Commitments and Contingencies The Group is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December 31, 2022, these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As of December 31, 2022, payments in respect of developmental milestones that are dependent on events that are outside the control of the Group but are reasonably possible to occur amounted to approximately $8.7 million.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 See Note 12. The Group is party to certain sponsored research arrangements as well as arrangements with contract manufacturing and contract research organizations, whereby the counterparty provides the Company with research and/or manufacturing services. As of December 31, 2022, the noncancellable commitments in respect of such contracts amounted to approximately $11.3 million. 24. Related Parties Transactions Related Party Subleases and royalties During 2019, PureTech executed a sublease agreement with a related party, Gelesis. Please refer to Note 21 for further details regarding the sublease. The Group receives royalties from Gelesis on its product sales. Such royalties amounted to $509 thousand and $231 thousand for the years ended December 31, 2022 and 2021, respectively and are presented in Contract revenue in the Consolidated Statements of Comprehensive Income/(Loss). Key Management Personnel Compensation Key management includes executive directors and members of the executive management team of the Group (not including compensation provided to non-executive directors). The key management personnel compensation of the Group was as follows for the years ended December 31: 2022 $000s 2021 $000s 2020 $000sAs of December 31 Short-term employee benefits 4,369 4,666 4,833 Share-based payment expense 2,741 4,045 5,822 Total 7,109 8,711 10,656 Short-term employee benefits include salaries, health care and other non-cash benefits. Share-based payments are generally subject to vesting terms over future periods. For cash settlements of share based awards – see Note 8. In addition the Company paid remuneration to non-executive directors in the amounts of $655 thousand, $605 thousand and $690 thousand for the years ended December 31, 2022, 2021, and 2020, respectively. Also, the Company incurred $365 thousand and $161 thousand of stock based compensation expense for such non-executive directors for the years ended December 31, 2022 and 2021, respectively. There is no stock based compensation expense for such non-executive directors for the year ended December 31, 2020. During the years ended December 31, 2022 and 2021, the Company incurred $51 thousand, and $181 thousand, respectively of expenses paid to related parties. Convertible Notes Issued to Directors Certain related parties of the Group have invested in convertible notes issued by the Group’s subsidiaries. As of December 31, 2022 and 2021, the outstanding related party notes payable totaled $99 thousand and $94 thousand respectively, including principal and interest. The notes issued to related parties bear interest rates, maturity dates, discounts and other contractual terms that are the same as those issued to outside investors during the same issuances, as described in Note 17.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167"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164 PureTech Health plc Annual report and accounts 2022 Fi na nc ia l s ta te m en ts Directors’ and Senior Managers’ Shareholdings and Share Incentive Awards The Directors and senior managers hold beneficial interests in shares in the following businesses and sourcing companies as at December 31, 2022: Business Name (Share Class) Number of shares held as of December 31, 2022 Number of options held as of December 31, 2022 Number of RSUs held as of December 31, 2022 Ownership Interest¹ Directors: Ms Daphne Zohar² Gelesis (Common) 465,121 3,303,306 1,349,697 4.45% Dr Robert Langer Entrega (Common) 250,000 82,500 — 4.09% Dr Raju Kucherlapati Enlight (Class B Common) — 30,000 — 3.00% Gelesis (Common) 139,625 — 50,639 0.12% Dr John LaMattina3 Akili (Common) 56,554 — — 0.07% Gelesis (Common)3 395,035 37,129 — 0.38% Vedanta Biosciences (Common) 25,000 — — 0.17% Senior Managers: Dr Bharatt Chowrira Karuna (Common) 5,000 — — 0.01% Dr Joseph Bolen Vor (Common) — 9,191 — 0.01% 1 Ownership interests as of December 31, 2022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 2 Common shares, RSUs and options held by Yishai Zohar, who is the husband of Ms. Zohar. Ms. Zohar does not have any direct interest in the share capital of Gelesis. Ms. Zohar recuses herself from any and all material decisions with regard to Gelesis. 3 Dr John and Ms Mary LaMattina hold 345,035 shares of common shares in Gelesis. Individually, Dr LaMattina holds 50,000 shares of Gelesis and convertible notes issued by Appeering in the aggregate principal amount o $50,000. Directors and senior managers hold 25,371,839 ordinary shares and 9.1 percent voting rights of the Company as of December 31, 2022. This amount excludes options to purchase 2,350,000 ordinary shares. This amount also excludes 6,448,899 shares, which are issuable based on the terms of performance based RSU awards granted to certain senior managers covering the financial years 2022, 2021 and 2020, and 172,056 shares, which are issuable to directors immediately prior to the Company's 2023 Annual General Meeting of Stockholders based on the terms of the RSU awards granted to non-executive directors in 2022. Such shares will be issued to such senior managers and non executive directors in future periods provided that performance and/or service conditions are met and certain of the shares will be withheld for payment of customary withholding taxes. Note from Associate See Note 16 for details on the notes issued by Gelesis to the Company. The Company recognized finance income of 1.6 million with respect to interest and changes in fair value related to the notes. As of December 31, 2022 the Group has a receivable from an associate in the amount of 1.1 million. Notes to the Consolidated Financial Statements — continued 24. Related Parties Transactions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168"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165 Fi na nc ia l s ta te m en ts 25. Taxation Tax on the profit or loss for the year comprises current and deferred income tax. Tax is recognized in the Consolidated Statements of Comprehensive Income/(Loss) except to the extent that it relates to items recognized directly in equity. For the years ended December 31, 2022, 2021 and 2020, the Group filed a consolidated U.S. federal income tax return which included all subsidiaries in which the Company owned greater than 80 percent of the vote and value. For the years ended December 31, 2022, 2021 and 2020, the Group filed certain consolidated state income tax returns which included all subsidiaries in which the Company owned greater than 50 percent of the vote and value. The remaining subsidiaries file separate U.S. tax returns. Amounts recognized in Consolidated Statements of Comprehensive Income/(Loss): 2022 $000s 2021 $000s 2020 $000sAs of December 31 Income/(loss) for the year (37,065) (62,709) 4,568 Income tax expense/(benefit) (55,719) 3,756 14,401 Income/(loss) before taxes (92,783) (58,953) 18,969 Recognized income tax expense/(benefit): 2022 $000s 2021 $000s 2020 $000sAs of December 31 Federal 13,065 22,138 21,796 Foreign — — — State 1,336 109 — Total current income tax expense/(benefit) 14,401 22,247 21,796 Federal (48,240) (15,416) (7,349) Foreign — — — State (21,880) (3,075) (46) Total deferred income tax expense/(benefit) (70,120) (18,491) (7,395) Total income tax expense/(benefit), recognized (55,719) 3,756 14,401 The tax expense/(benefit) was $(55.7) million, $3.8 million and $14.4 million in 2022, 2021 and 2020 respectively. The increase in tax benefit for the year ended December 31, 2022 is primarily the result of the loss before taxes in entities in the U.S. Federal and Massachusetts consolidated return groups of the Company. Reconciliation of Effective Tax Rate The Group is primarily subject to taxation in the U.S. A reconciliation of the U.S. federal statutory tax rate to the effective tax rate is as follows: 2022 2021 2020 As of December 31 $000s % $000s % $000s % US federal statutory rate (19,486) 21.00 (12,380) 21.00 3,984 21.00 Effects of state tax rate in U.S. (8,043) 8.67 (4,484) 7.61 1,844 9.72 R&amp;D and orphan drug tax credits (6,876) 7.41 (5,056) 8.58 (5,642) (29.74) Non deductible share based payment expenses 788 (0.85) 555 (0.94) 327 1.73 Finance income/(costs) – fair value accounting (28,783) 31.02 (2,017) 3.42 919 4.84 Loss with respect to associate for which no deferred tax asset is recognized 1,413 (1.52) 11,542 (19.58) — — Change in blended state rate impact due to state apportionment change (8,856) 9.54 — — — — Transaction Costs — — 309 (0.52) 361 1.91 Interest Expense 69 (0.07) 217 (0.37) (2,258) (11.91) Executive Compensation 300 (0.32) 746 (1.27) 827 4.36 Recognition of deferred tax assets and tax benefits not previously recognized (184) 0.20 (414) 0.70 — — Current year losses for which no deferred tax asset is recognized 17,287 (18.63) 14,375 (24.38) 13,948 73.53 Sonde Deconsolidation (3,572) 3.85 — — — — Other 224 (0.25) 363 (0.62) 91 0.48 (55,719) 60.05 3,756 (6.37) 14,401 75.92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169"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166 PureTech Health plc Annual report and accounts 2022 Fi na nc ia l s ta te m en ts The Company is also subject to taxation in the UK but to date no taxable income has been generated in the UK. Changes in corporate tax rates can change both the current tax expense (benefit) as well as the deferred tax expense (benefit). Deferred Tax Assets and Liabilities Deferred tax assets have been recognized in the U.S. jurisdiction in respect of the following items: 2022 $000s 2021 $000sAs of December 31 Operating tax losses 48,317 46,982 Tax credits 11,101 10,673 Share-based payments 8,423 7,265 Capitalized Research &amp; Experimental Expenditures 36,084 — Investment in Associates 13,036 11,542 Lease Liability 7,143 8,969 Other temporary differences 2,957 2,665 Deferred tax assets 127,061 88,096 Investments held at fair value (47,877) (96,804) ROU asset (3,519) (4,667) Fixed assets (2,348) (3,547) Deferred tax liabilities (53,744) (105,018) Deferred tax assets (liabilities), net 73,317 (16,922) Deferred tax liabilities, net, recognized (19,645) (89,765) Deferred tax assets (liabilities), net, not recognized 92,962 72,843 We have recognized deferred tax assets related to entities in the U.S. Federal and Massachusetts consolidated return groups due to future reversals of existing taxable temporary differences that will be sufficient to recover the net deferred tax assets. Our unrecognized deferred tax assets of $93.0 million are primarily related to tax credit, loss carryforwards and deductible temporary differences in subsidiaries outside the U.S. Federal and Massachusetts consolidated return groups. Such deferred tax assets have not been recognized because it is not probable that future taxable profits will be available to support their realizability. The unrecognized deferred tax assets, to a lesser extent, also relate to unrecognized deferred tax assets with respect to a portion of Section 174 capitalized research &amp; experimental expenditures which became effective in 2022 under the Tax Cuts and Jobs Act and an investment in an associate since the Group does not believe it is probable that such tax benefits will be realized in the foreseeable future. There was movement in deferred tax recognized, which impacted income tax expense by approximately $70.1 million benefit, primarily related to changes in the value of investments and Section 174 capitalized research &amp; experimental expenditures. The Company sold a portion of its stock in Karuna and VOR during 2022 resulting in net taxable income and current tax expense of $14.4 million. Unrecognized Deferred Tax Assets Deferred tax assets have not been recognized in respect of the following carryforward losses, credits and temporary differences, because it is not probable that future taxable profit will be available against which the Group can use the benefits therefrom. 2022 $000s 2021 $000s As of December 31 Gross Amount Tax Effected Gross Amount Tax Effected Deductible Temporary Difference 132,145 33,544 59,925 16,224 Tax Losses 219,466 48,317 215,425 46,982 Tax Credits 11,101 11,101 9,636 9,636 Total 362,712 92,962 284,986 72,843 Notes to the Consolidated Financial Statements — continued 25. Taxation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170" descr=""/>
                    <pic:cNvPicPr>
                      <a:picLocks noChangeAspect="1" noChangeArrowheads="1"/>
                    </pic:cNvPicPr>
                  </pic:nvPicPr>
                  <pic:blipFill>
                    <a:blip r:embed="rId20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167 Fi na nc ia l s ta te m en ts Tax Losses and tax credits carryforwards Tax losses and tax credits for which no deferred tax asset was recognized As of December 31 2022 $000s 2021 $000s Gross Amount Tax Effected Gross Amount Tax Effected Tax losses expiring: Within 10 years 23,930 5,387 19,735 4,343 More than 10 years 42,822 10,509 47,937 11,611 Available Indefinitely 152,714 32,421 147,753 31,028 Total 219,466 48,317 215,425 46,982 Tax credits expiring: Within 10 years 43 43 4 4 More than 10 years 11,058 11,058 9,632 9,632 Available indefinitely — — — — Total 11,101 11,101 9,636 9,636 The Group had U.S. federal net operating losses carry forwards (“NOLs”) of approximately $219.5 million, $215.4 million and $169.7 million as of December 31, 2022, 2021 and 2020, respectively, which are available to offset future taxable income. These NOLs expire through 2037 with the exception of $152.7 million which is not subject to expiration. The Group had U.S. Federal research and development tax credits of approximately $4.5 million, $3.9 million and $3.9 million as of December 31, 2022, 2021 and 2020, respectively, which are available to offset future taxes that expire at various dates through 2042. The Group also had Federal Orphan Drug credits of approximately $6.1 million and $5.7 million as of December 31, 2022, and 2021, which are available to offset future taxes that expire at various dates through 2042. A portion of these Federal NOLs and credits can only be used to offset the profits from the Company’s subsidiaries who file separate Federal tax returns. These NOLs and credits are subject to review and possible adjustment by the Internal Revenue Service. The Group had state net operating losses carry forwards (“NOLs”) of approximately $71.7 million, $27.9 million and $67.4 million for the years ended December 31, 2022, 2021 and 2020, respectively, which are available to offset future taxable income. These NOLs expire at various dates beginning in 2030. The Group had Massachusetts research and development tax credits of approximately $0.6 million, $1.3 million and $2.1 million for the years ended December 31, 2022, 2021 and 2020, respectively, which are available to offset future taxes and expire at various dates through 2037. These NOLs and credits are subject to review and possible adjustment by the Massachusetts Department of Revenue. Utilization of the NOLs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notes that a 382 analysis was performed through December 31, 2022. The results of this analysis concluded that certain net operating losses were subject to limitation under Section 382 of the Internal Revenue Code. None of the Company’s tax attributes which are subject to a restrictive Section 382 limitation have been recognized in the financial statements. Tax Balances The current tax related balances are presented in the Statement of Financial Position as follows: As of December 31 2022 $000s 2021 $000s Income tax receivable – current 10,040 4,514 Trade and Other Payables (57) (57) Uncertain Tax Positions The Company has no uncertain tax positions as of December 31, 2022. U.S. corporations are routinely subject to audit by federal and state tax authorities in the normal course of business. Notes to the Consolidated Financial Statements — continued 25. Taxation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171"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168 PureTech Health plc Annual report and accounts 2022 Fi na nc ia l s ta te m en ts 26. Subsequent Events The Company has evaluated subsequent events after December 31, 2022, the date of issuance of the Consolidated Financial Statements, and has not identified any recordable or disclosable events not otherwise reported in these Consolidated Financial Statements or notes thereto, except for the following: On March 1, 2023 Vedanta issued convertible debt to a syndicate of investors. The initial close of the debt was for proceeds of approximately $88.5 million. The note carries an interest rate of 9 percent per annum. The debt has various conversion triggers and the conversion price is established at the lower of 80% of the equity price of the last financing round, or a certain pre-money valuation cap established in the agreement. As part of the issuance of the debt, the convertible debt holders were granted representation in Vedanta's Board of Directors and PureTech lost control over Vedanta. On April 24, 2023, Vedanta closed the second tranche of the convertible debt for additional proceeds of $18.0 million, of which $5.0 million were invested by the Company. On March 22, 2023, the Company entered into an agreement with Royalty Pharma according to which Royalty Pharma acquired an interset in the Group's royalty from Karuna's KarXT, with $100.0 million in cash up-front, and up to $400.0 million in additional cash consideration, contingent on the achievement of certain regulatory and commercial milestones. Gelesis On February 21, 2023, the Company entered into a Note and Warrant Purchase agreement with Gelesis for $5.0 million cash consideration. As part of the agreement, the Company received a short term convertible senior secured note of $5.0 million and warrants to purchase additional shares of Gelesis' common stock. The note carries an interest rate of 12 percent per annum and holds an initial maturity date of July 31, 2023 unless the note is earlier converted or redeemed by the issuer. On April 10, 2023, the NYSE commenced proceedings to delist the common stock of Gelesis from the NYSE due to Gelesis ceasing to meet certain conditions to trade on such stock exchange. Trading in the Gelesis’s common stock was suspended immediately, and it was subsequently delisted from the NYSE. The common stock of Gelesis is currently available for trading in the over-the-counter (“OTC”) market under the symbol GLSH. In addition, in April 2023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Notes to the Consolidated Financial Statements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172"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169 Fi na nc ia l s ta te m en ts 2022 $000s 2021 $000sNote Assets Non-current assets Investment in subsidiary 2 452,374 148,086 Intercompany long-term receivable 3 — 297,909 Total non-current assets 452,374 445,995 Current assets Other receivables 57 — Cash and cash equivalents 38,503 — Total current assets 38,560 — Total assets 490,934 445,995 Equity and liabilities Equity Share capital 4 5,455 5,444 Share premium 4 289,624 289,304 Treasury stock (26,492) — Merger reserve 4 138,506 138,506 Other reserve 4 18,114 7,730 Retained Earnings/(Accumulated deficit) – (Income for the year $59,198) 4 45,175 (14,022) Total equity 470,382 426,961 Current liabilities Trade and other payables 2,475 1,856 Intercompany payables 5 18,078 17,179 Total current liabilities 20,553 19,034 Total equity and liabilities 490,934 445,995 Please refer to the accompanying Notes to the PureTech Health plc financial information. Registered number: 09582467. The PureTech Health plc financial statements were approved by the Board of Directors and authorized for issuance on April 27, 2023 and signed on its behalf by: Daphne Zohar Chief Executive Officer April 27, 2023 The accompanying Notes are an integral part of these financial statements. PureTech Health plc Statement of Financial Position For the years ended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173"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170 PureTech Health plc Annual report and accounts 2022 Fi na nc ia l s ta te m en ts 2022 $000s 2021 $000s Cash flows from operating activities Net income (loss) 59,198 (3,401) Adjustments to reconcile net income (loss) to net cash provided by (used in) operating activities: Non-cash items: Changes in operating assets and liabilities: Other receivables (57) — Intercompany payable 5,236 2,167 Accounts payable and accrued expenses 619 1,235 Net cash provided by (used in) operating activities 64,995 — Cash flows from investing activities: Net cash provided by (used in) investing activities — — Cash flows from financing activities: Purchase of treasury stocks (26,492) — Net cash provided by (used in) financing activities (26,492) — Net increase in cash and cash equivalents 38,503 — Cash and cash equivalents at beginning of year — — Cash and cash equivalents at end of year 38,503 — Supplemental disclosure of non-cash investing and financing activities: Increase (Decrease) in investment against share-based awards 10,384 (12,995) Conversion of intercompany receivable (net of a portion of intercompany payable) into investment 293,904 — Exercise of share-based awards against intercompany receivable 332 352 The accompanying Notes are an integral part of these financial statements. PureTech Health plc Statements of Cash Flows For the years ended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174" descr=""/>
                    <pic:cNvPicPr>
                      <a:picLocks noChangeAspect="1" noChangeArrowheads="1"/>
                    </pic:cNvPicPr>
                  </pic:nvPicPr>
                  <pic:blipFill>
                    <a:blip r:embed="rId20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171 Fi na nc ia l s ta te m en ts Share Capital Treasury Shares Shares Amount $000s Share Premium $000s Shares Amount $000s Merger Reserve $000s Other Reserve $000s Retained earnings/ (Accumulated deficit) $000s Total equity $000s Balance January 1, 2021 285,885,025 5,417 288,978 — — 138,506 20,725 (10,620) 443,005 Total comprehensive loss for the year — — — — — — — — — Exercise of share- based awards 1,911,560 27 326 — — — — — 352 Equity settled share- based payments — — — — — — 7,109 — 7,109 Settlement of restricted stock units — — — — — — (10,749) — (10,749) Vesting of share- based awards and net share exercise — — — — — — (2,582) — (2,582) Reclassification of equity settled awards to liability awards in subsidiary — — — — — — (6,773) — (6,773) Net loss — — — — — — — (3,401) (3,401) Balance December 31, 2021 287,796,585 5,444 289,303 — — 138,506 7,730 (14,022) 426,961 Total comprehensive loss for the year — — — — — — — — — Exercise of share- based awards 577,022 11 321 — — — — — 332 Equity settled share- based payments — — — — — — 8,856 — 8,856 Settlement of restricted stock units 788,046 — — — — — 1,528 — 1,528 Purchase of Treasury stock — — — (10,595,347) (26,492) — — — (26,492) Net income — — — — — — — 59,198 59,198 Balance December 31, 2022 289,161,653 5,455 289,624 (10,595,347) (26,492) 138,506 18,114 45,176 470,382 The accompanying Notes are an integral part of these financial statements. PureTech Health plc Statements of Changes in Equity For the years ended December 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175" descr=""/>
                    <pic:cNvPicPr>
                      <a:picLocks noChangeAspect="1" noChangeArrowheads="1"/>
                    </pic:cNvPicPr>
                  </pic:nvPicPr>
                  <pic:blipFill>
                    <a:blip r:embed="rId20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172 PureTech Health plc Annual report and accounts 2022 Fi na nc ia l s ta te m en ts 1. Accounting policies Basis of Preparation and Measurement The financial statements of PureTech Health plc (the “Parent”) are presented as of December 31, 2022 and 2021, and for the years ended December 31, 2022 and 2021, and have been prepared under the historical cost convention in accordance with international accounting standards in conformity with the requirements of UK-adopted International Financial Reporting Standards (IFRSs). The financial statements of PureTech Health plc also comply fully with IFRSs as issued by the International Accounting Standards Board (IASB). A summary of the significant accounting policies that have been applied consistently throughout the year are set out below. Functional and Presentation Currency The functional currency of the Parent is United States (“U.S.”) Dollars and the financial statements are presented in U.S. Dollars. Investments Investments are stated at historic cost less any provision for impairment in value and are held for long-term investment purposes. Provisions are based upon an assessment of events or changes in circumstances that indicate that an impairment has occurred such as the performance and/or prospects (including the financial prospects) of the investee company being significantly below the expectations on which the investment was based, a significant adverse change in the markets in which the investee company operates or a deterioration in general market conditions. Impairment If there is an indication that an asset might be impaired, the Parent would perform an impairment review. An asset is impaired if the recoverable amount, being the higher of net realizable value and value in use, is less than its carrying amount. Value in use is measured based on future discounted cash flows attributable to the asset. In such cases, the carrying value of the asset is reduced to recoverable amount with a corresponding charge recognized in the profit and loss account. Dividend Income Dividend received from the Parent's subsidiary is recorded as dividend income in the profit and loss statement. Financial Instruments Currently the Parent does not enter into derivative financial instruments. Financial assets and financial liabilities are recognized and cease to be recognized on the basis of when the related titles pass to or from the Parent Company. Equity Settled Share Based Payments Share based payment awards granted in subsidiaries to employees and consultants to be settled in Parent's equity instruments are accounted for as equity-settled share-based payment transactions in accordance with IFRS 2. The grant date fair value of employee share-based payment awards granted in subsidiaries is recognized as an increase to the investment with a corresponding increase in equity over the requisite service period related to the awards. The fair value is measured using an option pricing model, which takes into account the terms and conditions of the options granted. When the subsidiary settles the equity awards other than by the Parent's equity the settlement is recorded as a decrease in equity against a corresponding decrease to the investment account. 2. Investment in subsidiary $000s Balance at May 8, 2015 — Investment in PureTech LLC as a result of the reverse acquisition 141,348 Increase due to equity settled share based payments granted to employees and service providers in subsidiaries 19,734 Balance at December 31, 2020 161,082 Decrease due to equity settled share based payments granted to employees and service providers in subsidiaries (12,996) Balance at December 31, 2021 148,086 Increase due to equity settled share based payments granted to employees and service providers in subsidiaries 10,384 Conversion of intercompany receivable (net of a portion of intercompany payable) into investment 293,904 Balance at December 31, 2022 452,374 PureTech consists of the Parent and its subsidiaries (together, the “Group”). Investment in subsidiary represents the Parent’s investment in PureTech LLC as a result of the reverse acquisition of the Group’s financial statements immediately prior to the Parent’s initial public offering (“IPO”) on the London Stock Exchange in June 2015. PureTech LLC operates in the U.S. as a US-focused scientifically driven research and development company that conceptualizes, sources, validates and commercializes different approaches to advance the needs of human health. For a summary of the Parent’s indirect subsidiaries please refer to Note 1 of the Consolidated Financial Statements of PureTech Health plc. In 2020, the Parent recognized a $19.7 million increase in its investment in its operating subsidiary PureTech LLC due to equity settled share based payments granted to employees and service providers in subsidiaries. $24.8 million out of such amount related to amounts which should have been recognized at December 31, 2019. The prior year balance sheet has not been adjusted since the Directors do not believe this item is qualitatively material to users of the financial statements, it has no impact on distributable reserves of the Parent and no impact on the Group consolidated financial statements. The disclosure Notes to the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176" descr=""/>
                    <pic:cNvPicPr>
                      <a:picLocks noChangeAspect="1" noChangeArrowheads="1"/>
                    </pic:cNvPicPr>
                  </pic:nvPicPr>
                  <pic:blipFill>
                    <a:blip r:embed="rId20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173 Fi na nc ia l s ta te m en ts relating to such share based payment awards is detailed in Note 8 of the accompanying Consolidated Financial Statements. The decrease in 2021 and increase in 2022 due to such share based payments results from the expense related to the grant of equity settled share based awards, as well as settlements and payments of these equity awards by the subsidiaries, or settlement of share based payments through equity by the Company. 3. Share capital and reserves PureTech plc was incorporated with the Companies House under the Companies Act 2006 as a public company on May 8, 2015. On March 12, 2018, the Company raised approximately $100.0 million, before issuance costs and other expenses, by way of a Placing of 45,000,000 placing shares. On June 24, 2015, the Company authorized 227,248,008 of ordinary share capital at one pence apiece. These ordinary shares were admitted to the premium listing segment of the United Kingdom’s Listing Authority and traded on the Main Market of the London Stock Exchange for listed securities. In conjunction with the authorization of the ordinary shares, the Parent completed an IPO on the London Stock Exchange, in which it issued 67,599,621 ordinary shares at a public offering price of 160 pence per ordinary share, in consideration for $159.3 million, net of issuance costs of $11.8 million. Additionally, the IPO included an over-allotment option equivalent to 15 percent of the total number of new ordinary shares. The stabilization manager provided notice to exercise in full its over-allotment option on July 2, 2015. As a result, the Parent issued 10,139,943 ordinary shares at the offer price of 160 pence per ordinary share, which resulted in net proceeds of $24.2 million, net of issuance costs of $0.8 million. During the years ended December 31, 2022 and 2021, Other reserves increased (decreased) by $10.4 million and $(13.0) million, respectively due to equity settled share based payments granted to employees and service providers in subsidiaries. See Note 2 above. Treasury stock On May 9, 2022, PureTech Health plc (the “Company”) announced the commencement of a $50.0 million share repurchase program of its ordinary shares of one pence each (“Ordinary Shares”). The Company plans to execute the Program in two equal tranches. In respect of the two tranches, PureTech entered into an irrevocable (see below) non-discretionary instruction with Jefferies International Limited (“Jefferies”) in relation to the purchase by Jefferies of Ordinary Shares for an aggregate consideration (excluding expenses) of no greater than $25.0 million for each tranche, and the simultaneous on-sale of such Ordinary Shares by Jefferies to PureTech. Jefferies makes its trading decisions in relation to the Ordinary Shares independently of, and uninfluenced by, the Company. Purchases may continue during any close period to which the Company is subject. The instruction to Jeffries may be amended or withdrawn so long as the Company is not in a close period or otherwise in possession of inside information. Any purchases of Ordinary Shares under the Program were carried out on the London Stock Exchange and could be carried out on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annual general meeting on May 27, 2021, and relevant Rules and Regulations. All Ordinary Shares repurchased under the Program are held in treasury. As of December 31, 2022, the Company repurchased an aggregate of 10,595,347 Ordinary Shares under the share repurchase program. 4. Intercompany payables The Parent has a balance due to its operating subsidiary PureTech LLC of $18.1 million as of December 31, 2022, which is related to IPO costs and operating expenses. These intercompany payables do not bear any interest and are repayable upon demand. 5. Profit and loss account As permitted by Section 408 of the Companies Act 2006, the Parent’s profit and loss account has not been included in these financial statements. The Parent’s income for the year was $59.2 million. During the year ended December 31, 2022 the Parent recorded income of $65.0 million in respect of dividend received from its subsidiary. 6. Directors’ remuneration, employee information and share-based payments The remuneration of the executive Directors of the Parent Company is disclosed in Note 24, Related Parties Transactions, of the accompanying Consolidated Financial Statements. Full details for Directors’ remuneration can be found in the Directors’ Remuneration Report. Full detail of the share-based payment charge and the related disclosures can be found in Note 8, Share-based Payments, of the accompanying Consolidated Financial Statements. The Parent had no employees during 2022 or 2021. Notes to the Financial Statements — continued 2. Investment in subsidiary — continued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177"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174 PureTech Health plc Annual report and accounts 2022 Fi na nc ia l s ta te m en ts We were incorporated and registered under the laws of England and Wales with the Registrar of Companies of England and Wales, United Kingdom in May 2015 as “PureTech Health plc.” Our predecessor entity, PureTech Health LLC, or our Predecessor Entity, commenced formal operations and began engaging in initial sourcing activities in 2004, raising its first financing round greater than $5 million in the same year. The Predecessor Entity was acquired by PureTech Health plc on June 18, 2015 in a reorganization completed in connection with our initial public offering on the London Stock Exchange. The Predecessor Entity is now a wholly-owned subsidiary of PureTech Health plc. Our registered office is situated at 8th Floor, 20 Farringdon Street, London EC4A 4AB, United Kingdom, and our telephone number is +(1) 617 482 2333. Our U.S. operations are conducted by our wholly-owned subsidiary PureTech Health LLC, a Delaware limited liability company. Our ordinary shares have traded on the main market of the London Stock Exchange since June 2015 and our ADSs have traded on the Nasdaq Global Market since November 2020. Our agent for service of process in the United States is PureTech Health LLC located at 6 Tide Street, Suite 400, Boston, Massachusetts 02210 where our corporate headquarters and laboratories are located. Our website address is http://puretechhealth.com. The reference to our website is an inactive textual reference only and information contained in, or that can be accessed through, our website or any other website cited in this annual report is not part of hereof. History and Development of the Company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178"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175 A d d it io na l i nf o rm at io n You should read this Annual Report and Accounts, our associated Annual Report on Form 20-F and the documents that we have filed as exhibits to the Annual Report on 20-F completely and with the understanding that our actual future results may be materially different from what we expect. We qualify all of our forward-looking statements by these cautionary statements. This Annual Report and Accounts and our associated Annual Report on Form 20-F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Risks Related to our Financial Position and Need for Additional Capital We are a clinical-stage biotherapeutics company and have incurred significant operating losses since our inception. We may continue to incur significant operating losses for the foreseeable future. Investment in biotechnology therapeutic development, as well as medical device development, is highly speculative because it entails substantial upfront capital expenditures and significant risk that any potential therapeutic candidate will be unable to demonstrate effectiveness or an acceptable safety profile, gain regulatory approval or certification (where applicable) and become commercially viable. To date, only two of our Founded Entities’ therapeutics, Gelesis, Inc.’s Plenity® and Akili Interactive Labs, Inc.’s EndeavorRx®, have received marketing authorization from the U.S. Food and Drug Administration, or the FDA, and have been CE Marked in the European Union, or EU. All of the therapeutic candidates in our Wholly Owned Pipeline and the majority of our Founded Entities’ therapeutic candidates may require substantial additional development time, including extensive clinical research, and resources before we would be able to apply for or receive regulatory clearances, certifications or approvals and begin generating revenue from therapeutic sales. Since our inception, we have invested most of our resources in developing our technology and therapeutic candidates, building our intellectual property portfolio, developing our supply chain, conducting business planning, raising capital and providing general and administrative support for these operations, including with respect to our Founded Entities. We are not operationally profitable and have incurred operating losses in each year since our inception. Our operating losses for the years ended December 31, 2020, 2021 and 2022 were $119.6 million, $149.2 million and $197.8 million, respectively. We have no therapeutics developed in our Wholly Owned Pipeline approved for commercial sale and have not generated any revenues from therapeutic sales, and we and our Founded Entities have financed operations solely through the sale of equity securities, revenue from strategic alliances and government funding and, with respect to certain of our Founded Entities, debt financings. We continue to incur significant research and development, or R&amp;D, and other expenses related to ongoing operations and expect to incur losses for the foreseeable future. We anticipate continued losses for the foreseeable future. Due to risks and uncertainties associated with the development of drugs, biologics and medical devices, we are unable to predict the timing or amount of our expenses, or when we will be able to generate any meaningful revenue or achieve or maintain profitability, if ever. In addition, our expenses could increase beyond our current expectations if we are required by the FDA, the European Medicines Agency, or the EMA, or other comparable foreign regulatory authorities and notified bodies in the EU to perform preclinical studies or clinical trials in addition to those that we currently anticipate, or if there are any delays in any of our or our future collaborators’ clinical trials or the development of our existing therapeutic candidates and any other therapeutic candidates that we may identify. Even if our existing therapeutic candidates or any future therapeutic candidates that we may identify are approved for commercial sale, we anticipate incurring significant costs associated with commercializing any approved therapeutic and ongoing compliance efforts. As of December 31, 2022, we had never generated revenue from the therapeutic candidates within our Wholly Owned Pipeline, and we may never be operationally profitable. While Gelesis, Inc., or Gelesis, and Akili Interactive Labs, Inc., or Akili, have received marketing authorization for Plenity and EndeavorRx, respectively, from the FDA and certification from notified bodies in the EU, we may never be able to develop or commercialize marketable therapeutics or achieve operational profitability. Revenue from the sale of any therapeutic candidate for which regulatory clearance, certification, authorization or approval is obtained will be dependent, in part, upon the size of the markets in the territories for which we gain regulatory clearance, certification, authorization or approval, the accepted price for the therapeutic, the ability to obtain reimbursement at any price and whether we own the commercial rights for that territory. Our growth strategy depends on our ability to generate revenue. In addition, if the number Our business faces significant risks. You should carefully consider all of the information set forth in this Annual Report and Accounts, including the following risk factors which we face and which are faced by our industry. These risks are not listed in any particular order of priority and are intended to supplement the risks identified elsewhere. Our business, financial condition or results of operations could be materially and adversely affected if any of these risks occur. This Annual Report and Accounts and our associated Annual Report on Form 20-F also contain forward-looking statements that involve risks and uncertainties. Our actual results could differ materially and adversely from those anticipated in these forward-looking statements as a result of certain factors including the risks described below and elsewhere. All statements contained in this Annual Report and Accounts and our associated Annual Report on Form 20-F,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“target,” “potential,” “would,” “could,” “should,” “continue” and similar expressions are intended to identify forward-looking statements, although not all forward-looking statements contain these identifying words. The forward-looking statements in this Annual Report and Accounts and associated Annual Report on Form 20-F include, among other things, statements about: • our ability to realize value from our Founded Entities, which may be impacted if we reduce our ownership to a minority interest or otherwise cede control to other investors through contractual agreements or otherwise; • the success, cost and timing of our clinical development of our Wholly Owned Programs, including the progress of, and results from, our preclinical and clinical trials of LYT-100, LYT-200, LYT-300, LYT-310, LYT-503 /IMB-150, or our therapeutics candidates, and our technology platforms and other potential therapeutic candidates within our Wholly Owned Pipeline; • our ability to obtain and maintain regulatory clearance, certification, authorization, or approval of the therapeutic candidates within our Wholly Owned Pipeline or our Founded Entities, and any related restrictions, limitations or warnings in the label of any of the therapeutic candidates, if cleared, certified, authorized, or approved; • our ability to compete with companies currently marketing or engaged in the development of treatments for indications within our Wholly Owned Pipeline or those of our Founded Entities are designed to target; • our plans to pursue research and development of other future therapeutic candidates; • the potential advantages of the therapeutic candidates within our Wholly Owned Pipeline and the therapeutic candidates being developed by our Founded Entities; • the rate and degree of market acceptance and clinical utility of our therapeutic candidates; • the success of our collaborations and partnerships with third parties; • our estimates regarding the potential market opportunity for the therapeutic candidates within our Wholly Owned Pipeline and the therapeutic candidates being developed by our Founded Entities; • our sales, marketing and distribution capabilities and strategy; • our ability to establish and maintain arrangements for manufacture of the therapeutic candidates within our Wholly Owned Pipeline and therapeutic candidates being developed by our Founded Entities; • our intellectual property position; • our expectations related to the use of capital; • the effect of the COVID-19 pandemic, including mitigation efforts and economic effects, on any of the foregoing or other aspects of our business operations; • our estimates regarding expenses, future revenues, capital requirements and needs for additional financing; • the impact of government laws and regulations; and • our competitive position.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should refer to the below for a discussion of important factors that may cause our actual results to differ materially from those expressed or implied by our forward-looking statements. Our forward-looking statements do not reflect the potential impact of any future acquisitions, mergers, dispositions, joint ventures or investments we may make. Risk Factor Annex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179"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176 PureTech Health plc Annual report and accounts 2022 Risk Factor Annex — continued A d d it io na sl in fo rm at io n Our future funding requirements, both short-term and long-term, will depend on many factors, including, but not limited to: • the time and cost necessary to complete ongoing, planned and future unplanned clinical trials (such term to include clinical studies in these Risk Factors where context requires and the item being studied or subject of a potential study may be regulated as a medical device in the EU), including our ongoing clinical trials for certain of our therapeutic candidates, and potential future clinical trials for certain of our therapeutic candidates; • the outcome, timing and cost of meeting regulatory requirements established by the FDA, the EMA and other comparable foreign regulatory authorities; • the progress, timing, scope and costs of our preclinical studies, clinical trials and other related activities for our ongoing and planned clinical trials, and potential future clinical trials; • the costs of obtaining clinical and commercial supplies of raw materials and drug products for the therapeutic candidates within our Wholly Owned Pipeline, as applicable, and any other therapeutic candidates we may identify and develop; • our ability to successfully identify and negotiate acceptable terms for third-party supply and contract manufacturing agreements with contract manufacturing organizations, or CMOs; • the costs of commercialization activities for any of the therapeutic candidates within our Wholly Owned Pipeline that receive marketing approval, including the costs and timing of establishing therapeutic sales, marketing, distribution and manufacturing capabilities, or entering into strategic collaborations with third parties to leverage or access these capabilities; • the amount and timing of sales and other revenues from the therapeutic candidates within our Wholly Owned Pipeline, if approved, including the sales price and the availability of coverage and adequate third-party reimbursement; • the cash requirements of our Founded Entities and our ability and willingness to provide them with financing; • the cash requirements of any future acquisitions or discovery of therapeutic candidates; • the time and cost necessary to respond to technological and market developments, including other therapeutics that may compete with one or more of our Wholly Owned Programs; • the costs of acquiring, licensing or investing in intellectual property rights, therapeutics, therapeutic candidates and businesses; • our ability to attract, hire and retain qualified personnel as we expand R&amp;D and establish a commercial infrastructure; • the costs of maintaining, expanding and protecting our intellectual property portfolio; • the costs of operating as a public company in the United Kingdom, or UK, and the United States and maintaining listings on both the London Stock Exchange, or the LSE, and The Nasdaq Global Market, or Nasdaq; and • costs associated with any adverse market conditions or other macroeconomic factors. We cannot be certain that additional funding will be available on acceptable terms, or at all. If adequate funds are not available to us on a timely basis, we may be required to delay, limit or terminate one or more research or development programs or the potential commercialization of any approved therapeutics or be unable to expand operations or otherwise capitalize on business opportunities, as desired, which could materially affect our business, prospects, financial condition and results of operations. Raising additional capital may cause dilution to our existing shareholders, restrict our operations or require us to relinquish rights to current therapeutic candidates or to any future therapeutic candidates on unfavorable terms. We expect our expenses to increase in connection with our planned operations. Unless and until we can generate a substantial amount of revenue from the therapeutic candidates within our Wholly Owned Pipeline or royalties and other monetization events related to our Founded Entities, we expect to finance our future cash needs through a combination of public and private equity offerings, debt financings, strategic partnerships, sales of assets and alliances and licensing arrangements. We, and indirectly, our shareholders, may bear the cost of issuing and servicing any such securities and of entering into and maintaining any such strategic partnerships or other arrangements. Because any decision by us to issue debt or equity securities in the future will depend on market conditions and other factors beyond our control, we cannot predict or estimate the amount, timing or of addressable patients is not as anticipated, the indication or intended use cleared, certified, authorized or approved by regulatory authorities or notified bodies is narrower than expected, or the reasonably accepted population for treatment is narrowed by competition, physician choice or treatment guidelines, we may not generate significant revenue from sales of such therapeutics, even if cleared, certified, authorized or approved. Even if we are able to generate revenue from the sale of any cleared, certified, authorized or approved therapeutics, we may not become operationally profitable and may need to obtain additional funding to continue operations. Even if we achieve operational profitability in the future, we may not be able to sustain profitability in subsequent periods. If we are unable to achieve sustained profitability, it would depress the value of our company and could impair our ability to raise capital, expand our business, diversify our R&amp;D pipeline, market the therapeutic candidates within our Wholly Owned Pipeline, if cleared or approved, and pursue or continue our operations. Our prior losses, combined with expected future losses, have had and may continue to have an adverse effect on our shareholders’ equity and working capital. We may require substantial additional funding to achieve our business goals. If we are unable to obtain this funding when needed and on acceptable terms, we could be forced to delay, limit or terminate certain of our therapeutic development efforts. Certain of our Founded Entities will similarly require substantial additional funding to achieve their business goals. Across our Wholly Owned Programs and our Founded Entities, we established the underlying programs and platforms that have resulted in the development of 27 therapeutics and therapeutic candidates, including two (Plenity and EndeavorRx) that have received both U.S. FDA clearance and European marketing authorization and a third (KarXT) that we expect will soon be filed for FDA approval. Developing biotherapeutics is expensive and time-consuming, and with respect to the therapeutic candidates within our Wholly Owned Pipeline, we expect to require substantial additional capital to conduct research, preclinical studies and clinical trials for our current and future programs, establish pilot scale and commercial scale manufacturing processes and facilities, seek regulatory approvals for the therapeutic candidates within our Wholly Owned Pipeline and launch and commercialize any therapeutics for which we receive regulatory approval, including building our own commercial sales, marketing and distribution organization. With respect to our Founded Entities’ programs, we anticipate that we will continue to fund a small portion of development costs by strategically participating in such companies’ financings when doing so would be in the interests of our shareholders. The form of any such participation may include investment in public or private financings, collaboration and partnership arrangements and licensing arrangements, among others. Our management and strategic decision makers have not made decisions regarding the future allocation of certain of our resources among our Founded Entities, but evaluate the needs and opportunities with respect to each of these Founded Entities routinely and on a case- by-case basis. In connection with any collaboration agreements relating to our Wholly Owned Programs, we are also responsible for the payments to third parties of expenses that may include milestone payments, license maintenance fees and royalties, including in the case of certain of our agreements with academic institutions or other companies from whom intellectual property rights underlying their respective programs have been in-licensed or acquired. Because the outcome of any preclinical or clinical development and regulatory approval process is highly uncertain, we cannot reasonably estimate the actual amounts necessary to successfully complete the development, regulatory approval or certification process and potential commercialization of our Wholly Owned Programs and any future therapeutic candidates we may identify. As of December 31, 2022, we had cash, cash equivalents and short term investments of $339.5 million at the PureTech Health plc level. However, our operating plan may change as a result of many factors currently unknown to us, and we may need to seek additional funds sooner than planned, through public or private equity or debt financings, sales of assets or programs, other sources, such as strategic collaborations or license and development agreements, or a combination of these approaches. Even if we believe we have sufficient funds for our current or future operating plans, we may opportunistically seek additional capital if market conditions are favorable or if we have specific strategic considerations. Our spending will vary based on new and ongoing therapeutic development and corporate activities. Any such additional fundraising efforts for us may divert our management from their day-to-day activities, which may adversely affect our ability to develop and commercialize therapeutic candidates that we may identify and pursue. Moreover, such financing may result in dilution to shareholders, imposition of debt covenants and repayment obligations, or other restrictions that may affect our business.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180"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177 Risk Factor Annex — continued A d d it io na l i nf o rm at io n As certain of our Founded Entities have completed equity financings, they have entered into certain agreements with the investors participating in such financings, including us. We are party to voting agreements with Entrega, Inc., or Entrega, Sonde Health, Inc., or Sonde and Follica, Incorporated, or Follica; investors’ rights agreements with Akili, Follica, Vedanta, Entrega, Sonde and Vor Biopharma Inc., or Vor, and stockholders’ agreements with Gelesis, Akili, Follica, Vedanta, Entrega, and Sonde, pursuant to which we are subject to certain restrictions on the transfer or sale of shares (e.g., pre-emptive rights or drag-along, tag-along rights or lock up agreements), and we may not be able freely to transfer our interest in such Founded Entities or procure the sale of the entire issued share capital of such Founded Entities, similar to other investors who are party to these agreements. In addition, many of our Founded Entities have employee share plans which further dilute our interest in such business. If the affairs of one or more of our Founded Entities were to be conducted in a manner detrimental to our interests or intentions or if we were unable to realize our interest in a Founded Entity or suffer dilution of our shareholding, this could have a material adverse effect on our business, financial condition or results of operation and prospects. Our overall value may be dominated by a single or limited number of our Founded Entities. A large proportion of our overall value may at any time reside in a small proportion of our Founded Entities. Accordingly, there is a risk that if one or more of the intellectual property or commercial rights relevant to a valuable business were impaired, this would have a material adverse impact on our overall value. Furthermore, a large proportion of our overall revenue may at any time be the subject of one, or a small number of, licensed technologies. Should the relevant licenses be terminated or expire this would be likely to have a material adverse effect on the revenue received by us. Any material adverse impact on the value of the business of a Founded Entity could, in the situations described above, or otherwise, have a material adverse effect on our business, financial condition, trading performance and/or prospects. We have limited information about and limited control or influence over our Non-Controlled Founded Entities. While we maintain ownership of equity interests in our Non-Controlled Founded Entities, we do not maintain voting control or direct management and development efforts for these entities. Each of these entities are independently managed, and we do not control the clinical and regulatory development of these Non-Controlled Founded Entities’ therapeutic candidates. Any failure by our Non-Controlled Founded Entities to adhere to regulatory requirements, initiate preclinical studies and clinical trials on schedule or to obtain clearances or approvals for their therapeutic candidates could have an adverse effect on our business, financial condition, results of operation and prospects. The information included in this report about our Non-Controlled Founded Entities is based on (i) our knowledge, which may in some cases be limited, (ii) information that is publicly available, including the public filings of SEC reporting companies, such as Karuna, Vor, Akili and Gelesis, and (iii) information provided to us by our Non-Controlled Founded Entities. Where a date is provided, the information included in this report about our Non-Controlled Founded Entities is as of that date and you should not assume that it is accurate as of any other date. As such, there may be developments at our Non-Controlled Founded Entities of which we are unaware that could have an adverse effect on our business, financial condition, results of operation and prospects. Our Founded Entities are difficult to value given that many of their therapeutic candidates are in the development stage. Investments in early-stage companies, particularly privately held entities, are inherently difficult to value since sales, cash flow and tangible asset values are very limited, which makes the valuation highly dependent on expectations of future development, and any future significant revenues would only arise in the medium to longer terms and are uncertain. Equally, investments in companies just commencing the commercial stage are also difficult to value since sales, cash flow and tangible assets are limited, they have only commenced initial receipts of revenues and valuations are still dependent on expectations of future development. There can be no guarantee that our valuation of our Founded Entities will be considered to be correct in light of the early stage of development for many of these entities and their future performance. As a result, we may not realize the full value of our ownership in such Founded Entities which could adversely affect our business and results of operations. For example, on November 15, 2019, resTORbio, Inc., or resTORbio, announced that its lead therapeutic candidate, RTB101, did not meet its primary endpoint in its Phase 3 study and ceased further development leading to a decline in resTORbio’s stock price from $9.27 to $1.09 and our sale of 7,680,700 common shares of resTORbio. As a result of the foregoing, we recognized a total cash loss of approximately $10 million from our initial investment through sale of shares. nature of any future financing transactions. To the extent that we or our Founded Entities raise additional capital through the sale of equity or convertible debt securities, your ownership interest will be diluted, and the terms may include liquidation or other preferences that adversely affect your rights as a shareholder. The incurrence of additional indebtedness would result in increased fixed payment obligations and could involve additional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therapeutic candidates, or grant licenses or other rights on unfavorable terms. In addition, if any of our Founded Entities raises funds through the issuance of equity securities, our shareholders’ indirect equity interest in such Founded Entity could be substantially diminished. If any of our Founded Entities raises additional funds through collaboration and licensing arrangements, it may be necessary to relinquish some rights to our technologies or these therapeutic candidates or grant licenses on terms that are not favorable to us. If we engage in acquisitions or strategic partnerships, this may increase our capital requirements, dilute our shareholders, cause us to incur debt or assume contingent liabilities and subject us to other risks. We may engage in various acquisitions and strategic partnerships in the future, including licensing or acquiring complementary therapeutics, intellectual property rights, technologies or businesses. Any acquisition or strategic partnership may entail numerous risks, including: • increased operating expenses and cash requirements; • the assumption of indebtedness or contingent liabilities; • the issuance of our equity securities which would result in dilution to our shareholders; • assimilation of operations, intellectual property, therapeutics and therapeutic candidates of an acquired company, including difficulties associated with integrating new personnel; • the diversion of our management’s attention from our existing therapeutic programs and initiatives in pursuing such an acquisition or strategic partnership; • retention of key employees, the loss of key personnel and uncertainties in our ability to maintain key business relationships; • risks and uncertainties associated with the other party to such a transaction, including the prospects of that party and their existing therapeutics or therapeutic candidates and regulatory approvals; and • our inability to generate revenue from acquired intellectual property, technology and/or therapeutics sufficient to meet our objectives or even to offset the associated transaction and maintenance costs. In addition, if we undertake such a transaction, we may issue dilutive securities, assume or incur debt obligations, incur large one-time expenses and acquire intangible assets that could result in significant future amortization expense. Risks Related to Our Founded Entities Our ability to realize value from our Founded Entities may be impacted if we reduce our ownership or otherwise cede control to other investors through contractual agreements or otherwise. We do not have a majority interest in our Non-Controlled Founded Entities. Our interests may be further reduced as such companies raise capital from third-party investors. In addition, we may agree to contractual arrangements for the funding of further developments by one or more of our Founded Entities. As a result, with respect to our Non-Controlled Founded Entities, we may not be able to exercise control over the affairs of such Founded Entity, including that Founded Entity’s governance arrangements and access to management and financial information. We are also party to agreements with certain of our Founded Entities that contain provisions which could force us to exit from that Founded Entity at a time and/or price determined by other investor(s) (for example, by the exercise of drag-along rights). If we were forced to exit out of a Founded Entity, this could have a material adverse effect on our business, financial condition or results of operations and prospects. In addition, if the affairs of one or more Founded Entities in which we hold a minority stake were to be conducted in a manner detrimental to our interests or intentions, our business, reputation and prospects may be adversely affected.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181"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178 PureTech Health plc Annual report and accounts 2022 Risk Factor Annex — continued A d d it io na sl in fo rm at io n Founded Entities, with the exceptions of Gelesis and Akili, currently have no drugs or biologics approved or devices cleared, certified, authorized or approved for sale and have not generated any revenue from sales of drugs, biologics or devices. We cannot guarantee that we or our Founded Entities will be able in the future to develop or successfully commercialize any of our or their therapeutic candidates. Additionally, the FDA has limited experience reviewing live biological therapeutics using a defined cocktail of microbes, which could result in regulatory complexity in Vedanta’s pipeline. There is also no approved drug therapy for lymphedema, which will require us to engage in further discussions with the FDA on requirements for potential approval. Other than Gelesis’ Plenity and Akili’s EndeavorRx, all of our Wholly Owned Programs and our Founded Entities’ therapeutic candidates require additional development; management of preclinical, clinical, and manufacturing activities; and/or regulatory clearances, certification, authorization or approvals. In addition, we or our Founded Entities may need to obtain adequate manufacturing supply; build a commercial organization; commence marketing efforts; and obtain coverage and reimbursement before we generate any significant revenue from commercial therapeutic sales, if ever. Many of the therapeutic candidates in our Wholly Owned Pipeline and our Founded Entities’ therapeutic candidates are in early-stage research or translational phases of development, and the risk of failure for these programs is high. We cannot be certain that any of the therapeutic candidates in our Wholly Owned Pipeline or our Founded Entities’ therapeutic candidates will be successful in clinical trials or receive regulatory approval, authorization or clearance. Further, our Wholly Owned Programs or our Founded Entities’ therapeutic candidates may not receive regulatory clearance, certification, authorization or approval even if we believe they are successful in clinical trials. If we or our Founded Entities do not receive regulatory clearance, certification, authorization or approval for our or their therapeutic candidates, we may not be able to continue operations, which may result in dissolution, out- licensing the technology or pursuing an alternative strategy. Preclinical development is uncertain. Our preclinical programs may experience delays or may never advance to clinical trials, which would adversely affect our ability to obtain regulatory clearance, authorization or approvals or commercialize these programs on a timely basis or at all, which would have an adverse effect on our business. Certain of our Wholly Owned Programs are in the preclinical stage, and their risk of failure is high. Before we can commence clinical trials for a therapeutic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Clinical trials of our or our Founded Entities’ therapeutic candidates may be delayed, and certain programs may never advance in the clinic or may be more costly to conduct than we anticipate, any of which can affect our ability to fund our company and would have a material adverse impact on our platform or our business. Clinical testing is expensive, time-consuming, and subject to uncertainty.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A failure of one or more clinical trials can occur at any stage of testing, and our clinical trials may not be successful. Events that may prevent successful or timely initiation or completion of clinical trials include: • inability to generate sufficient preclinical, toxicology, or other in vivo or in vitro data to support the initiation or continuation of clinical trials; • delays in confirming target engagement, patient selection or other relevant biomarkers to be utilized in preclinical and clinical therapeutic candidate development; • delays in reaching a consensus with regulatory agencies as to the design or implementation of our clinical studies; • delays in reaching agreement on acceptable terms with prospective contract research organizations, or CROs, and clinical trial sites, the terms of which can be subject to extensive negotiation and may vary significantly among different CROs and clinical trial sites; • delays in identifying, recruiting and training suitable clinical investigators; Certain of our and our Founded Entities’ therapeutics and therapeutic candidates represent novel therapeutic approaches and negative perception of any therapeutic or therapeutic candidate that we or they develop could adversely affect our ability to conduct our business, obtain and maintain regulatory clearance, authorization or approvals or identify alternate regulatory pathways to market for such therapeutic candidate. Certain of our and our Founded Entities’ therapeutic candidates are considered relatively new and novel therapeutic approaches. Our and their success will depend upon physicians who specialize in the treatment of diseases targeted by our and their therapeutic candidates, prescribing potential treatments that involve the use of our and their therapeutic candidates, if approved, in lieu of, or in addition to, existing treatments with which they are more familiar and for which greater clinical data may be available. Access will also depend on consumer acceptance and adoption of therapeutics that are commercialized. In addition, responses by the U.S., state or foreign governments to negative public perception or ethical concerns may result in new legislation or regulations that could limit our or our Founded Entities’ ability to develop or commercialize any therapeutic candidates, obtain or maintain regulatory approval, identify alternate regulatory pathways to market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or our Founded Entities’ therapeutic candidates or demand for any therapeutics we or they may develop. For example, in the United States and the European Union, no therapeutics to date have been approved specifically demonstrating an impact on the microbiome as part of their therapeutic effect. Vedanta is developing a pipeline of microbiome-derived modulators for immune and infectious disease. Microbiome therapies may not be successfully developed or commercialized or gain the acceptance of the public or the medical community. Additionally, adverse events, or AEs, in non-investigational new drug application, or IND, human clinical studies and clinical trials of Vedanta’s therapeutic candidates or in clinical trials of other companies developing similar therapeutics and the resulting publicity, similarly to the AEs publicized with respect to Seres Therapeutics, Inc.’s SER-287 Phase 2 clinical trial, as well as any other AEs in the field of the microbiome, could result in a decrease in demand for any therapeutic that Vedanta may develop. Finally, the FDA, the EMA or other comparable foreign regulatory authorities may lack experience in evaluating the safety and efficacy of therapeutic candidates based on microbiome therapeutics, which could result in a longer than expected regulatory review process, increase expected development costs and delay or prevent potential commercialization of therapeutic candidates. Risks Related to the Clinical Development, Regulatory Review and Approval of our and our Founded Entities’ Therapeutic Candidates Risks Related to Clinical Development The therapeutic candidates within our Wholly Owned Pipeline and most of our Founded Entities’ therapeutic candidates are in preclinical or clinical development, which is a lengthy and expensive process with uncertain outcomes and the potential for substantial delays. We cannot give any assurance that any of our and our Founded Entities’ therapeutic candidates will receive regulatory clearance, authorization or approval, which is necessary before they can be commercialized. Before obtaining marketing clearance, certification, authorization or approval from regulatory authorities or notified bodies for the sale of our or our Founded Entities’ therapeutic candidates, we or our Founded Entities must conduct extensive clinical trials to demonstrate the safety and efficacy, or with respect to biologics, safety, purity and potency, of the therapeutic candidates in humans. To date, we have focused substantially all of our efforts and financial resources on identifying, acquiring, and developing therapeutic candidates, including conducting lead optimization, preclinical studies and clinical trials, and providing general and administrative support for these operations. To date, only two of our Founded Entities’ therapeutic candidates, Gelesis’ Plenity and Akili’s EndeavorRx, have received marketing authorization from the FDA, and are CE marked in the EU, and we cannot be certain that any of our internal or our Founded Entities’ other therapeutic candidates will receive regulatory clearance, certification, authorization or approval, the timing of such clearance, certification, authorization or approval, if received, or that clinical trials will progress as planned. Our or our Founded Entities’ inability to successfully complete preclinical and clinical development could result in additional costs to us and negatively impact our ability to generate revenue. Our future success is dependent on our and our Founded Entities’ ability to successfully develop, obtain regulatory clearance, certification, authorization or approval for, and then successfully commercialize therapeutic candidates. We and our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182"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179 Risk Factor Annex — continued A d d it io na l i nf o rm at io n inspection of the clinical trial operations or trial site by the FDA or other comparable foreign regulatory authorities resulting in the imposition of a clinical hold, unforeseen safety issues or adverse side effects, failure to demonstrate a benefit from using a therapeutic candidate, changes in governmental regulations or administrative actions or lack of adequate funding to continue the clinical trial. 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Wholly Owned Programs or our Founded Entities’ therapeutic candidates. Delays in the initiation, conduct or completion of any clinical trial of the therapeutic candidates within our Wholly Owned Pipeline will increase our costs, slow down the therapeutic candidate development and approval process and delay or potentially jeopardize our ability to commence therapeutic sales and generate revenue. In addition, many of the factors that cause, or lead to, a delay in the commencement or completion of clinical trials may also ultimately lead to the denial of regulatory approval of the therapeutic candidates within our Wholly Owned Pipeline or our Founded Entities’ therapeutic candidates. In the event we identify any additional therapeutic candidates to pursue, we cannot be sure that submission of an IDE, IND, CTA, or equivalent application, as applicable, will result in the FDA, the EMA or comparable foreign regulatory authority allowing clinical trials to begin in a timely manner, if at all. Any of these events could have a material adverse effect on our business, prospects, financial condition and results of operations. 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It is currently unclear to what extent the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or MHRA, launched an eight-week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resulting new legislation will determine how aligned the UK clinical trials regime is compared to the (EU) CTR. Under the terms of the Protocol on Ireland/Northern Ireland, provisions of the (EU) CTR which relate to the manufacture and import of investigational medicinal products and auxiliary medicinal products apply • delays in obtaining required Institutional Review Board, or IRB, or other reviewing bodies approval or positive opinion at each clinical trial site; • imposition of a temporary or permanent clinical hold by regulatory agencies for a number of reasons, including after review of an IND or amendment, clinical trial application, or CTA, or amendment, investigational device exemption, or IDE, or supplement, or equivalent application or amendment; as a result of a new safety finding that presents unreasonable risk to clinical trial participants; or a negative finding from an inspection of our clinical trial operations or study sites; • developments in trials for other therapeutic candidates with the same targets or related modalities as our or our Founded Entities’ therapeutic candidates conducted by competitors that raise regulatory or safety concerns about risk to patients of the treatment, or if the FDA or similar foreign authorities find that the investigational protocol or plan is clearly deficient to meet its stated objectives; • difficulties in securing access to materials for the comparator arm of certain of our clinical trials; • delays in identifying, recruiting and enrolling suitable patients to participate in clinical trials, and delays caused by patients withdrawing from clinical trials or failing to return for post-treatment follow-up; • difficulties in finding a sufficient number of trial sites, or trial sites deviating from trial protocol or dropping out of a trial; • difficulty collaborating with patient groups and investigators; • failure by CROs, other third parties, or us to adhere to clinical trial requirements; • failure by CROs, other third parties, or us to perform in accordance with the FDA’s or any other regulatory authority’s current good clinical practices, or GCP, requirements, or regulatory guidelines in other countries; • occurrence of AEs or undesirable side effects or other unexpected characteristics associated with the therapeutic candidate that are viewed to outweigh its potential benefits; • changes in regulatory requirements and guidance that require amending or submitting new clinical protocols; • changes in the standard of care on which a clinical development plan was based, which may require new or additional trials; • the cost of clinical trials of any therapeutic candidates that we may identify and pursue being greater than we anticipate; • clinical trials of any therapeutic candidates that we may identify and pursue producing negative or inconclusive results, which may result in our deciding, or regulators requiring us, to conduct additional clinical trials or abandon therapeutic development programs; • transfer of manufacturing processes to larger-scale facilities operated by a CMO, or by us, and delays or failures by our CMOs or us to make any necessary changes to such manufacturing process; • delays in manufacturing, testing, releasing, validating, or importing/ exporting sufficient stable quantities of therapeutic candidates that we may identify for use in clinical trials or the inability to do any of the foregoing; and • factors we may not be able to control, such as current or potential pandemics or other events that may limit patients, principal investigators or staff or clinical site availability, result in clinical trial protocol deviations, or impact supply of our or our Founded Entities’ therapeutic candidates (e.g., the COVID-19 pandemic or the conflict between Russia and Ukraine). Any inability to successfully initiate or complete clinical trials could result in additional costs to us or impair our ability to generate revenue. In addition, if we make manufacturing or formulation changes to our Wholly Owned Programs, we may be required to or we may elect to conduct additional preclinical studies or clinical trials to bridge data obtained from our modified therapeutic candidates to data obtained from preclinical and clinical research conducted using earlier versions. Clinical trial delays could also shorten any periods during which our therapeutics have patent protection and may allow our competitors to bring therapeutics to market before we do, which could impair our ability to successfully commercialize therapeutic candidates and may harm our business and results of operations. We could also encounter delays if a clinical trial is suspended or terminated by us, by the data safety monitoring board, or DSMB, or by the FDA or other comparable foreign regulatory authorities,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183"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180 PureTech Health plc Annual report and accounts 2022 Risk Factor Annex — continued A d d it io na sl in fo rm at io n • the availability and efficacy of approved medications or therapies for the disease or condition under investigation; • clinicians’ and patients’ perceptions as to the potential advantages and side effects of the therapeutic candidate being studied in relation to other available therapies and therapeutic candidates; • the ability to obtain and maintain patient consents; and • the risk that patients enrolled in clinical trials will not complete such trials, for any reason. Furthermore, our or our collaborators’ ability to successfully initiate, enroll and conduct a clinical trial outside the United States is subject to numerous additional risks, including: • difficulty in establishing or managing relationships with CROs and physicians; • differing standards for the conduct of clinical trials; • differing standards of care for patients with a particular disease; • an inability to locate qualified local consultants, physicians and partners; and • the potential burden of complying with a variety of foreign laws, medical standards and regulatory requirements, including the regulation of pharmaceutical and biotechnology therapeutics and treatments. If we have difficulty enrolling sufficient numbers of patients to conduct clinical trials as planned, we may need to delay or terminate clinical trials, either of which would have an adverse effect on our business. Use of the therapeutic candidates within our Wholly Owned Pipeline or the therapeutic candidates being developed by our Founded Entities could be associated with side effects, AEs or other properties or safety risks, which could delay or halt their clinical development, prevent their regulatory clearance, authorization or approval, cause us to suspend or discontinue clinical trials, abandon a therapeutic candidate, limit their commercial potential, if cleared, authorized or approved, or result in other significant negative consequences that could severely harm our business, prospects, operating results and financial condition. As is the case with pharmaceuticals generally, it is likely that there may be side effects and AEs associated with our and our Founded Entities’ drug or biologic therapeutic candidates’ use. Similarly, investigational devices may also be subject to side effects and AEs. Results of our clinical trials or those being conducted by Founded Entities could reveal a high and unacceptable severity and prevalence of side effects or unexpected characteristics. Undesirable side effects caused by these therapeutic candidates could cause us, our Founded Entities or regulatory authorities to interrupt, delay or halt clinical trials and could result in more restrictive labeling or the delay or denial of regulatory clearance, certification, authorization or approval by the FDA, the EMA or other comparable foreign regulatory authorities, or notified bodies (when applicable). The side effects related to the therapeutic candidate could affect patient recruitment or the ability of enrolled patients to complete the trial or result in potential product liability claims. Any of these occurrences may harm our business, financial condition and prospects significantly. Moreover, if therapeutic candidates within our Wholly Owned Pipeline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or terminate our study plans based on findings in our preclinical studies or clinical trials. Many therapeutic candidates that initially show promise in early-stage testing may later be found to cause side effects that prevent further development. As we work to advance existing therapeutic candidates and to identify new therapeutic candidates, we cannot be certain that later testing or trials of therapeutic candidates that initially showed promise in early testing will not be found to cause similar or different unacceptable side effects that prevent their further development. It is possible that as we test the therapeutic candidates within our Wholly Owned Pipeline in larger, longer and more extensive clinical trials, or as the use of these therapeutic candidates becomes more widespread if they receive regulatory clearance or approval, illnesses, injuries, discomforts and other AEs that were observed in earlier trials, as well as conditions that did not occur or went undetected in previous trials, will be reported by subjects. If such side effects become known later in development or upon approval, if any, such findings may harm our business, financial condition and prospects significantly. Additionally, adverse developments in clinical trials of pharmaceutical, biopharmaceutical or biotechnology therapeutics conducted by others may cause the FDA or other regulatory oversight bodies to suspend or terminate our clinical trials or to change the requirements for approval of any of our Wholly Owned Programs. in Northern Ireland. A decision by the UK Government not to closely align its regulations with the new approach that has been adopted in the EU may have an effect on the cost of conducting clinical trials in the UK as opposed to other countries. The results of early-stage clinical trials and preclinical studies may not be predictive of future results. Initial data in clinical trials may not be indicative of results obtained when these trials are completed or in later stage trials. The results of preclinical studies may not be predictive of the results of clinical trials, and the results of any early-stage clinical trials we commence may not be predictive of the results of the later-stage clinical trials.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 same therapeutic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therapeutic candidates performed satisfactorily in preclinical studies and clinical trials have nonetheless failed to obtain marketing approval. A number of companies in the pharmaceutical, biopharmaceutical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Even if early-stage clinical trials are successful, we may need to conduct additional clinical trials of our Wholly Owned Programs in additional patient populations or under different treatment conditions before we are able to seek approvals or clearances from the FDA or other comparable foreign regulatory authorities to market and sell these therapeutic candidates. Our failure to obtain marketing authorization for the therapeutic candidates within our Wholly Owned Pipeline would substantially harm our business, prospects, financial condition and results of operations. If we encounter difficulties enrolling patients in clinical trials, our clinical development activities could be delayed or otherwise adversely affected. Identifying and qualifying trial participants to participate in clinical studies is critical to our success. The timing of our clinical studies depends on the speed at which we can recruit trial participants to participate in testing the therapeutic candidates within our Wholly Owned Pipeline. Delays in enrollment may result in increased costs or may affect the timing or outcome of the planned clinical trials, which could prevent completion of these trials and adversely affect our ability to advance the development of the therapeutic candidates within our Wholly Owned Pipeline. If trial participants are unwilling to participate in our studies because of negative publicity from AEs in our trials or other trials of similar therapeutics, or those related to specific therapeutic area, or for other reasons, including competitive clinical studies for similar patient populations, the timeline for recruiting trial participants, conducting studies, and obtaining regulatory approval of potential therapeutics may be delayed. We also may face delays as a result of unforeseen global circumstances, for example we have experienced temporary delays in certain of our clinical development activities, including enrolling participants in certain of our clinical trials, as a result of the COVID-19 pandemic or the conflict between Russia and Ukraine. Any delays could result in increased costs, delays in advancing our therapeutic candidate development, delays in testing the effectiveness of the therapeutic candidates within our Wholly Owned Pipeline, or termination of the clinical studies altogether. We may not be able to identify, recruit and enroll a sufficient number of trial participants, or those with required or desired characteristics to achieve diversity in a study, to complete our clinical studies in a timely manner. Patient and subject enrollment is affected by factors including: • the size and nature of a patient population; • the patient eligibility criteria defined in the applicable clinical trial protocols, which may limit the patient populations eligible for clinical trials to a greater extent than competing clinical trials for the same indication; • the size of the study population required for analysis of the trial’s primary endpoints; • the severity of the disease under investigation; • the proximity of patients to a trial site; • the inclusion and exclusion criteria for the trial in question; • the design of the trial protocol; • the ability to recruit clinical trial investigators with the appropriate competencies and experience;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184"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181 Risk Factor Annex — continued A d d it io na l i nf o rm at io n Clinical testing is expensive and can take many years to complete, and its outcome is inherently uncertain. Failure can occur at any time during the clinical development process. Most therapeutic candidates that begin clinical trials are never approved by regulatory authorities or notified bodies for commercialization. We may be unable to design and execute a clinical trial to support marketing authorization or certification. We cannot be certain that our clinical trials will be successful. Additionally, any safety concerns observed in any one of our clinical trials in our targeted indications could limit the prospects for regulatory clearances, certification, authorization or approval of our therapeutic candidates in those and other indications, which could have a material adverse effect on our business, financial condition and results of operations. In addition, even if such clinical trials are successfully completed, we cannot guarantee that the FDA, the EMA or comparable foreign regulatory authorities or notified bodies (when applicable) will interpret the results as we do, and more trials could be required before we submit our therapeutic candidates for clearance, certification or approval. For example, the definition of clinical meaningfulness for outcome measures in lymphedema has not been firmly established by the FDA, introducing risk in evaluating and demonstrating the efficacy required to obtain FDA approval of LYT-100. Even if we believe that our and our Founded Entities’ clinical trials and preclinical studies demonstrate the safety and efficacy of our and their therapeutic candidates, only the FDA and other comparable regulatory agencies may ultimately make such determination. No regulatory agency has made any such determination that any of our Wholly Owned Programs or those of our Founded Entities are safe or effective for use for any indication. Additionally, we may utilize an “open-label” trial design for some of our future clinical trials. An open-label trial is one where both the patient and investigator know whether the patient is receiving the test article or either an existing approved drug or placebo. Open-label trials are subject to various limitations that may exaggerate any therapeutic effect as patients in open-label studies are aware that they are receiving treatment. Open- label trials may be subject to a “patient bias” where patients perceive their symptoms to have improved merely due to their awareness of receiving an experimental treatment. Patients selected for early clinical studies often include the most severe sufferers and their symptoms may have been bound to improve notwithstanding the new treatment. In addition, open-label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opportunity for bias in clinical trials as a result of open-label design may not be adequately handled and may cause any of our trials that utilize such design to fail or to be considered inadequate and additional trials may be necessary to support future marketing applications. Moreover, results acceptable to support approval in one jurisdiction may be deemed inadequate by another regulatory authority to support regulatory approval in that other jurisdiction. To the extent that the results of the trials are not satisfactory to the FDA, the EMA or comparable foreign regulatory authorities for support of a marketing application, we may be required to expend significant resources, which may not be available to us, to conduct additional trials in support of potential approval of our Wholly Owned Programs. Even if regulatory approval is secured for a therapeutic candidate, the terms of such approval may limit the scope and use of the specific therapeutic candidate, which may also limit its commercial potential. Even if we complete the necessary preclinical studies and clinical trials, the marketing approval and certification process is expensive, time- consuming and uncertain and may prevent us from obtaining clearance, certification, authorization or approvals for the potential commercialization of therapeutic candidates. Any therapeutic candidate we may develop and the activities associated with their development and potential commercialization, including their design, testing, manufacture, safety, efficacy, recordkeeping, labeling, storage, approval, certification, advertising, promotion, sale and distribution, are subject to comprehensive regulation by the FDA and other comparable foreign regulatory authorities. Failure to obtain marketing authorization or certification for a therapeutic candidate will prevent us from commercializing the therapeutic candidate in a given jurisdiction. For example, although Gelesis and Akili have received marketing authorization for Plenity and EndeavorRx, respectively, from the FDA, and are CE marked in the EU, we and our Founded Entities have not received clearance, certification, authorization or approval to market any of our or their other therapeutic candidates from regulatory authorities in any jurisdiction and it is possible that none of the other therapeutic candidates we and our Founded Entities may seek to develop in the future will ever obtain regulatory clearance, authorization or approval. We have no experience in filing and supporting the applications necessary to gain marketing clearance, certification, authorization or approval and expect In addition to side effects caused by the therapeutic candidate, the administration process or related procedures also can cause adverse side effects. If any such AEs occur, our clinical trials could be suspended or terminated. If we are unable to demonstrate that any AEs were not caused by therapeutic candidate, the FDA, the European Commission, the EMA, or other regulatory authorities or bodies could order us to cease further development of, or deny clearance, certification or approval of, a therapeutic candidate for any or all targeted indications. Even if we can demonstrate that all future serious adverse events, or SAEs, are not therapeutic-related, such occurrences could affect patient recruitment or the ability of enrolled patients to complete the trial. Moreover, if we elect, or are required, to not initiate, delay, suspend or terminate any future clinical trial of any of our Wholly Owned Programs, the commercial prospects of such therapeutic candidates may be harmed and our ability to generate therapeutic revenues from any of these therapeutic candidates may be delayed or eliminated. Any of these occurrences may harm our ability to develop other therapeutic candidates, and may harm our business, financial condition and prospects significantly. Additionally, if any of the therapeutic candidates within our Wholly Owned Pipeline receives marketing authorization, the FDA could impose contraindications or a boxed warning in the labeling of our therapeutic. For any of our drug or biologic therapeutic candidates receiving marketing authorization, the FDA could require us to adopt a risk evaluation and mitigation strategy, or REMS, and could apply elements to assure safe use to ensure that the benefits of the therapeutic outweigh its risks, which may include, among other things, a Medication Guide outlining the risks of the therapeutic for distribution to patients, a requirement that clinicians or health care settings to become certified prior to prescribing and to participate in additional REMS activities, such as training, patient counseling, and monitoring, and a communication plan to health care practitioners. Furthermore, if we or others later identify undesirable side effects caused by the therapeutic candidates within our Wholly Owned Pipeline once approved, several potentially significant negative consequences could result, including: • regulatory authorities may suspend or withdraw approvals of such therapeutic candidate, or seek an injunction against its manufacture or distribution; • regulatory authorities may require additional warnings in the labeling, including boxed warnings, or issue safety alerts, Dear Healthcare Provider letters, press releases or other communications containing warnings or other safety information about the therapeutic; • we may be required by the FDA to implement a REMS for a marketed drug or biologic or similar risk mitigation measures by foreign regulatory authorities; • we may be required to change the way a therapeutic candidate is administered or conduct additional clinical trials; • we may be subject to fines, injunctions or the imposition of civil or criminal penalties; • we could be sued and held liable for harm caused to patients; and • our reputation may suffer. Any of these occurrences could prevent us from achieving or maintaining market acceptance of the particular therapeutic candidate, if approved, and may harm our business, financial condition and prospects significantly. Risks Related to Regulatory Review and Approval Our clinical trials may fail to demonstrate substantial evidence of the safety and effectiveness of therapeutic candidates that we may identify and pursue for their intended uses, which would prevent, delay or limit the scope of regulatory clearance, certification, authorization or approval and potential commercialization. Before obtaining regulatory approvals for the commercial sale of any of our drug or biological therapeutic candidates, we must demonstrate through lengthy, complex and expensive preclinical studies and clinical trials that the applicable therapeutic candidate is both safe and effective for use in each target indication, and in the case of our Wholly Owned Programs and Founded Entities’ therapeutic candidates regulated as biological therapeutics, that the therapeutic candidate is safe, pure and potent for use in its targeted indication. Each therapeutic candidate must demonstrate an adequate risk versus benefit profile in its intended patient population and for its intended use. Similarly, before obtaining regulatory clearances, certifications, authorization or approvals for the commercial sale of any of the device therapeutic candidates of our Founded Entities, our Founded Entities may be required to demonstrate through lengthy, complex and expensive preclinical studies and clinical trials that the applicable therapeutic candidate meets the regulatory standard of clearance, certification, authorization or approval—for example, substantial equivalence or a reasonable assurance of safety or effectiveness, as applicable—for its intended use.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185"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182 PureTech Health plc Annual report and accounts 2022 Risk Factor Annex — continued A d d it io na sl in fo rm at io n If we are unable to obtain regulatory clearance, certification, authorization or approval in one or more jurisdictions for any therapeutic candidates that we may identify and develop, our business could be substantially harmed. We cannot commercialize a therapeutic until the appropriate regulatory authorities or notified bodies have reviewed and cleared, certified, authorized or approved the therapeutic candidate. Clearance, certification, authorization or approval by the FDA, the EMA and comparable foreign regulatory authorities and notified bodies is lengthy and unpredictable, and depends upon numerous factors, including substantial discretion of the regulatory authorities and notified bodies. Clearance, certification, authorization or approval policies, regulations, or the type and amount of preclinical or clinical data necessary to gain clearance, authorization or approval may change during the course of a therapeutic candidate’s development and may vary among jurisdictions, which may cause delays in the clearance, certification, authorization or approval or the decision not to clear, certify, authorize or approve an application. Gelesis and Akili have obtained marketing authorization from the FDA for Plenity and EndeavorRx, and are CE marked, respectively, but we and our Founded Entities have not obtained regulatory clearance, authorization or approval for any other therapeutic candidates, and it is possible that our current therapeutic candidates and any other therapeutic candidates which we and our Founded Entities may seek to develop in the future will not ever obtain regulatory clearance, certification, authorization or approval. We cannot be certain that any of our Wholly Owned Programs or our Founded Entities’ therapeutic candidates will receive regulatory clearance, certification, authorization or approval or be successfully commercialized even if we or our Founded Entities receive regulatory clearance, certification, authorization or approval. Obtaining marketing clearance, certification, authorization or approval is an extensive, lengthy, expensive and inherently uncertain process, and regulatory authorities and notified bodies may delay, limit or deny clearance or clearance, certification, authorization or approval of the therapeutic candidates within our Wholly Owned Pipeline or our Founded Entities’ therapeutic candidates for many reasons, including but not limited to: • the inability to demonstrate to the satisfaction of the FDA, the EMA or comparable foreign regulatory authorities that the applicable therapeutic candidate is safe, pure, potent or effective as a treatment for our targeted indications or otherwise meets the applicable regulatory standards for clearance, authorization or approval; • the FDA, the EMA or comparable foreign regulatory authorities may disagree with the design, endpoints or implementation of our or our Founded Entities’ clinical trials; • the population studied in the clinical program may not be sufficiently broad or representative to assure safety or efficacy in the full population for which we or our Founded Entities seek clearance, authorization or approval; • the FDA, the EMA or comparable foreign regulatory authorities may require additional preclinical studies or clinical trials beyond those that we or our Founded Entities currently anticipate; • the FDA, the EMA or comparable foreign regulatory authorities may disagree with our or our Founded Entities’ interpretation of data from preclinical studies or clinical trials; • the data collected from clinical trials of therapeutic candidates that we may identify and pursue may not be sufficient to support the submission of an NDA, biologics license application, or BLA, or other submission for regulatory clearance, authorization or approval in the United States or elsewhere; • as applicable, we or our Founded Entities may be unable to demonstrate to the FDA, the EMA or comparable foreign regulatory authorities that a therapeutic candidate’s risk-benefit ratio for its proposed indication is acceptable; • the FDA, the EMA or comparable foreign regulatory authorities may identify deficiencies in the manufacturing processes, test procedures and specifications, or facilities of third-party manufacturers with which we or our Founded Entities contract for clinical and commercial supplies; and • the clearance, certification, authorization or approval policies or regulations of the FDA, the EMA or comparable foreign regulatory authorities may change in a manner that renders the clinical trial design or data insufficient for clearance or approval. The lengthy approval process, as well as the unpredictability of the results of clinical trials and evolving regulatory requirements, may result in our or our Founded Entities’ failure to obtain regulatory clearance, certification, authorization or approval to market therapeutic candidates that we or our Founded Entities may pursue in the United States or elsewhere, which would significantly harm our or our Founded Entities’ business, prospects, financial condition and results of operations. to rely on third-party CROs or regulatory consultants to assist us in this process. Securing regulatory clearance, certification, authorization or approval requires the submission of extensive preclinical and clinical data and supporting information to the various regulatory authorities for each therapeutic indication to establish the therapeutic candidate’s safety, purity, efficacy and potency. Securing regulatory clearance, authorization or approval also requires the submission of information about the therapeutic manufacturing process to, and inspection of manufacturing facilities by, the relevant regulatory authority. Any therapeutic candidates we or our Founded Entities develop may not be effective, may be only moderately effective, or may prove to have undesirable or unintended side effects, toxicities or other characteristics that may preclude our obtaining marketing clearance, certification, authorization or approval or prevent or limit commercial use, if cleared, certified, authorized or approved. The process of obtaining marketing clearance, certification, authorization or approval, both in the United States and abroad, is expensive, may take many years if additional clinical trials are required, if clearance, certification, authorization or approval is obtained at all, and can vary substantially based upon a variety of factors, including the type, complexity and novelty of the therapeutic candidates involved. Changes in marketing authorization policies during the development period, changes in or the enactment of additional statutes or regulations, or changes in regulatory review for each submitted therapeutic application, may cause delays in the clearance, authorization, approval or rejection of an application. The FDA, comparable authorities and notified bodies in other countries have substantial discretion in the approval and certification process and may refuse to accept any application or may decide that our data are insufficient for clearance, authorization or approval and require additional preclinical, clinical or other studies. In addition, varying interpretations of the data obtained from preclinical and clinical testing could delay, limit, or prevent marketing approval or certification of a therapeutic candidate. Any marketing approval or certification we ultimately obtain may be limited or subject to restrictions or post-market commitments that render the cleared, certified, authorized or approved therapeutic not commercially viable. If we experience delays in obtaining clearance, certification, authorization or approval or if we fail to obtain clearance, certification, authorization or approval of any therapeutic candidates we may develop, the commercial prospects for those therapeutic candidates may be harmed, and our ability to generate revenues will be materially impaired. We have conducted, and may continue to conduct in the future, clinical trials for therapeutic candidates outside the United States, and the FDA, the EMA and comparable foreign regulatory authorities may not accept data from such trials. We have conducted clinical trials outside of the United States in the past, and may in the future choose to conduct one or more clinical trials outside the United States, including in Europe. For example, we have conducted clinical trials in Australia and are conducting or may conduct clinical trials in additional locations outside the United States, including without limitation the U.K., Australia, Malaysia, Thailand, South Africa, Greece, Georgia, India, Romania, Moldova, Ukraine, South Korea, Argentina, Brazil, Chile, Colombia, Mexico and the Philippines. The acceptance of study data from clinical trials conducted outside the United States or another jurisdiction by the FDA, the EMA or any comparable foreign regulatory authority may be subject to certain conditions or may not be accepted at all. For example, in cases where data from foreign clinical trials are intended to serve as the basis for approval of a drug or biologic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if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marketing approval unless the study was conducted in accordance with GCP requirements and unless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the EMA or any comparable foreign regulatory authority will accept data from trials conducted outside of the United States or the applicable jurisdiction. If the FDA, the EMA or any comparable foreign regulatory authority does not accept such data, it would result in the need for additional trials, which would be costly and time-consuming and delay aspects of our business plan, and which may result in therapeutic candidates that we may develop not receiving approval, authorization or clearance for commercialization in the applicable jurisdiction.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186"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183 Risk Factor Annex — continued A d d it io na l i nf o rm at io 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 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 From time to time, we may publish interim, “top-line,” or preliminary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Data from interim analyses of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Material adverse changes between preliminary, “top-line,” or interim data and final data could significantly harm our 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therapeutic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therapeutic candidate or our business. The complexity of a combination therapeutic that includes a drug or biologic and a medical device presents additional, unique development and regulatory challenges, which may adversely impact our or our Founded Entities’ development plans and our or our Founded Entities’ ability to obtain regulatory clearance, authorization or approval of our Wholly Owned Programs or our Founded Entities’ therapeutic candidates. We or our Founded Entities, such as Follica, may decide to pursue marketing authorization of a combination therapeutic. A combination therapeutic may include, amongst other possibilities, any investigational drug, device, or biologic packaged separately that according to its proposed labeling is for use only with another individually specified investigational drug, device, or biologic where both are required to achieve the intended use, indication, or effect. Developing and obtaining regulatory clearance, authorization or approval for combination therapeutics pose unique challenges because they involve components that are regulated by the FDA under different types of regulatory requirements, and by different FDA centers. As a result, such therapeutics raise regulatory, policy and review management challenges. For example, because divisions from both FDA’s Center for Drug Evaluation and Research or Center for Biologics Evaluation and Research and FDA’s Center for Devices and Radiological Health must review submissions concerning therapeutic candidates that are combination therapeutics comprised of drug or biologics and devices, respectively, the regulatory review and clearance, authorization or approval process for these therapeutics may be lengthened. In addition, differences in regulatory pathways for each component of a combination therapeutic can impact the regulatory processes for all aspects of therapeutic development and management, including clinical investigation, marketing applications, manufacturing and quality control, adverse event reporting, promotion and advertising, user fees and post-clearance, authorization or approval modifications. Similarly, if applicable, the device components of a combination therapeutic candidate will require any necessary clearances, certifications or approvals or other marketing authorizations in other jurisdictions, which may prove challenging to obtain. Furthermore, clearance, authorization or approval by the FDA in the United States, if obtained, does not ensure approval or certification by regulatory authorities or notified bodies in other countries or jurisdictions. In order to market any therapeutics outside of the United States, we or our Founded Entities must establish and comply with numerous and varying regulatory requirements of other countries regarding safety and effectiveness. Clinical trials conducted in one country may not be accepted by regulatory authorities or notified bodies in other countries, and regulatory approval or certification in one country does not mean that regulatory approval or certification will be obtained in any other country. Approval and certification processes vary among countries and can involve additional therapeutic testing and validation and additional or different administrative review periods from those in the United States, including additional preclinical studies or clinical trials, as clinical trials conducted in one jurisdiction may not be accepted by regulatory authorities or notified bodies in other jurisdictions. In many jurisdictions outside the United States, a therapeutic candidate must be approved for reimbursement before it can be approved for sale in that jurisdiction. In some cases, the price that we intend to charge for our therapeutics is also subject to approval. Seeking foreign regulatory approval or certification could result in difficulties and costs for us or our Founded Entities and require additional preclinical studies or clinical trials which could be costly and time-consuming. Regulatory requirements can vary widely from country to country and could delay or prevent the introduction of our or our Founded Entities’ therapeutics in those countries. The foreign regulatory approval and certification process involves all of the risks associated with FDA approval. We do not have any therapeutic candidates approved for sale in international markets, though two of our Founded Entities, Akili and Gelesis, do. If we or our Founded Entities fail to comply with regulatory requirements in international markets or to obtain and maintain required approvals, or if regulatory approvals or certifications in international markets are delayed, our target market will be reduced and our ability to realize the full market potential of our therapeutics will be harmed. If the FDA does not conclude that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either case may not be successful. We plan to develop one or more product candidates, including potentially LYT-100 and LYT-300 in certain indications, for which we may plan to seek approval under the 505(b)(2) regulatory pathway. The Drug Price Competition and Patent Term Restoration Act of 1984, also known as the Hatch-Waxman Act, added Section 505(b)(2) to the FDCA. Section 505(b) (2)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nonclinical and/or clinical data that we would need to generate in order to obtain FDA approval. If the FDA does not allow us to pursue the Section 505(b)(2) regulatory pathway as anticipated, we may need to conduct additional nonclinical studies and/or clinical trials, provide additional data and information, and meet additional standards for regulatory approval. If this were to occur, the time and financial resources required to obtain FDA approval for such product candidates, and complications and risks associated with such product candidates, would likely substantially increase. Moreover, inability to pursue the Section 505(b)(2) regulatory pathway could result in new competitive products reaching the market more quickly than any product candidates we developed, which could adversely impact our competitive position and prospects. Even if we are allowed to pursue the Section 505(b) (2) regulatory pathway, we cannot assure you that any product candidates we develop will receive the requisite approval for commercialization. In addition, notwithstanding the approval of a number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187"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184 PureTech Health plc Annual report and accounts 2022 Risk Factor Annex — continued A d d it io na sl in fo rm at io n our Founded Entities’ therapeutic candidates will qualify for any expedited development pathways or that regulatory authorities will grant, or allow us or our Founded Entities to maintain, the relevant qualifying designations. Potential expedited development pathways that we could pursue include breakthrough therapy and fast track designation. The fast track program is intended to expedite or facilitate the process for reviewing new product candidates that meet certain criteria. Specifically,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application and determines that the schedule is acceptable, and the sponsor pays any required user fees upon submission of the first section of the application.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or BLA, if the relevant criteria are met. Even if we believe a particular therapeutic candidate is eligible for breakthrough therapy or fast track designation, we cannot assure you that the FDA would decide to grant it. Breakthrough therapy designation and fast track designation do not change the standards for approval, and there is no assurance that such designation or eligibility will result in expedited review or approval. Thus, even if we or our Founded Entities do receive breakthrough therapy, fast track designation, or other comparable designation, we or our Founded Entities may not experience a faster development process, review or approval compared to conventional FDA procedures. In addition, the FDA may withdraw either breakthrough therapy or fast track designation if it believes that the therapeutic no longer meets the qualifying criteria. Our business may be harmed if we are unable to avail ourselves of these or any other expedited development and regulatory pathways. We may not be able to obtain or maintain orphan drug designation or exclusivity for our therapeutic candidates.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 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Orphan drug designation entitles a party to financial incentives, such as tax advantages and user fee waivers. Additionally, if a product that has orphan designation subsequently receives the first FDA approval for the disease or condition for which it has such designation, the product is entitled to orphan drug exclusivity, which means that the FDA may not approve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 Certain modifications to our Founded Entities’ device therapeutics may require new 510(k) clearance or other marketing authorizations or certifications and may require our Founded Entities to recall or cease marketing their therapeutics. Akili and Gelesis received de novo classification for EndeavorRx and Plenity, respectively, from the FDA. Once a medical device is permitted to be legally marketed in the United States pursuant to a 510(k) clearance, de novo classification, or a premarket approval, or PMA, a manufacturer may be required to notify the FDA of certain modifications to the device. Manufacturers determine in the first instance whether a change to a medical device requires a new premarket submission, but the FDA may review any manufacturer’s decision. The FDA may not agree with our Founded Entities’ decisions regarding whether new clearances, authorizations or approvals are necessary. They may make modifications or add additional features in the future that they believe do not require a new 510(k) clearance, de novo marketing authorization, or approval of a PMA or PMA amendments or supplements. If the FDA disagrees with their determinations and requires them to submit new 510(k) notifications, requests for de novo classification, or PMAs (or PMA supplements or amendments) for modifications to their previously cleared or authorized therapeutics for which they have concluded that new clearances, authorization or approvals are unnecessary, they may be required to cease marketing or to recall the modified therapeutic until they obtain clearance, authorization or approval, and they may be subject to significant regulatory fines or penalties. In the EU, 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and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will be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 We may not elect or be able to take advantage of any expedited development or regulatory review and approval processes available to drug therapeutic candidates granted breakthrough therapy or fast track designation by the FDA. We intend to evaluate and continue ongoing discussions with the FDA on regulatory strategies that could enable us or our Founded Entities to take advantage of expedited development pathways for certain of our Wholly Owned Programs or our Founded Entities’ therapeutic candidates in the future, although we cannot be certain that our Wholly Owned Programs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3"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188"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185 Risk Factor Annex — continued A d d it io na l i nf o rm at io n that may require such tests. If we or our Founded Entities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clearance, certification, authorization or approval processes. Moreover, even if data from preclinical studies and early clinical trials appear to support development of a companion diagnostic for a therapeutic candidate, data generated in later clinical trials may fail to support the analytical and clinical validation of the companion diagnostic. We, our Founded Entities and our future collaborators may encounter difficulties in developing, obtaining regulatory clearance, certification, authorization or approval for, manufacturing and commercializing companion diagnostics similar to those we face with respect to the therapeutic candidates within our Wholly Owned Pipeline themselves, including issues with achieving regulatory clearance, certification, authorization or approval, production of sufficient quantities at commercial scale and with appropriate quality standards, and in gaining market acceptance. If we or our Founded Entities are unable to successfully develop companion diagnostics for these therapeutic candidates, or experience delays in doing so, the development of these therapeutic candidates may be adversely affected, these therapeutic candidates may not obtain marketing approval, and we may not realize the full commercial potential of any of these therapeutic candidates that obtain marketing approval. As a result, our business, results of operations and financial condition could be materially harmed. In addition, a diagnostic company with whom we or our Founded Entities contract may decide to discontinue selling or manufacturing the companion diagnostic test that we anticipate using in connection with development and commercialization of our Wholly Owned Programs or our Founded Entities’ therapeutic candidates or our relationship with such diagnostic company may otherwise terminate. We or our Founded Entities may not be able to enter into arrangements with another diagnostic company to obtain supplies of an alternative diagnostic test for use in connection with the development and commercialization of our Wholly Owned Programs or our Founded Entities’ therapeutic candidates or do so on commercially reasonable terms, which could adversely affect and/or delay the development or commercialization of our or our Founded Entities’ therapeutic candidates. For any cleared, certified, authorized or approved therapeutic, we or our Founded Entities will be subject to ongoing regulatory obligations and continued regulatory review, which may result in significant additional expense and we or our Founded Entities may be subject to penalties if we or our Founded Entities fail to comply with regulatory requirements or experience unanticipated problems with the therapeutic candidates within our Wholly Owned Pipeline or our Founded Entities’ therapeutic candidates. Gelesis’ Plenity and Akili’s EndeavorRx are, and any of the therapeutic candidates within our Wholly Owned Programs or our Founded Entities’ therapeutic candidates that are cleared, certified, authorized or approved will be, subject to ongoing regulatory requirements for manufacturing, labeling, packaging, storage, advertising, promotion, sampling, record- keeping, conduct of post-marketing studies, and submission of safety, efficacy and other post-market information, including both federal and state requirements in the United States and requirements of comparable foreign regulatory authorities. Manufacturers and manufacturers’ facilities are required to comply with extensive requirements imposed by the FDA, the EMA and other comparable foreign regulatory authorities, including ensuring that quality control and manufacturing procedures conform to current good manufacturing practices, or cGMP, or similar foreign regulations. As such, we and our CMOs are subject to continual review and inspections to assess compliance with cGMP, or similar foreign requirements and adherence to commitments made in any marketing authorization, and any future 510(k), de novo classification, certification, PMA, NDA, BLA or marketing authorization application, or MAA, or equivalent application. We and our CMOs are also subject to requirements pertaining to the registration of our manufacturing facilities and the listing of our and our Founded Entities’ therapeutics and therapeutic candidates with the FDA; continued complaint, adverse event and malfunction reporting; corrections and removals reporting; and labeling and promotional requirements. Accordingly, we and others with whom we work must continue to expend time, money, and effort in all areas of regulatory compliance, including manufacturing, production and quality control. Gelesis’ and Akili’s marketing authorizations and certifications for Plenity and EndeavorRx, respectively, are and any regulatory clearances, certification, authorization or approvals that we may receive for the therapeutic candidates within our Wholly Owned Pipeline or our Founded Entities’ therapeutic candidates will be, subject to limitations on the cleared, certified, authorized or approved indicated uses for which the therapeutic may be marketed and promoted any other applications to market the same drug for the same disease or condition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disease or condition for which the orphan product has exclusivity, or obtain approval for the same product but for a different disease or condition than that for which the orphan product has exclusivity. In the EU, orphan designation must be requested before submitting an MAA. An EU orphan drug designation entitles a party to incentives such as reduction of fees or fee waivers, protocol assistance, and access to the centralized procedure. Upon grant of a marketing authorization, orphan medicinal products are entitled to ten years of market exclusivity for the approved indication, which means that the competent authorities cannot accept another MAA, or grant a marketing authorization, or accept an application to extend a marketing authorization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We have obtained orphan drug designation in the United States for LYT-200 for the treatment of pancreatic cancer, and we may also seek orphan drug designation for other of our therapeutic candidates in the future. We may not be the first to obtain regulatory approval of any therapeutic candidate for its orphan-designated disease or condition and may therefore not obtain orphan drug exclusivity. In addition, exclusive marketing rights in the United States may be limited if we seek approval for an disease or condition broader than the orphan-designated disease or condition or may be lost if the FDA later determines that the request for orphan designation was materially defective or if the manufacturer is unable to assure sufficient quantities of the product to meet the needs of patients with the rare disease or condition. In the EU, the orphan exclusivity period may be reduced to six years if, at the end of the fifth year, it is established that the product no longer meets the criteria for which it received orphan drug destination, including where it is shown that the product is sufficiently profitable not to justify maintenance of market exclusivity or where the prevalence of the condition has increased above the threshold. Additionally, a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Orphan drug designation does not ensure that we will receive marketing exclusivity in a particular market, and we cannot assure you that any future application for orphan drug designation with respect to any other therapeutic candidate will be granted. Orphan drug designation neither shortens the development time or regulatory review time of a drug, nor gives the drug any advantage in the regulatory review or approval process. If we or our Founded Entities are unable to successfully validate, develop and obtain regulatory clearance, certification, authorization or approval for companion diagnostic tests for any future drug candidates that require or would commercially benefit from such tests, or experience significant delays in doing so, we or our Founded Entities may not realize the full commercial potential of these drug candidates. In connection with the clinical development of the therapeutic candidates within our Wholly Owned Pipeline or Founded Entities’ therapeutic candidates for certain indications, we or our Founded Entities may work with collaborators to develop or obtain access to in vitro companion diagnostic tests to identify patient subsets within a disease category who may derive selective and meaningful benefit from our drug candidates. For example, we may elect to develop companion diagnostics for LYT-200. To be successful, we, our Founded Entities or our collaborators will need to address a number of scientific, technical, regulatory and logistical challenges. The FDA and comparable foreign regulatory authorities regulate in vitro companion diagnostics as medical devices and, under that regulatory framework, will likely require the conduct of clinical trials to demonstrate the safety and effectiveness of any diagnostics we or our Founded Entities may develop, which we expect will require separate regulatory clearance, certification, authorization or approval prior to commercialization. In addition, if safe and effective use of a therapeutic product depends on an in vitro companion diagnostic, the FDA generally will require approval, authorization or clearance of that diagnostic, known as a companion diagnostic, before or at the same time that the FDA approves the therapeutic product. We or our Founded Entities may rely on third parties for the design, development and manufacture of companion diagnostic tests for our Wholly Owned Programs or our Founded Entities’ therapeutic candidates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189"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186 PureTech Health plc Annual report and accounts 2022 Risk Factor Annex — continued A d d it io na sl in fo rm at io n Akili received a certification for EndeavorRx as a prescription-only digital therapeutic software intended for the treatment of attention and inhibitory control deficits in paediatric patients with ADHD. We or our Founded Entities could also be required to conduct post- marketing clinical trials to verify the safety and efficacy of our or our Founded Entities’ therapeutics in general or in specific patient subsets. If original marketing approval of a drug or biologic was obtained via an accelerated approval pathway, we or our Founded Entities could be required to conduct a successful post-marketing clinical trial to confirm clinical benefit for our or our Founded Entities’ therapeutics. An unsuccessful post-marketing study or failure to complete such a study could result in the withdrawal of marketing clearance, certification, authorization or approval. If a regulatory agency discovers previously unknown problems with a therapeutic, such as AEs of unanticipated severity or frequency, or problems with the facility where the therapeutic is manufactured, or disagrees with the promotion, marketing or labeling of a therapeutic, such regulatory agency may impose restrictions on that therapeutic or us, including requiring withdrawal of the therapeutic from the market. If we or our Founded Entities fail to comply with applicable regulatory requirements, a regulatory agency or enforcement authority may, among other things: • issue warning letters that would result in adverse publicity; • impose civil or criminal penalties; • suspend or withdraw regulatory approvals or certifications; • suspend any of our or our Founded Entities’ ongoing clinical trials; • refuse to approve pending applications or supplements to approved applications submitted by us or our Founded Entities; • impose restrictions on our operations, including closing our CMOs’ facilities; • seize or detain therapeutics; or • require a recall.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therapeutics. If regulatory sanctions are applied or if regulatory clearance, authorization or approval is withdrawn, the value of our company and our operating results will be adversely affected. The FDA’s and other regulatory authorities’ policies may change and additional government regulations may be enacted that could prevent, limit or delay regulatory clearance, certification, authorization or approval of the therapeutic candidates within our Wholly Owned Pipeline or our Founded Entities’ therapeutic candidates. For example, on February 23, 2022, the FDA issued a proposed rule to amend the Quality System Regulation, or QSR, which establishes cGMP requirements for medical device manufacturers, to align more closely with the International Organization for Standardization standards. This proposal has not yet been finalized or adopted. Accordingly, it is unclear the extent to which this or any other proposals, if adopted, could impose additional or different regulatory requirements on us or our Founded Entities that could increase the costs of compliance or otherwise create competition that may negatively affect our business. We also cannot predict the likelihood, nature or extent of government regulation that may arise from future legislation or administrative action, either in the United States or abroad. If these legislative or administrative actions impose constraints on the FDA’s ability to engage in oversight and implementation activities in the normal course, our business may be negatively impacted. Outside of the United States,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revising the duration of regulatory exclusivity, eligibility for expedited pathways, etc.) is currently expected during the first quarter of 2023. The proposed revisions, once they are agreed and adopted by the European Parliament and European Council (not expected before the end of 2024 or early 2025) may have a significant impact on the biopharmaceutical industry in the long term. The FDA and other regulatory agencies actively enforce the laws and regulations prohibiting the promotion of off-label uses. If, for any of our Wholly Owned Programs that are cleared or approved, we are found to have improperly promoted off-label uses of those therapeutics, we may become subject to significant liability. The FDA and other regulatory agencies strictly regulate the promotional claims or to the conditions of approval. Any regulatory clearances, certifications, authorizations or approvals that we may receive for the therapeutic candidates within our Wholly Owned Pipeline may contain requirements for potentially costly post-marketing testing, such as Phase 4 clinical trials and surveillance to monitor the safety and efficacy of a drug therapeutic. We are required to report certain adverse reactions and production problems, if any, to the FDA and other comparable foreign regulatory authorities. Any new legislation addressing drug or medical safety issues could result in delays in therapeutic development or commercialization, or increased costs to assure compliance. The FDA and other agencies, including the U.S. Department of Justice, and for certain therapeutics, the Federal Trade Commission, closely regulate and monitor the marketing, labeling, advertising and promotion of therapeutics to ensure that they are manufactured, marketed and distributed only for the cleared, certified, authorized or approved indications and in accordance with the provisions of the cleared, certified, authorized or approved labeling. We are, and will be, required to comply with requirements concerning advertising and promotion for the therapeutic candidates within our Wholly Owned Pipeline, if cleared, certified, authorized or approved. For example, promotional communications with respect to prescription drugs and medical devices are subject to a variety of legal and regulatory restrictions and must be consistent with the information in the therapeutic’s label or labeling. We may not promote our therapeutics for indications or uses for which they do not have approval, certification, authorization or clearance. The holder of a cleared 510(k), de novo classification, certification or an approved NDA, BLA, PMA, MAA or equivalent marketing authorization must submit new or supplemental applications and obtain clearance, authorization or approval for certain changes to the approved therapeutic, therapeutic labeling, or manufacturing process. For example, any modification to Plenity or EndeavorRx that could significantly affect its safety or effectiveness or that would constitute a major change in its intended use could require a new 510(k) clearance, de novo classification, certification or approval of PMA application. Delays in obtaining required clearances, certifications or approvals would harm our ability to introduce new or enhanced therapeutic in a timely manner, which in turn would harm our or our Founded Entities’ future growth. Failure to submit a new or supplemental application and to obtain approval or certification for certain changes prior to marketing the modified therapeutic may require a recall or to stop selling or distributing the marketed therapeutic as modified, and may lead to significant enforcement actions. Subject to the transitional provisions and in order to sell our products in EU member states, our products must comply with the general safety and performance requirements set forth in the new EU Medical Device Regulation (EU) 2017/745, which repeals and replaces the Medical Devices Directive. Compliance with these requirements is a prerequisite to be able to affix the European Conformity (“CE”) mark to our products, without which they cannot be marketed or sold in the EU. All medical devices placed on the market in the EU must meet the general safety and performance requirements laid down in Annex I to the EU Medical Devices Regulation (EU) 2017/745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or our Founded Entities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In June 2020, Gelesis received a certification for Plenity as a class III medical device indicated for weight loss in overweight and obese adults with a Body Mass Index of 25-40 kg/ m2, when used in conjunction with diet and exercise. Also in June 2020,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190"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187 Risk Factor Annex — continued A d d it io na l i nf o rm at io n The EU legislation does not establish different classes of narcotic or psychotropic substances. However, the United Nations, or UN, Single Convention on Narcotic Drugs of 1961 and the UN Convention on Psychotropic Substances of 1971, or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 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 In order to develop and commercialize our products in the EU, we need to comply with the national requirements related to controlled substances which is costly and may affect our development plans in the EU. Risks Related to Manufacturing our Therapeutic Candidates or Those of our Founded Entities Certain of the therapeutic candidates being developed by us or our Founded Entities are novel, complex and difficult to manufacture. We could experience manufacturing problems that result in delays in our development or commercialization programs or otherwise harm our business. The manufacturing processes our CMOs use to produce our and our Founded Entities’ therapeutic candidates are complex and in certain cases novel.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For example, Vedanta has its own proprietary cGMP manufacturing facilities for certain therapeutic candidates, including VE202, VE303, VE800 and VE416. Creating defined consortia of live microbial therapeutics for these therapeutic candidates is inherently complex, and therefore can be vulnerable to delays. The expertise required to manufacture these therapeutic candidates is unique to Vedanta, and as a result, it would be difficult and time consuming to find an alternative CMO. In addition, manufacturing of clinical supply for certain of our therapeutic candidates is dependent on third party CMOs, and manufacturing such therapeutic candidates is inherently complex. Some of our and our Founded Entities’ therapeutic candidates include biologics, some of which have physical and chemical properties that cannot be fully characterized. As a result, assays of the finished product may not be sufficient to ensure that the therapeutic candidate is consistent from lot-to-lot or will perform in the intended manner. Accordingly, our CMOs must employ multiple steps to control the manufacturing process to assure that the process is reproducible and the therapeutic candidate is made strictly and consistently in compliance with the process. Problems with the manufacturing process, even minor deviations from the normal process, could result in therapeutic defects or manufacturing failures that result in lot failures, therapeutic recalls, product liability claims or insufficient inventory to conduct clinical trials or supply commercial markets. We or our Founded Entities may encounter problems achieving adequate quantities and quality of clinical-grade materials that meet the FDA, the EMA or other applicable standards or specifications with consistent and acceptable production yields and costs. In addition, the FDA and other foreign regulatory authorities may require us or our Founded Entities to submit samples of any lot of any approved therapeutic together with the protocols showing the results of applicable tests at any time. Under some circumstances, the FDA or other foreign regulatory authorities may require that we or our Founded Entities not distribute a lot until the agency authorizes its release. Slight deviations in the manufacturing process, including those affecting quality attributes and stability, may result in unacceptable changes in the therapeutic that could result in lot failures or therapeutic recalls. Lot failures or therapeutic recalls could cause us or our Founded Entities to delay therapeutic launches or clinical trials, which could be costly to us and otherwise harm our business, financial condition, results of operations and prospects. that may be made about prescription therapeutics, if cleared, authorized or approved. In particular, while the FDA permits the dissemination of truthful and non-misleading information about a cleared, authorized or approved therapeutic, a manufacturer may not promote a therapeutic for uses that are not cleared, authorized or approved by the FDA or such other regulatory agencies as reflected in the therapeutic’s cleared, authorized or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the therapeutic candidates within our Wholly Owned Pipeline, if cleared, authorized or approved, we could become subject to significant liability, which would materially adversely affect our business and financial condition. Certain of our product candidates may be regulated as controlled substances, the making, use, sale, importation, exportation, and distribution of which are subject to significant regulation by the U.S. Drug Enforcement Administration, or DEA, and other regulatory agencies. We expect that certain of our product candidates, if approved, will be regulated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or CSA, and regulations of the DEA.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Certain of our other product candidates contain Schedule IV substances, which subjects such product candidates to additional restrictions regarding their manufacture, shipment, storage, sale and use, depending on the scheduling of the active ingredients, and may limit the commercial potential of any of our product candidates, if approved. 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 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191"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188 PureTech Health plc Annual report and accounts 2022 Risk Factor Annex — continued A d d it io na sl in fo rm at io n are discovered in our therapeutics or in the manufacturing facilities in which our therapeutics, if approved, are made, such manufacturing facilities may need to be closed for an extended period of time to investigate and remedy the contamination. We cannot assure you that any stability or other issues relating to the manufacture of any of our therapeutics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therapeutic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therapeutics may result in shipment delays, inventory shortages, lot failures, therapeutic withdrawals or recalls, or other interruptions in the supply of our therapeutics or therapeutic candidates. We may also have to take inventory write-offs and incur other charges and expenses for therapeutics or therapeutic candidates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therapeutics or therapeutic candidates and could have a material adverse effect on our business, prospects, financial condition and results of operations. Our or our Founded Entities’ therapeutics must be manufactured in accordance with federal, state and international regulations, and we or our Founded Entities could be forced to recall our or our Founded Entities’ medical devices or terminate production if we or our Founded Entities fail to comply with these regulations. The methods used in, and the facilities used for, the manufacture of medical device therapeutics of our Founded Entities, including Gelesis, Akili, Follica and Sonde, must comply with the FDA’s cGMPs for medical devices, known as the QSR, which is a complex regulatory scheme that covers the procedures and documentation of, among other requirements, the design, testing, validation, verification, complaint handling, production, process controls, quality assurance, labeling, supplier evaluation, packaging, handling, storage, distribution, installation, servicing and shipping of medical devices. Furthermore, we and our Founded Entities are required to verify that our suppliers maintain facilities, procedures and operations that comply with our quality standards and applicable regulatory requirements. The FDA enforces the QSR through, among other oversight methods, periodic announced or unannounced inspections of medical device manufacturing facilities, which may include the facilities of subcontractors, suppliers or CMOs. Our and our Founded Entities’ therapeutics are also subject to similar state regulations and various laws and regulations of foreign countries governing manufacturing. Our or our Founded Entities’ third-party manufacturers may not take the necessary steps to comply with applicable regulations or our or our Founded Entities’ specifications, which could cause delays in the delivery of our therapeutics. In addition, failure to comply with applicable FDA or comparable foreign requirements or later discovery of previously unknown problems with our or our Founded Entities’ therapeutics or manufacturing processes could result in, among other things: warning letters or untitled letters; civil penalties; suspension or withdrawal of approvals or clearances; seizures or recalls of our or our Founded Entities’ therapeutics; total or partial suspension of production or distribution; administrative or judicially imposed sanctions; the FDA’s or foreign regulatory authorities’ refusal to grant pending or future clearances or approvals for our or our Founded Entities’ therapeutics; clinical holds; refusal to permit the import or export of our or our Founded Entities’ therapeutics; and criminal prosecution of us or our employees. Any of these actions could significantly and negatively impact supply of our or our Founded Entities’ therapeutics. If any of these events occurs, our reputation could be harmed, we could be exposed to product liability claims and we or our Founded Entities could lose customers and suffer reduced revenue and increased costs. Risks Related to Commercialization If, in the future, we are unable to establish sales and marketing capabilities or enter into agreements with third parties to sell and market any therapeutic candidates we may develop, we may not be successful in commercializing those therapeutic candidates if and when they are approved. We do not have a sales or marketing infrastructure or the capabilities for sale, marketing, or distribution of pharmaceutical therapeutics. To achieve commercial success for any approved therapeutic for which we retain 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therapeutics. We do not currently have nor do we plan to acquire the infrastructure or capability internally to manufacture our clinical drug supplies for use in the conduct of our clinical trials, and we lack the resources and the capability to manufacture the therapeutic candidates within our Wholly Owned Pipeline on a clinical or commercial scale. Instead, we rely on our third-party manufacturing partners for the production of the active pharmaceutical ingredient, or API, and drug formulation. The facilities used by our third- party manufacturers to manufacture our therapeutic candidates that we may develop must be successfully inspected by the applicable regulatory authorities, including the FDA, after we submit any NDA or BLA to the FDA. We are currently completely dependent on our third-party manufacturers for the production of certain of our therapeutic candidates in accordance with cGMPs or similar foreign requirements, which include, among other things, quality control, quality assurance and the maintenance of records and documentation. Although we have entered into agreements for the manufacture of clinical supplies for such therapeutic candidates, our third-party manufacturers may not perform as agreed, may be unable to comply with these cGMP or similar foreign requirements and with FDA, state and foreign regulatory requirements or may terminate its agreement with us. If any of our third-party manufacturers cannot successfully manufacture material that conforms to our specifications and the applicable regulatory authorities’ strict regulatory requirements, pass regulatory inspection or maintain a compliance status acceptable to the FDA or state or foreign regulatory authorities, our NDAs, BLAs or MAAs will not be approved. In addition, although we are ultimately responsible for ensuring therapeutic quality, we have no direct day-to-day control over our third-party manufacturers’ ability to maintain adequate quality control, quality assurance and qualified personnel. If our third-party manufacturers are unable to satisfy the regulatory requirements for the manufacture of our therapeutics, if approved, or if our suppliers or third-party manufacturers decide they no longer want to manufacture our therapeutics, we will need to find alternative manufacturing facilities, which would be time-consuming and significantly impact our ability to develop, obtain regulatory approval for or market our therapeutics, if approved. If we are required to change contract manufacturers for any reason, we will be required to show that the new manufacturer maintains facilities and procedures that comply with quality standards and with all applicable regulations. We will also need to verify, such as through a manufacturing comparability study, that any new manufacturing process or procedure will produce our therapeutic candidate according to specifications previously submitted to the FDA or another regulatory authority. We might be unable to identify manufacturers for long-term clinical and commercial supply on acceptable terms or at all. Manufacturers are subject to ongoing periodic announced and unannounced inspection by the FDA and other governmental authorities to ensure compliance with government regulations. As a result, our third-party manufacturers may be subject to increased scrutiny. If we were to experience an unexpected loss of supply for clinical development or commercialization, we could experience delays in our ongoing or planned clinical trials as our third-party manufacturers would need to manufacture additional quantities of our clinical and commercial supply and we may not be able to provide sufficient lead time to enable our third-party manufacturers to schedule a manufacturing slot, or to produce the necessary replacement quantities. This could result in delays in progressing our clinical development activities and achieving regulatory approval for our therapeutics, which could materially harm our business. The manufacture of pharmaceutical therapeutics is complex and requires significant expertise and capital investment, including the development of advanced manufacturing techniques and process controls. We and our contract manufacturers must comply with cGMP or similar foreign regulations and guidelines. Manufacturers of pharmaceutical therapeutics often encounter difficulties in production, particularly in scaling up and validating initial production.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192"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189 Risk Factor Annex — continued A d d it io na l i nf o rm at io n Efforts to educate the medical community and third-party payors on the benefits of the therapeutic candidates within our Wholly Owned Pipeline may require significant resources, including management time and financial resources, and may not be successful. The degree of market acceptance of the therapeutic candidates within our Wholly Owned Pipeline, if approved for commercial sale, will depend on a number of factors, including: • the efficacy and safety of the therapeutic; • the potential advantages of the therapeutic compared to competitive therapies; • the prevalence and severity of any side effects; • whether the therapeutic is designated under physician treatment guidelines as a first-, second- or third-line therapy; • our ability, or the ability of any future collaborators, to offer the therapeutic for sale at competitive prices; • the therapeutic’s convenience and ease of administration compared to alternative treatments; • the willingness of the target patient population to try, and of physicians to prescribe, the therapeutic; • limitations or warnings, including distribution or use restrictions contained in the therapeutic’s approved labelling; • the strength of sales, marketing and distribution support; • changes in the standard of care for the targeted indications for the therapeutic; and • availability and adequacy of coverage and reimbursement from government payors, managed care plans and other third-party payors. Sales of medical therapeutics also depend on the willingness of physicians to prescribe the treatment, which is likely to be based on a determination by these physicians that the therapeutics are safe, therapeutically effective and cost effective. In addition, the inclusion or exclusion of therapeutics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therapeutic is safe, therapeutically effective and cost effective as compared with competing treatments. If any therapeutic candidates we develop do not achieve an adequate level of acceptance, we may not generate significant therapeutic revenue, and we may not become profitable. Any failure by any current or future therapeutic candidate of ours that obtains regulatory approval to achieve market acceptance or commercial success would adversely affect our business prospects. In addition, any negative perception of one of our Founded Entities or any therapeutic candidates marketed or commercialized by them may adversely affect our reputation in the marketplace or among industry participants and our business prospects. The incidence and prevalence for target patient populations of our therapeutic candidates have not been established with precision. If the market opportunities for our therapeutic candidates are smaller than we estimate, or if any approval that we obtain is based on a narrower definition of the patient population, our revenue and ability to achieve profitability may be materially adversely affected. The precise incidence and prevalence for all the conditions we aim to address with our therapeutic candidates are unknown and cannot be precisely determined. Our projections of both the number of people who have these diseases, as well as the subset of people with these diseases who have the potential to benefit from treatment with our therapeutic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total addressable market across all of our therapeutic candidates will ultimately depend upon, among other things, the diagnosis criteria included in the final label for each of our therapeutic candidates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therapeutic candidates, if the potential target populations are very small, we may never achieve profitability despite obtaining such significant market share. sales and marketing responsibilities, we must either develop a sales and marketing organization or outsource these functions to third parties. In the future, we may choose to build a focused sales, marketing, and commercial support infrastructure to market and sell the therapeutic candidates within our Wholly Owned Pipeline, if and when they are approved. We may also elect to enter into collaborations or strategic partnerships with third parties to engage in commercialization activities with respect to selected therapeutic candidates, indications or geographic territories, including territories outside the United States, although there is no guarantee we will be able to enter into these arrangements even if the intent is to do so. 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therapeutic launch. If the commercial launch of a therapeutic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therapeutic on our own include: • the inability to recruit and retain adequate numbers of effective sales, marketing, reimbursement, customer service, medical affairs, and other support personnel; • the inability of sales personnel to obtain access to physicians or persuade adequate numbers of physicians to prescribe any future approved therapeutics; • the inability of reimbursement professionals to negotiate arrangements for formulary access, reimbursement, and other acceptance by payors; • the inability to price therapeutics at a sufficient price point to ensure an adequate and attractive level of profitability; • restricted or closed distribution channels that make it difficult to distribute our therapeutics to segments of the patient population; • the lack of complementary therapeutics to be offered by sales personnel, which may put us at a competitive disadvantage relative to companies with more extensive therapeutic lines; and • unforeseen costs and expenses associated with creating an independent commercialization organization. If we enter into arrangements with third parties to perform sales, marketing, commercial support, and distribution services, our therapeutic revenue or the profitability of therapeutic revenue may be lower than if we were to market and sell any therapeutics we may develop internally. In addition, we may not be successful in entering into arrangements with third parties to commercialize the therapeutic candidates within our Wholly Owned Pipeline or may be unable to do so on terms that are favorable to us or them. We may have little control over such third parties, and any of them may fail to devote the necessary resources and attention to sell and market our therapeutics effectively or may expose us to legal and regulatory risk by not adhering to regulatory requirements and restrictions governing the sale and promotion of prescription drug therapeutics, including those restricting off-label promotion. If we do not establish commercialization capabilities successfully, either on our own or in collaboration with third parties, we will not be successful in commercializing the therapeutic candidates within our Wholly Owned Pipeline, if approved. Even if any current or future therapeutic candidate of ours receives regulatory clearance or approval, it may fail to achieve the degree of market acceptance by physicians, patients, third-party payors and others in the medical community necessary for commercial success, in which case we may not generate significant revenues or become profitable. We have never commercialized a therapeutic, and even if any current or future therapeutic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therapeutics or they are required to switch due to lack of coverage and adequate reimbursement. In addition, even if we are able to demonstrate our Wholly Owned Programs’ safety and efficacy to the FDA and other regulators, safety or efficacy concerns in the medical community may hinder market acceptance.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8"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193"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190 PureTech Health plc Annual report and accounts 2022 Risk Factor Annex — continued A d d it io na sl in fo rm at io n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therapeutics we may develop could have a material adverse effect on our operating results, our ability to raise capital needed to commercialize therapeutic candidates, and our overall financial condition. As noted above, in the United States we plan to have various programs to help patients afford our therapeutics, including patient assistance programs and co-pay coupon programs for eligible patients.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therapeutics that we develop could have a material adverse effect on our operating results, our ability to raise capital needed to commercialize therapeutics and our overall financial condition. Increasingly, third-party payors are requiring that pharmaceutical companies provide them with predetermined discounts from list prices and are challenging the prices charged for medical therapeutics. We cannot be sure that reimbursement will be available for any therapeutic candidate that we commercialize and, if reimbursement is available, the level of reimbursement. Reimbursement may impact the demand for, or the price of, any therapeutic or therapeutic candidate for which we obtain marketing approval. In order to obtain reimbursement, physicians may need to show that patients have superior treatment outcomes with our therapeutics compared to standard of care drugs, including lower-priced generic versions of standard of care drugs. We expect to experience pricing pressures in connection with the sale of any of the therapeutic candidates within our Wholly Owned Pipeline,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therapeutics. Additionally, we may develop companion diagnostic tests for use with our Wholly Owned Programs or our Founded Entities’ therapeutic candidates. We, or our Founded Entities or our collaborators may be required to obtain coverage and reimbursement for these tests separate and apart from the coverage and reimbursement we seek for our Wholly Owned Programs or our Founded Entities’ therapeutic candidates, once approved. Even if we or our Founded Entities obtain regulatory approval or clearance for such companion diagnostics, there is significant uncertainty regarding our ability to obtain coverage and adequate reimbursement for the same reasons applicable to our Wholly Owned Programs or our Founded Entities’ therapeutic candidates. Medicare reimbursement methodologies, whether under Part A, Part B, or clinical laboratory fee schedule may be amended from time to time, and we cannot predict what effect any change to these methodologies would have on any therapeutic candidate or companion diagnostic for which we receive approval. We have no sales, distribution, or marketing capabilities, and may invest significant financial and management resources to establish these capabilities. If we are unable to establish such capabilities or enter into agreements with third parties to market and sell our future therapeutics, if approved, we may be unable to generate any revenues. Given our stage of development, we have no sales, distribution, or marketing capabilities. To successfully commercialize any therapeutics that may result from our development programs, we will need to develop sales and marketing capabilities in the United States, Europe, and other regions, either on our own or with others. We may enter into strategic alliances with other entities to utilize their mature marketing and distribution capabilities, but we may be unable to enter into marketing agreements on favorable terms, if at all. If our future strategic collaborators do not commit sufficient resources to commercialize our future therapeutics, if any, and we are unable to develop the necessary marketing capabilities on our own, we may be unable to generate sufficient therapeutic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 The insurance coverage and reimbursement status of newly-approved therapeutics is uncertain. The therapeutic candidates within our Wholly Owned Pipeline may become subject to unfavorable pricing regulations, third-party coverage and reimbursement practices, or healthcare reform initiatives, which would harm our business. Failure to obtain or maintain coverage and adequate reimbursement for new or current therapeutics could limit our ability to market those therapeutics and decrease our ability to generate revenue. The regulations that govern marketing approvals, pricing, coverage, and reimbursement for new drugs and other medical therapeutics vary widely from country to country. In the United States, healthcare reform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therapeutic licensing approval is granted. In some foreign markets, pricing remains subject to continuing governmental control even after initial approval is granted. As a result, we might obtain marketing approval for a therapeutic in a particular country, but then be subject to price regulations that delay our commercial launch of the therapeutic, possibly for lengthy time periods, and negatively impact the revenue we are able to generate from the sale of the therapeutic in that country. Adverse pricing limitations may hinder our ability to recoup our investment in one or more therapeutics or therapeutic candidates, even if any therapeutic candidates we may develop obtain marketing approval. Our ability to successfully commercialize our therapeutics and therapeutic candidates also will depend in part on the extent to which coverage and adequate reimbursement for these therapeutics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therapeutics. Sales of these or other therapeutic candidates that we may identify will depend substantially, both domestically and abroad, on the extent to which the costs of the therapeutic candidates within our Wholly Owned Pipeline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or therapeutic candidates.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medications. In many countries, the prices of medical therapeutics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the therapeutic candidates within our Wholly Owned Pipeline. Accordingly, in markets outside the United States, the reimbursement for therapeutics may be reduced compared with the United States and may be insufficient to generate commercially reasonable revenues and profits. There is also significant uncertainty related to the insurance coverage and reimbursement of newly approved therapeutics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therapeutics exists among third-party payors and coverage and reimbursement levels for therapeutics can differ significantly from payor to payor. As a result, the coverage determination process is often a time consuming and costly process that may require us to provide scientific and clinical support for the use of our therapeutics to each payor separately, with no assurance that coverage and adequate reimbursement will be applied consistently or obtained in the first instance. It is difficult to predict what CMS will decide with respect to reimbursement for fundamentally novel therapeutics such as ours, as there is no body of established practices and precedents for these new therapeutics. Reimbursement agencies in Europe may be more conservative than CMS. For example, a number of cancer drugs have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9"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194"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191 Risk Factor Annex — continued A d d it io na l i nf o rm at io n • 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the U.S. Department of Health and Human Services, or HHS, under the Open Payments Program, information related to payments or other transfers of value made to physicians (defined to include doctors, dentists, optometrists, podiatrists and chiropractors), certain non-physician providers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 federal consumer protection and unfair competition laws, which broadly regulate marketplace activities and activities that potentially harm consumers; • federal price reporting laws, which require manufacturers to calculate and report complex pricing metrics to government programs, where such reported prices may be used in the calculation of reimbursement and/or discounts on approved therapeutics; and • 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 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one or more of such laws. Additionally, FDA or foreign regulators may not agree that we have mitigated any risk of bias in our clinical trials due to payments or equity interests provided to investigators or institutions which could limit a regulator’s acceptance of those clinical trial data in support of a marketing application. Moreover,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exclusion from participation in Medicare, Medicaid and other federal healthcare programs, integrity and oversight agreements to resolve allegations of non-compliance, contractual damages, reputational harm, diminished profits and future earnings, and curtailment or restructuring of our operations, any of which could adversely affect our ability to operate our business and our results of operations. In addition, the approval and commercialization of any of the therapeutic candidates within our Wholly Owned Pipeline outside the United States will also likely subject us to foreign equivalents of the healthcare laws mentioned above, among other foreign laws. Failure to comply with data protection laws and regulations could lead to government enforcement actions (which could include civil or criminal penalties), private litigation, and/or adverse publicity and could negatively affect our operating results and business. 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Risks Related to Compliance with Healthcare Laws If we fail to comply with healthcare laws, we could face substantial penalties and our business, operations and financial conditions could be adversely affected. Healthcare providers, physicians and third-party payors in the United States and elsewhere play a primary role in the recommendation and prescription of pharmaceutical therapeutics. Arrangements with healthcare providers, third-party payors and customers can expose pharmaceutical manufacturers to broadly applicable fraud and abuse and other healthcare laws and regulations, including, without limitation, the federal Anti-Kickback Statute and the federal False Claims Act, or the FCA, which may constrain the business or financial arrangements and relationships through which such companies sell, market and distribute pharmaceutical therapeutics.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ownership,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and state healthcare laws and regulations laws that may affect our ability to operate include, but are not limited to: • 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 federal civil and criminal false claims laws and civil monetary penalty laws, including the False Claims Act,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 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 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195"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192 PureTech Health plc Annual report and accounts 2022 Risk Factor Annex — continued A d d it io na sl in fo rm at io n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Healthcare legislative measures aimed at reducing healthcare costs may have a material adverse effect on our business and results of operations. The United States and many foreign jurisdictions have enacted or proposed legislative and regulatory changes affecting the healthcare system that could prevent or delay marketing approval of the therapeutic candidates within our Wholly Owned Pipeline or our Founded Entities’ therapeutic candidates or any future therapeutic candidates, restrict or regulate post-approval activities and affect our or our Founded Entities’ ability to profitably sell any therapeutic for which we or our Founded Entities obtain marketing approval. Changes in regulations, statutes or the interpretation of existing regulations could impact our or our Founded Entities’ business in the future by requiring, for example: (i) changes to our manufacturing arrangements; (ii) additions or modifications to therapeutic labeling; (iii) the recall or discontinuation of our therapeutics; or (iv) additional record- keeping requirements. If any such changes were to be imposed, they could adversely affect the operation of our business. In the United States, there have been and continue to be a number of legislative initiatives and judicial challenges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subjects biological therapeutics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percent point-of-sale discounts off negotiated prices of applicable brand drugs to eligible beneficiaries during their coverage gap period, as a condition for the manufacturer’s outpatient drugs to be covered under Medicare Part D. Payment methodologies may be subject to changes in healthcare legislation and regulatory challenges. For example, in order for a drug therapeutic to receive federal reimbursement under the Medicaid or Medicare Part B programs or to be sold directly to U.S. government agencies, the manufacturer must extend discounts to entities eligible to participate in the 340B drug pricing program. In December 2018, the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Since the enactment of the ACA,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other legislative changes have been proposed and adopted in the United States since the ACA was enacted. In August 2011, the Budget Control Act of 2011, among other things, resulted in aggregate reductions of Medicare payments to providers, which went into effect in we may obtain health information from third parties (including research institutions from which we obtain clinical trial data) that are subject to privacy and security requirements under HIPAA, as amended.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As our operations and business grow, we may become subject to or affected by new or additional data protection laws and regulations and face increased scrutiny or attention from regulatory authorities. In the United States, certain states have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or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Further, in the event we decide to conduct clinical trials or continue to enroll subjects in our ongoing or future clinical trials in the European Economic Area, or EEA, or the United Kingdom, UK, we may be subject to additional privacy restrictions. More specifically, the EU General Data Protection Regulation 2016/679, or GDPR, and the UK general Data Protection Regulation and the Data Protection Act 2018, or the UK GDPR, could require us to take on more onerous obligations in our contracts, restrict our ability to collect, use and disclose data, or in some cases, impact our ability to operate in certain jurisdictions. The collection and use of personal health data in the EEA and the UK is governed by the provisions of the GDPR and UK GDPR, respectively. The GDPR and UK GDPR impose certain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GDPR/UK GDPR also impose strict rules on the transfer of personal data out of the EEA/UK to the United States.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EEA and UK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Companies that must comply with the GDPR and UK GDPR face increased compliance obligations and risk, including more robust regulatory enforcement of data protection requirements and potential fines for noncompliance of up to €20 million under the GDPR and £17.5 million under the UK GDPR or 4% of the annual global revenues of the noncompliant company, whichever is greater. The existence of parallel regimes under the GDPR and UK GDPR, and divergence in respect of implementing or supplementary laws across the EEA and UK in certain areas, means that we could be subject to potentially overlapping or divergent enforcement actions for certain actual or perceived violations.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196"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193 Risk Factor Annex — continued A d d it io na l i nf o rm at io n take place in the interim. Once the regulation becomes applicable, it will have a phased implementation depending on the concerned products. This regulation intends to boost cooperation among EU member states in assessing health technologies, including new medicinal products as well as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Risks Related to Competition 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therapeutic candidates we may develop and ultimately harm our financial condition. The development and commercialization of new drug therapeutics is highly competitive. We may face competition with respect to any therapeutic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There are a number of major pharmaceutical and biotechnology companies that are currently pursuing the development and commercialization of potential medicines targeting similar treatment areas as we are. If any of our competitors receive FDA or foreign regulatory authorities approval before we do, the therapeutic candidates within our Wholly Owned Pipeline would not be the first treatment on the market, and our market share may be limited. In addition to competition from other companies targeting our target indications, any therapeutics we may develop may also face competition from other types of therapies. Many of our current or potential competitors, either alone or with their strategic partners, have: • greater financial, technical, and human resources than we have at every stage of the discovery, development, manufacture, and commercialization of therapeutics; • more extensive resources for preclinical testing, conducting clinical trials, obtaining regulatory approvals, and in manufacturing, marketing, and selling drug therapeutics; • therapeutics that have been approved or are in late stages of development; and • collaborative arrangements in our target markets with leading companies and research institutions.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therapeutics that are safer, more effective, have fewer or less severe side effects, are more convenient, or are less expensive than any therapeutics that we may develop. Furthermore, currently approved therapeutics could be discovered to have application for treatment of our targeted disease indications or similar indications, which could give such therapeutics significant regulatory and market timing advantages over the therapeutic candidates within our Wholly Owned Pipeline. Our competitors may also obtain FDA, EMA or other comparable foreign regulatory approval for their therapeutics more rapidly than we may obtain approval for ours and may obtain orphan therapeutic exclusivity from the FDA for indications that we are targeting, which could result in our competitors establishing a strong market position before we are able to enter the market. Additionally, therapeutics or technologies developed by our competitors may render our potential therapeutic candidates uneconomical or obsolete and we may not be successful in marketing any therapeutic candidates we may develop against competitors. 2013, and, due to subsequent legislative amendments, will remain in effect through 2032, with the exception of a temporary suspension from May 1, 2020 through March 31, 2022, unless additional Congressional action is taken. The American Taxpayer Relief Act of 2012 further reduced Medicare payments to several types of providers, including hospitals and cancer treatment centers, and increased the statute of limitations period for the government to recover overpayments to providers from three to five years. In addition, in March 2021, Congress enacted the American Rescue Plan Act of 2021, which, among other things, eliminated the statutory cap on drug manufacturers’ Medicaid Drug Rebate Program rebate liability, effective January 1, 2024. 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therapeutic pricing, including price or patient reimbursement constraints, discounts, restrictions on certain therapeutic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therapeutics and which suppliers will be included in their prescription drug and other healthcare programs. Furthermore, there has been increased interest by third-party payors and governmental authorities in reference pricing systems and publication of discounts and list prices. There have been, and likely will continue to be, legislative and regulatory proposals at the foreign, federal and state levels directed at containing or lowering the cost of healthcare. The implementation of cost containment measures or other healthcare reforms may prevent us from being able to generate revenue, attain profitability, or commercialize our therapeutic. Such reforms could have an adverse effect on anticipated revenue from therapeutic candidates that we may successfully develop and for which we may obtain regulatory approval and may affect our overall financial condition and ability to develop therapeutic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 the demand for the therapeutic candidates within our Wholly Owned Pipeline or our Founded Entities’ therapeutic candidates, if approved; • our ability to receive or set a price that we believe is fair for our therapeutics; • our ability to generate revenue and achieve or maintain profitability; • the amount of taxes that we are required to pay; and • the availability of capital. Other healthcare reform measures may be adopted in the future, and may result in additional reductions in Medicare and other healthcare funding, more rigorous coverage criteria, lower reimbursement, and new payment methodologies. This could lower the price that we receive for any approved therapeutic.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the therapeutic candidates within our Wholly Owned Pipeline or our Founded Entities’ therapeutic candidates, if approved. Litigation and legislative efforts to change or repeal the ACA are likely to continue, with unpredictable and uncertain results. In the EU, similar developments may affect our ability to profitably commercialize our product candidates, if approved.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2"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197"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194 PureTech Health plc Annual report and accounts 2022 Risk Factor Annex — continued A d d it io na sl in fo rm at io n based on clinical trial results, changes in their strategic focus due to their acquisition of competitive therapeutics or their internal development of competitive therapeutics, availability of funding or other external factors, such as a business combination that diverts resources or creates competing priorities; • collaborators may delay clinical trials, provide insufficient funding for a clinical trial program, stop a clinical trial, abandon a therapeutic candidate, repeat or conduct new clinical trials or require a new formulation of a therapeutic candidate for clinical testing; • collaborators could independently develop, or develop with third parties, therapeutics that compete directly or indirectly with our therapeutics or therapeutic candidates; • a collaborator with marketing, manufacturing and distribution rights to one or more therapeutics may not commit sufficient resources to or otherwise not perform satisfactorily in carrying out these activities; • we could grant exclusive rights to our collaborators that would prevent us from collaborating with others; •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 disputes may arise between us and a collaborator that cause the delay or termination of the research, development or commercialization of our current or future therapeutic candidates or that results in costly litigation or arbitration that diverts management attention and resources; • collaborations may be terminated, which may result in a need for additional capital to pursue further development or commercialization of the applicable current or future therapeutic candidates; • collaborators may own or co-own intellectual property covering therapeutics that result from our collaboration with them, and in such cases, we would not have the exclusive right to develop or commercialize such intellectual property; • disputes may arise with respect to the ownership of any intellectual property developed pursuant to our collaborations; and • a collaborator’s sales and marketing activities or other operations may not be in compliance with applicable laws resulting in civil or criminal proceedings. Additionally, we may seek to enter into additional collaborations, joint ventures, licenses and other similar arrangements for the development or commercialization of the therapeutic candidates within our Wholly Owned Pipeline, due to capital costs required to develop or commercialize the therapeutic candidate or manufacturing constraints. We may not be successful in our efforts to establish such collaborations for the therapeutic candidates within our Wholly Owned Pipeline because our R&amp;D pipeline may be insufficient, the therapeutic candidates within our Wholly Owned Pipeline may be deemed to be at too early of a stage of development for collaborative effort or third parties may not view the therapeutic candidates within our Wholly Owned Pipeline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 Even if we are successful in our efforts to establish such collaborations, the terms that we agree upon may not be favorable to us, and we may not be able to maintain such collaborations if, for example, development or approval of a therapeutic candidate is delayed, the safety of a therapeutic candidate is questioned or sales of an approved therapeutic candidate are unsatisfactory. 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the therapeutic candidates within our Wholly Owned Pipeline, if approved, and may not conduct those activities in the same manner as we do. Any termination of collaborations we enter into in the future, or any delay in entering into collaborations related to the therapeutic candidates within our Wholly Owned Pipeline, could delay the development and commercialization of the therapeutic candidates within our Wholly Owned Pipeline and reduce their competitiveness if they reach the market, which could have a material adverse effect on our business, financial condition and results of operations. In addition, we could face litigation or other proceedings with respect to the scope, ownership, validity and/or enforceability of our patents relating to our competitors’ therapeutics and our competitors may allege that our therapeutics infringe, misappropriate or otherwise violate their intellectual property. The availability of our competitors’ therapeutics could limit the demand, and the price we are able to charge, for any therapeutics that we may develop and commercialize. The therapeutic candidates within our Wholly Owned Pipeline or our Founded Entities’ therapeutic candidates for which we or our Founded Entities intend to seek approval as biologic therapeutics may face competition sooner than anticipated. If we or our Founded Entities are successful in achieving regulatory approval to commercialize any biologic therapeutic candidate we or our Founded Entities develop alone or with collaborators, it may face competition from biosimilar therapeutics. In the United States, certain of the therapeutic candidates within our Wholly Owned Pipeline and our Founded Entities’ therapeutic candidates are regulated by the FDA as biologic therapeutics subject to approval under the BLA pathway. The Biologics Price Competition and Innovation Act of 2009, or BPCIA, created an abbreviated pathway for the approval of biosimilar and interchangeable biologic therapeutics following the approval of an original BLA. The abbreviated regulatory pathway establishes legal authority for the FDA to review and approve biosimilar biologics, including the possible designation of a biosimilar as “interchangeable” based on its similarity to an existing brand therapeutic. Under the BPCIA, an application for a biosimilar therapeutic may not be submitted until four years following the date that the reference therapeutic was first licensed by the FDA. In addition, the approval of a biosimilar therapeutic may not be made effective by the FDA until 12 years after the reference therapeutic was first licensed by the FDA. During this 12-year period of exclusivity, another company may still market a competing version of the reference therapeutic if the FDA approves a full BLA for the competing therapeutic containing the sponsor’s own preclinical data and data from adequate and well-controlled clinical trials to demonstrate the safety, purity and potency of their therapeutic. In the EU, upon receiving a marketing authorization, new biological entities generally receive eight years of data exclusivity and an additional two years of market exclusivity. If granted, data exclusivity prevents regulatory authorities in the EU from referencing the innovator’s data to assess a biosimilar application. During the additional two-year period of market exclusivity, a biosimilar marketing authorization can be submitted, and the innovator’s data may be referenced, but no biosimilar product can be marketed until the expiration of the market exclusivity. We believe that any of the therapeutic candidates within our Wholly Owned Pipeline or our Founded Entities’ therapeutic candidates that are approved as a biological therapeutic under a BLA should qualify for the 12-year period of exclusivity. However, there is a risk that this exclusivity could be shortened due to congressional action or otherwise, or that the FDA will not consider such therapeutic candidates to be reference therapeutics for competing therapeutics, potentially creating the opportunity for generic competition sooner than anticipated. Other aspects of the BPCIA, some of which may impact the BPCIA exclusivity provisions, have also been the subject of recent litigation. Moreover, the extent to which a biosimilar therapeutic, once approved, will be substituted for any one of our, our Founded Entities’ or our collaborators’ reference therapeutics in a way that is similar to traditional generic substitution for non-biologic therapeutics is not yet clear, and will depend on a number of marketplace and regulatory factors that are still developing. If competitors are able to obtain marketing approval for biosimilars referencing any therapeutics that we or our Founded Entities develop alone or with collaborators that may be approved, such therapeutics may become subject to competition from such biosimilars, with the attendant competitive pressure and potential adverse consequences. Risks Related to Reliance on Third Parties 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 We are currently parties to license and collaboration agreements with a number of universities and pharmaceutical companies and expect to enter into additional agreements as part of our business strategy. The success of our current and any future collaboration arrangements will depend heavily on the efforts and activities of our collaborators. Collaborations are subject to numerous risks, which may include risks that: • collaborators may have significant discretion in determining the efforts and resources that they will apply to collaborations; • collaborators may not pursue development and commercialization of the therapeutic candidates within our Wholly Owned Pipeline or may elect not to continue or renew development or commercialization programs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3"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198"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195 Risk Factor Annex — continued A d d it io na l i nf o rm at io n regulatory authorities may require us to perform additional clinical trials before approving the therapeutic candidates within our Wholly Owned Pipeline,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databases including a government-sponsored database, ClinicalTrials.gov, within certain timeframes. NIH and FDA recently signaled the government’s willingness to begin enforcing those requirements against non-compliant clinical trial sponsors. Failure to do so can result in fines, adverse publicity and civil and criminal sanctions. 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or medical device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the therapeutic candidates within our Wholly Owned Pipeline. If that occurs, we will not be able to, or may be delayed in our efforts to, successfully commercialize the therapeutic candidates within our Wholly Owned Pipeline. In such an event, our financial results and the commercial prospects for any therapeutic candidates that we seek to develop could be harmed, our costs could increase and our ability to generate revenues could be delayed, impaired or foreclosed. Our or our Founded Entities’ use of third parties to manufacture the therapeutic candidates within our Wholly Owned Pipeline or our Founded Entities’ therapeutic candidates and other therapeutic candidates that we or our Founded Entities may develop for preclinical studies and clinical trials may increase the risk that we or our Founded Entities will not have sufficient quantities of our or our Founded Entities’ therapeutic candidates, therapeutics, or necessary quantities of such materials on time or at an acceptable cost. With respect to certain of the therapeutic candidates within our Wholly Owned Pipeline or our Founded Entities’ therapeutic candidates, we and certain of our Founded Entities do not currently have, nor do we plan to acquire, the infrastructure or capability internally to manufacture drug supplies for our ongoing clinical trials or any future clinical trials that we or our Founded Entities may conduct, and we and our Funded Entities lack the resources to manufacture any therapeutic candidates on a commercial scale. We rely, and expect to continue to rely, on third-party manufacturers to produce our and certain of our Founded Entities’ therapeutic candidates or other therapeutic candidates that we or our Founded Entities may identify for clinical trials, as well as for commercial manufacture if any therapeutic candidates receive marketing authorization. Although we and our Founded Entities generally do not begin a clinical trial unless we or our Founded Entities believe we have a sufficient supply of a therapeutic candidate to complete the trial, any significant delay or discontinuity in the supply of a therapeutic candidate, or the raw material components thereof, for an ongoing clinical trial due to the need to replace a third- party manufacturer could considerably delay the clinical development and potential regulatory authorization of the therapeutic candidates within our Wholly Owned Pipeline or our Founded Entities’ therapeutic candidates, which could harm our business and results of operations. We or our Founded Entities may be unable to identify and appropriately qualify third-party manufacturers or establish agreements with third-party manufacturers or do so on acceptable terms. Even if we or our Founded Entities are able to establish agreements with third-party manufacturers, reliance on third-party manufacturers entails additional risks, including: • reliance on the third party for sourcing of raw materials, components, and such other goods as may be required for execution of its manufacturing processes and the oversight by the third party of its suppliers; • reliance on the third party for regulatory compliance and quality assurance for the manufacturing activities each performs; • the possible breach of the manufacturing agreement by the third party; • the possible misappropriation of proprietary information, including trade secrets and know-how; and • the possible termination or non-renewal of the agreement by the third party at a time that is costly or inconvenient for us or our Founded Entities. Collaborative relationships with third parties could cause us to expend significant resources and give rise to substantial business risk with no assurance of financial return. We anticipate relying upon strategic collaborations for marketing and commercializing our existing therapeutic candidates, and we may rely even more on strategic collaborations for R&amp;D of other therapeutic candidates or discoveries. We may sell therapeutic offerings through strategic partnerships with pharmaceutical and biotechnology companies. If we are unable to establish or manage such strategic collaborations on terms favorable to us in the future, our R&amp;D efforts and potential to generate revenue may be limited. If we enter into R&amp;D collaborations during the early phases of therapeutic development, success will in part depend on the performance of research collaborators. We will not directly control the amount or timing of resources devoted by research collaborators to activities related to therapeutic candidates. Research collaborators may not commit sufficient resources to our R&amp;D programs. If any research collaborator fails to commit sufficient resources, the preclinical or clinical development programs related to the collaboration could be delayed or terminated. Also, collaborators may pursue existing or other development-stage therapeutics or alternative technologies in preference to those being developed in collaboration with us. Finally, if we fail to make required milestone or royalty payments to collaborators or to observe other obligations in agreements with them, the collaborators may have the right to terminate or stop performance of those agreements.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regulatory or intellectual property position. In addition, there have been a significant number of recent business combinations among large pharmaceutical companies that have resulted in a reduced number of potential future collaborators. Even if we successfully establish new collaborations, these relationships may never result in the successful development or commercialization of therapeutic candidates or the generation of sales revenue. To the extent that we enter into collaborative arrangements, the related therapeutic revenues are likely to be lower than if we directly marketed and sold therapeutics. Such collaborators may also consider alternative therapeutic candidates or technologies for similar indications that may be available to collaborate on and whether such a collaboration could be more attractive than the one with us for any future therapeutic candidate. Management of our relationships with collaborators will require: • significant time and effort from our management team; • coordination of our marketing and R&amp;D programs with the marketing and R&amp;D priorities of our collaborators; and • effective allocation of our resources to multiple projects. We rely on third parties to assist in conducting our clinical trials and some aspects of our research and preclinical testing, and those third parties may not perform satisfactorily, including failing to meet deadlines for the completion of such trials, research, or testing. We currently rely and expect to continue to rely on third parties, such as CROs, clinical data management organizations, medical institutions, and clinical investigators, to conduct some aspects of research and preclinical testing and clinical trials. Any of these third parties may terminate their engagements with us or be unable to fulfill their contractual obligations. If any of our relationships with these third parties terminate, we may not be able to enter into arrangements with alternative third parties on commercially reasonable terms, or at all. If we need to enter into alternative arrangements, it would delay therapeutic development activities. 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scientific standards. For example, notwithstanding the obligations of a CRO for a trial of one of the therapeutic candidates within our Wholly Owned Pipeline, we remain responsible for ensuring that each of our clinical trials is conducted in accordance with the general investigational plan and protocols for the trial. Moreover, the FDA and comparable foreign regulatory authorities require us to comply with requirements, commonly referred to as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FDA or comparable foreign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4"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199"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196 PureTech Health plc Annual report and accounts 2022 Risk Factor Annex — continued A d d it io na sl in fo rm at io n quality systems of some or all of our third-party contractors must pass a pre-approval inspection for compliance with the applicable regulations as a condition of regulatory approval of the therapeutic candidates within our Wholly Owned Pipeline or our Founded Entities’ therapeutic candidates or any of our other potential therapeutics. In addition, the regulatory authorities may, at any time, audit or inspect a manufacturing facility involved with the preparation of the therapeutic candidates within our Wholly Owned Pipeline or our Founded Entities’ therapeutic candidates or our other potential therapeutics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therapeutics may not be granted or may be substantially delayed until any violations are corrected to the satisfaction of the regulatory authority, if ever. The regulatory authorities or notified bodies (when applicable) also may, at any time following clearance, certification or approval of a therapeutic for sale, audit the manufacturing facilities of our third-party contractors. If any such inspection or audit identifies a failure to comply with applicable regulations or if a violation of our therapeutic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 Additionally, if supply from one approved manufacturer is interrupted, an alternative manufacturer would need to be qualified. For drug and biologic therapeutics, as applicable, an NDA, BLA supplement or MAA variation, or equivalent foreign regulatory filing, is also required, which could result in further delay. Similarly, for medical devices, a new marketing application or supplement may be required. The regulatory agencies may also require additional studies if a new manufacturer is relied upon for commercial production. Switching manufacturers may involve substantial costs and is likely to result in a delay in our desired clinical and commercial timelines. These factors could cause us or our Founded Entities to incur higher costs and could cause the delay or termination of clinical trials, regulatory submissions, required approvals, or commercialization of the therapeutic candidates within our Wholly Owned Pipeline or our Founded Entities’ therapeutic candidates. Furthermore, if our or our Founded Entities’ suppliers fail to meet contractual requirements and we or our Founded Entities are unable to secure one or more replacement suppliers capable of production at a substantially equivalent cost, our or our Founded Entities’ clinical trials may be delayed or we or our Founded Entities could lose potential revenue. Risks Related to Our Intellectual Property Risks Related to Our Intellectual Property Protection If we or our Founded Entities are unable to obtain and maintain sufficient intellectual property protection for our or our Founded Entities’ existing therapeutic candidates or any other therapeutic candidates that we or they may identify, or if the scope of the intellectual property protection we or they currently have or obtain in the future is not sufficiently broad, our competitors could develop and commercialize therapeutic candidates similar or identical to ours, and our ability to successfully commercialize our existing therapeutic candidates and any other therapeutic candidates that we or they may pursue may be impaired. As is the case with other pharmaceutical and biopharmaceutical companies, our success depends in large part on our ability to obtain and maintain protection of the intellectual property we may own solely and jointly with others, particularly patents, in the United States and other countries with respect to our Wholly Owned Programs or our Founded Entities’ therapeutic candidates and technology. We and our Founded Entities seek to protect our proprietary position by filing patent applications in the United States and abroad related to our and our Founded Entities’ existing therapeutic candidates, our various proprietary technologies, and any other therapeutic candidates or technologies that we or they may identify. Obtaining, maintaining and enforcing pharmaceutical and biopharmaceutical patents is costly, time consuming and complex, and we may not be able to file or prosecute all necessary or desirable patent applications, or maintain, enforce or license patents that may issue from such patent applications, at a reasonable cost or in a timely manner. It is also possible that we could fail to identify patentable aspects of our R&amp;D Furthermore, all of our CMOs are engaged with other companies to supply and/or manufacture materials or therapeutics for such companies, which exposes our manufacturers to regulatory risks for the production of such materials and therapeutics. The facilities used by our contract manufacturers to manufacture our drug, or medical device therapeutic candidates are subject to review by the FDA pursuant to inspections that will be conducted after we submit an NDA, BLA, PMA application or other marketing application to the FDA. We do not control the manufacturing process of, and are to some extent dependent on, our contract manufacturing partners for compliance with the regulatory requirements, known as cGMP requirements for manufacture of drug, biologic and device therapeutics. If our contract manufacturers cannot successfully manufacture material that conforms to our specifications and the strict regulatory requirements of the FDA or others, we will not be able to secure or maintain regulatory authorization for the therapeutic candidates within our Wholly Owned Pipeline or our Founded Entities’ therapeutic candidates manufactured at these manufacturing facilities. We are subject to similar requirements in foreign jurisdictions. In addition, we have no control over the ability of our contract manufacturers to maintain adequate quality control, quality assurance and qualified personnel. If the FDA or another comparable foreign regulatory agency does not approve these facilities for the manufacture of the therapeutic candidates within our Wholly Owned Pipeline or our Founded Entities’ therapeutic candidates or if any agency withdraws its approval in the future, we or our Founded Entities may need to find alternative manufacturing facilities, which would negatively impact our or our Founded Entities’ ability to develop, obtain regulatory authorization or certification for or market the therapeutic candidates within our Wholly Owned Pipeline or our Founded Entities’ therapeutic candidates, if cleared, certified or approved. The therapeutic candidates within our Wholly Owned Pipeline or our Founded Entities’ therapeutic candidates may compete with other therapeutic candidates and marketed therapeutics for access to manufacturing facilities. Any performance failure on the part of our or our Founded Entities’ existing or future manufacturers could delay clinical development, marketing approval, certification or commercialization. Our and certain of our Founded Entities’ current and anticipated future dependence upon others for the manufacturing of the therapeutic candidates within our Wholly Owned Pipeline or our Founded Entities’ therapeutic candidates may adversely affect our future profit margins and our ability to commercialize any therapeutic candidates that receive marketing clearance or approval on a timely and competitive basis. If the contract manufacturing facilities on which we and certain of our Founded Entities’ rely do not continue to meet regulatory requirements or are unable to meet our or our Founded Entities’ supply demands, our business will be harmed. All entities involved in the preparation of therapeutic candidates for clinical trials or commercial sale, including our and certain of our Founded Entities’ existing CMOs for the therapeutic candidates within our Wholly Owned Pipeline or our Founded Entities’ therapeutic candidates, are subject to extensive regulation. Components of a finished drug or biologic therapeutic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therapeutics and therapeutics approved for sale. Similarly, medical devices must be manufactured in accordance with QSR and similar foreign requirements. Poor control of production processes can lead to the introduction of contaminants or to inadvertent changes in the properties or stability of Gelesis’ Plenity, Akili’s EndeavorRx, our Founded Entities’ other therapeutic candidates or the therapeutic candidates within our Wholly Owned Pipeline. Our or our Founded Entities’ failure, or the failure of third-party manufacturers, to comply with applicable regulations could result in sanctions being imposed on us or our Founded Entities, including clinical holds, fines, injunctions, civil penalties, delays, suspension or withdrawal of approvals or certification, license revocation, suspension of production, seizures or recalls of therapeutic candidates or marketed drugs or devices, operating restrictions and criminal prosecutions, any of which could significantly and adversely affect clinical or commercial supplies of the therapeutic candidates within our Wholly Owned Pipeline or our Founded Entities’ therapeutic candidates. We and/or our CMOs must supply all necessary documentation, as applicable, in support of a marketing application, such as an NDA, BLA, PMA or MAA, on a timely basis and must adhere to regulations enforced by the FDA and other regulatory agencies through their facilities inspection program. Some of our CMOs have never produced a commercially approved pharmaceutical therapeutic and therefore have not obtained the requisite regulatory authority approvals to do so. The facilities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5"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200"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197 Risk Factor Annex — continued A d d it io na l i nf o rm at io n 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therapeutics embodying such inventions in the United States. Any exercise by the government of such rights or by any third party of its reserved rights could harm our competitive position, business, financial condition, results of operations, and prospects. If our or our Founded Entities’ trademarks and trade names are not adequately protected, then we may not be able to build name recognition in our markets of interest and our business may be adversely affected. Our or our Founded Entities’ registered or unregistered trademarks or trade names may be challenged, infringed, circumvented or declared generic or determined to be infringing on other marks. We and our Founded Entities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and our Founded Entities are unable to establish name recognition based on our trademarks and trade names, then we may not be able to compete effectively and our business may be adversely affected. We and our Founded Entities may license our trademarks and trade names to third parties, such as distributors. Though these license agreements may provide guidelines for how our or our Founded Entities’ trademarks and trade names may be used, a breach of these agreements or misuse of our trademarks and tradenames by our licensees may jeopardize our rights in or diminish the goodwill associated with our trademarks and trade names. Our or our Founded Entities’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 We may not be able to protect our intellectual property rights throughout the world. Filing, prosecuting and defending patents on the therapeutic candidates within our Wholly Owned Pipeline or our Founded Entities’ therapeutic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or enforce intellectual property rights to the same extent as federal and state laws in the United States. Consequently, we and our Founded Entities may not be able to prevent third parties from practicing our inventions in all countries outside the United States, or from selling or importing therapeutics made using our inventions in and into the United States or other jurisdictions. Competitors may use our and our Founded Entities’ technologies in jurisdictions where we have not obtained patent protection to develop their own therapeutics and may also export infringing therapeutics to territories where we have patent protection, but enforcement is not as strong as that in the United States. These therapeutics may compete with our or our Founded Entities’ therapeutics and our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therapeutics, which could make it difficult for us to stop the infringement of our or our Founded Entities’ patents or marketing of competing therapeutics in violation of our proprietary rights generally. Proceedings to enforce our or our Founded Entities’ patent rights in foreign jurisdictions, whether or not successful, could result in substantial costs and divert our efforts and attention from other aspects of our business, could put our or our Founded Entities’ patents at risk of being invalidated output before it is too late to obtain patent protection. Although we take reasonable measures, we have systems in place to remind us of filing and prosecution deadlines, and we employ outside firms and rely on outside counsel to monitor patent deadlines, we may miss or fail to meet a patent deadline, including in a foreign country, which could negatively impact our patent rights and harm our competitive position, business, and prospects.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 The patent position of biotechnology and pharmaceutical companies generally is highly uncertain, involves complex legal, technological and factual questions and has in recent years been the subject of much litigation. The standards that the U.S. Patent and Trademark Office, or the USPTO, and its foreign counterparts use to grant patents are not always applied predictably or uniformly. In addition, the laws of foreign countries may not protect our rights to the same extent as the laws of the United States, or vice versa. There is no assurance that all potentially relevant prior art relating to our patents and patent applications has been found, which can prevent a patent from issuing from a pending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Wholly Owned Programs or our Founded Entities’ therapeutic candidates, in whole or in part, or which effectively prevent others from commercializing competitive therapeutic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therapeutic candidates in a non-infringing manner. 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therapeutic candidates to ours, or limit the duration of the patent protection of our Wholly Owned Programs or our Founded Entities’ therapeutic candidates. For example, we may be subject to a third-party preissuance submission of prior art to the USPTO, or become involved in opposition, derivation, reexamination, inter partes review, post-grant review or interference proceedings challenging our owned or licensed patent rights. An adverse determination in any such submission, proceeding or litigation could reduce the scope of, or invalidate, our patent rights, allow third parties to commercialize our Wholly Owned Programs or our Founded Entities’ therapeutic candidates and compete directly with us, without payment to us, or result in our inability to manufacture or commercialize drugs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therapeutic candidates. Furthermore, our and our Founded Entities’ intellectual property rights may be subject to a reservation of rights by one or more third parties. We are party to a license agreement with New York University related to certain intellectual property underlying our LYT-200 therapeutic candidate which is subject to certain rights of the government, including march-in rights, to such intellectual property due to the fact that the research was funded at least in part by the U.S. government. We are also party to other license agreements for intellectual property underlying certain of our therapeutic candidates and programs. Additionally, our Founded Entities Akili, Follica, Vedanta, Sonde and Vor, are party to license agreements with academic institutions pursuant to which such Founded Entities have in- licensed certain intellectual property underlying various of their therapeutic candidates. While these license agreements are exclusive, they contain provisions pursuant to which the government has certain rights, including march-in rights, to such patents and technologies due to the fact that the research was funded at least in part by the U.S. government. When new technologies are developed with government funding, the government generally obtains certain rights in any resulting patents, including a non-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01"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198 PureTech Health plc Annual report and accounts 2022 Risk Factor Annex — continued A d d it io na sl in fo rm at io n • successfully negotiating a proposed acquisition, in-license or investment in a timely manner and at a price or on terms and conditions favorable to us; • successfully combining and integrating a potential acquisition into our existing business to fully realize the benefits of such acquisition; • the impact of regulatory reviews on a proposed acquisition, in-license or investment; and • the outcome of any legal proceedings that may be instituted with respect to the proposed acquisition, in-license or investment. If we fail to properly evaluate potential acquisitions, in-licenses, investments or other transactions associated with the creation of new R&amp;D programs or the maintenance of existing ones, we might not achieve the anticipated benefits of any such transaction, we might incur costs in excess of what we anticipate, and management resources and attention might be diverted from other necessary or valuable activities. Our or our Founded Entities’ rights to develop and commercialize our Wholly Owned Programs or our Founded Entities’ therapeutic candidates are subject in part to the terms and conditions of licenses granted to us and our Founded Entities by others, and the patent protection, prosecution and enforcement for some of our Wholly Owned Programs or our Founded Entities’ therapeutic candidates may be dependent on our and our Founded Entities’ licensors. We and our Founded Entities currently are reliant upon licenses of certain intellectual property rights and proprietary technologies from third parties that are important or necessary to the development of our and our Founded Entities’ proprietary technologies, including technologies related to our Wholly Owned Programs and our Founded Entities’ therapeutic candidates. These licenses, and other licenses we and they may enter into in the future, may not provide adequate rights to use such intellectual property and proprietary technologies in all relevant fields of use or in all territories in which we or our Founded Entities may wish to develop or commercialize technology and therapeutic candidates in the future. Licenses to additional third-party proprietary technology or intellectual property rights that may be required for our or our Founded Entities’ development programs may not be available in the future or may not be available on commercially reasonable terms. In that event, we or our Founded Entities may be required to expend significant time and resources to redesign our proprietary technology or therapeutic candidates or to develop or license replacement technology, which may not be feasible on a technical or commercial basis. If we and our Founded Entities are unable to do so, we may not be able to develop and commercialize technology and therapeutic candidates in fields of use and territories for which we are not granted rights pursuant to such licenses, which could harm our competitive position, business, financial condition, results of operations and prospects significantly. In some circumstances, we and our Founded Entities may not have the right to control the preparation, filing and prosecution of patent applications, or to maintain and enforce the patents, covering technology that we or our Founded Entities license from third parties. In addition, some of our or our Founded Entities’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Wholly Owned Programs or our Founded Entities’ therapeutic candidates and proprietary technologies. We and our Founded Entities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This could cause us to lose rights in any applicable intellectual property that we in-license, and as a result our ability to develop and commercialize therapeutic candidates may be adversely affected and we may be unable to prevent competitors from making, using and selling competing therapeutics. In addition, our or our Founded Entities’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therapeutics, if any, the amounts may be significant. The amount of our and our Founded Entities’ future royalty obligations will depend on the technology and intellectual property we and our Founded Entities use in therapeutic candidates that we successfully develop and commercialize, if any. Therefore, even if we or our Founded or interpreted narrowly and our patent applications at risk of not issuing, and could provoke third parties to assert claims against us or our Founded Entities. We may not prevail in any lawsuits that we or our Founded Entities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In some jurisdictions including European Union countries,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our Founded Entities or any of our licensors are forced to grant a license to third parties under patents relevant to our or our Founded Entities’ business, or if we, our Founded Entities or our licensors are prevented from enforcing patent rights against third parties, our competitive position may be substantially impaired in such jurisdictions. Our or our Founded Entities’ proprietary rights may not adequately protect our technologies and therapeutic candidates, and do not necessarily address all potential threats to our competitive advantage. The degree of future protection afforded by our or our Founded Entities’ intellectual property rights is uncertain because intellectual property rights have limitations, and may not adequately protect our or our Founded Entities’ business, or permit us to maintain our competitive advantage. The following examples are illustrative: • others may be able to make therapeutics that are the same as or similar to the therapeutic candidates within our Wholly Owned Pipeline or our Founded Entities’ therapeutic candidates but that are not covered by the claims of the patents that we or our Founded Entities own or have exclusively licensed; • others, including inventors or developers of our or our Founded Entities’ owned or in-licensed patented technologies who may become involved with competitors, may independently develop similar technologies that function as alternatives or replacements for any of our or our Founded Entities’ technologies without infringing our intellectual property rights; • we, our Founded Entities or our licensors or our other collaboration partners might not have been the first to conceive and reduce to practice the inventions covered by the patents or patent applications that we or our Founded Entities own or license or will own or license; • we, our Founded Entities or our licensors or our other collaboration partners might not have been the first to file patent applications covering certain of the patents or patent applications that we or they own or have obtained a license, or will own or will have obtained a license; • we, our Founded Entities or our licensors may fail to meet obligations to the U.S. government with respect to in-licensed patents and patent applications funded by U.S. government grants, leading to the loss of patent rights; • it is possible that our or our Founded Entities’ pending patent applications will not result in issued patents; • it is possible that there are prior public disclosures that could invalidate our, our Founded Entities’ or our licensors’ patents; • issued patents that we or our Founded Entities own or exclusively license may not provide us with any competitive advantage, or may be held invalid or unenforceable, as a result of legal challenges by our competitors; • our or our Founded Entities’ competitors might conduct R&amp;D activities in countries where we do not have patent rights, or in countries where R&amp;D safe harbor laws exist, and then use the information learned from such activities to develop competitive therapeutics for sale in our major commercial markets; • ownership, validity or enforceability of our, our Founded Entities’ or our licensors’ patents or patent applications may be challenged by third parties; and • the patents of third parties or pending or future applications of third parties, if issued, may have an adverse effect on our business. Risks Related to Our License Arrangements The failure to maintain our licenses and realize their benefits may harm our business. We have acquired and in-licensed certain of our technologies from third parties. We may in the future acquire, in-license or invest in additional technology that we believe would be beneficial to our business. We are subject to a number of risks associated with our acquisition, in-license or investment in technology, including the following: • diversion of financial and managerial resources from existing operations;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7"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02" descr=""/>
                    <pic:cNvPicPr>
                      <a:picLocks noChangeAspect="1" noChangeArrowheads="1"/>
                    </pic:cNvPicPr>
                  </pic:nvPicPr>
                  <pic:blipFill>
                    <a:blip r:embed="rId23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199 Risk Factor Annex — continued A d d it io na l i nf o rm at io n industries, including patent infringement lawsuits, interferences, derivation, oppositions, inter partes review and post-grant review before the USPTO, and corresponding foreign patent offices. Numerous U.S. and foreign issued patents and pending patent applications, which are owned by third parties, exist in the fields in which we are pursuing development candidates.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the therapeutic candidates within our Wholly Owned Pipeline or our Founded Entities’ therapeutic candidates. In addition, many companies in the biotechnology and pharmaceutical industries have employed intellectual property litigation as a means to gain an advantage over their competitors. As the biotechnology and pharmaceutical industries expand and more patents are issued, and as we gain greater visibility and market exposure as a public company, the risk increases that our existing therapeutic candidates and any other therapeutic candidates that we or our Founded Entities may identify may be subject to claims of infringement of the patent rights of third parties. There may be other third-party patents or patent applications with claims to materials, formulations, methods of manufacture or methods for treatment related to the use or manufacture of our or our Founded Entities’ existing therapeutic candidates and any other therapeutic candidates that we or they may identify. Because patent applications can take many years to issue, there may be currently pending patent applications which may later result in issued patents that our or our Founded Entities’ existing therapeutic candidates and any other therapeutic candidates that we or they may identify may infringe. In addition, third parties may obtain patents in the future and claim that use of our or our Founded Entities’ technologies infringes upon these patents. If any third-party patents were held by a court of competent jurisdiction to cover the manufacturing process of our or our Founded Entities’ existing therapeutic candidates and any other therapeutic candidates that we or they may identify, any molecules formed during the manufacturing process, or any final therapeutic itself, the holders of any such patents may be able to block our ability to commercialize such therapeutic candidate unless we obtained a license under the applicable patents, or until such patents expire. Additionally, pending patent applications that have been published can, subject to certain limitations, be later amended in a manner that could cover our Wholly Owned Programs or our Founded Entities’ therapeutic candidates. Furthermore, the scope of a patent claim is determined by an interpretation of the law, the written disclosure in a patent and the patent’s prosecution history and can involve other factors such as expert opinion. Our analysis of these issues, including interpreting the relevance or the scope of claims in a patent or a pending application, determining applicability of such claims to our proprietary technologies or therapeutic candidates, predicting whether a third party’s pending patent application will issue with claims of relevant scope, and determining the expiration date of any patent in the United States or abroad that we consider relevant may be incorrect, which may negatively impact our or our Founded Entities’ ability to develop and market the therapeutic candidates within our Wholly Owned Pipeline or our Founded Entities’ therapeutic candidates. We do not always conduct independent reviews of pending patent applications of and patents issued to third parties. Similarly, if any third-party patents were held by a court of competent jurisdiction to cover aspects of our or our Founded Entities’ formulations, processes for manufacture or methods of use, including any combination therapies, the holders of any such patents may be able to block our or our Founded Entities’ ability to develop and commercialize the applicable therapeutic candidate unless we obtained a license or until such patent expires. In either case, such a license may not be available on commercially reasonable terms or at all, or it may be non-exclusive, which could result in our competitors gaining access to the same intellectual property. Parties making claims against us or our Founded Entities may obtain injunctive or other equitable relief, which could effectively block our ability to further develop and commercialize our or our Founded Entities’ existing therapeutic candidates and any other therapeutic candidates that we may identify. Defense of these claims, regardless of their merit, would involve substantial litigation expense and would be a substantial diversion of management and employee resources from our business. In the event of a successful claim of infringement against us or our Founded Entities, we or our Founded Entities may have to pay substantial damages, including treble damages and attorneys’ fees for willful infringement, pay royalties, redesign our infringing therapeutics or obtain one or more licenses from third parties, which may be impossible or require substantial time and monetary expenditure. Parties making claims against us or our Founded Entities may be able to sustain the costs of complex patent litigation more effectively than we can because they have substantially greater resources. Furthermore, because of Entities successfully develop and commercialize therapeutic candidates, we may be unable to achieve or maintain profitability. In addition, we or our Founded Entities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rights that are subject to our or our Founded Entities’ existing licenses. Any of these events could have a material adverse effect on our or our Founded Entities’ competitive position, business, financial conditions, results of operations, and prospects. If we or our Founded Entities fail to comply with our obligations in the agreements under which we license intellectual property rights from third parties or these agreements are terminated or we or our Founded Entities otherwise experience disruptions to our business relationships with our licensors, we could lose intellectual property rights that are important to our business. We are party to various agreements that we depend on to develop our Wholly Owned Programs or our Founded Entities’ therapeutic candidates and various proprietary technologies, and our rights to use currently licensed intellectual property, or intellectual property to be licensed in the future, are or will be subject to the continuation of and our and our Founded Entities’ compliance with the terms of these agreements. For example, under certain of our and our Founded Entities’ license agreements we and our Founded Entities are required to use commercially reasonable efforts to develop and commercialize therapeutic candidates covered by the licensed intellectual property rights, maintain the licensed intellectual property rights, and achieve certain development milestones, each of which could result in termination in the event we or our Founded Entities fail to comply. In spite of our efforts, our or our Founded Entities’ licensors might conclude that we have materially breached our obligations under such license agreements and might therefore terminate the license agreements, thereby removing or limiting our or our Founded Entities’ ability to develop and commercialize therapeutics and technology covered by these license agreements. Moreover, disputes may arise regarding intellectual property subject to a licensing agreement, including: • the scope of rights granted under the license agreement and other interpretation-related issues; • the extent to which our Wholly Owned Programs or our Founded Entities’ therapeutic candidates, technology and processes infringe on intellectual property of the licensor that is not subject to the licensing agreement; • the sublicensing of patent and other rights under our or our Founded Entities’ collaborative development relationships; • our and our Founded Entities’ diligence obligations under the license agreement and what activities satisfy those diligence obligations; • the inventorship and ownership of inventions and know-how resulting from the joint creation or use of intellectual property by our and our Founded Entities’ licensors and us and our Founded Entities and our partners; and • the priority of invention of patented technology. In addition, certain provisions in our and our Founded Entities’ license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agreement, either of which could have a material adverse effect on our or our Founded Entities’ business, financial condition, results of operations and prospects. Moreover, if disputes over intellectual property that we or our Founded Entities have licensed prevent or impair our ability to maintain our current licensing arrangements on commercially acceptable terms, we may be unable to successfully develop and commercialize the affected therapeutic candidates, which could have a material adverse effect on our competitive position, business, financial conditions, results of operations and prospects. Third-party claims of intellectual property infringement may prevent or delay our development and commercialization efforts. Our commercial success depends in part on our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03" descr=""/>
                    <pic:cNvPicPr>
                      <a:picLocks noChangeAspect="1" noChangeArrowheads="1"/>
                    </pic:cNvPicPr>
                  </pic:nvPicPr>
                  <pic:blipFill>
                    <a:blip r:embed="rId2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200 PureTech Health plc Annual report and accounts 2022 Risk Factor Annex — continued A d d it io na sl in fo rm at io n our Wholly Owned Pipeline or our Founded Entities’ therapeutic candidates is approved and a patent covering that therapeutic candidate is not listed in the Orange Book, a manufacturer of generic drugs would not have to provide advance notice to us of any abbreviated new drug application, or ANDA, filed with the FDA to obtain permission to sell a generic version of such therapeutic candidate. Issued patents covering our Wholly Owned Programs or our Founded Entities’ therapeutic candidates could be found invalid or unenforceable if challenged in courts or patent offices. If we, our Founded Entities or one of our licensing partners initiated legal proceedings against a third party to enforce a patent covering one or more of our Wholly Owned Programs or our Founded Entities’ therapeutic candidates, the defendant could counterclaim that the patent covering the relevant therapeutic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or our Founded Entities’ patents in such a way that they no longer cover our Wholly Owned Programs or our Founded Entities’ therapeutic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Wholly Owned Programs or our Founded Entities’ therapeutic candidates. Such a loss of patent protection could have a material adverse impact on our business. Changes in U.S. patent law could diminish the value of patents in general, thereby impairing our and our Founded Entities’ ability to protect our therapeutics.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a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and our Founded Entities to be cognizant of the time from invention to filing of a patent application and be diligent in filing patent applications, but circumstances could prevent us from promptly filing patent applications on our inventions. Since patent applications in the United States and most other countries are confidential for a period of time after filing or until issuance, we cannot be certain that we, our Founded Entities or our licensors were the first to either (i) file any patent application related to our Wholly Owned Programs or our Founded Entities’ therapeutic candidates or (ii) invent any of the inventions claimed in our, our Founded Entities or our licensor’s patents or patent applications. The America Invents Act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 Risks Related to Our Patents Patent terms may be inadequate to protect our competitive position on therapeutic candidates for an adequate amount of time. 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Wholly Owned Programs or our Founded Entities’ therapeutic candidates are obtained, once the patent life has expired, we or our Founded Entities may be open to competition from competitive therapeutics, including generics or biosimilars. Given the amount of time required for the development, testing and regulatory review of new therapeutic candidates, patents protecting such candidates might expire before or shortly after such candidates are commercialized. As a result, our or our Founded Entities’ owned and licensed patent portfolio may not provide us with sufficient rights to exclude others from commercializing therapeutics similar or identical to ours. If we or our Founded Entities are not able to obtain patent term extension or non-patent exclusivity in the United States under the Hatch-Waxman Act and in foreign countries under similar legislation, thereby potentially extending the marketing exclusivity term of the therapeutic candidates within our Wholly Owned Pipeline or our Founded Entities’ therapeutic candidates, our business may be materially harmed. Depending upon the timing, duration and specifics of FDA marketing approval of the therapeutic candidates within our Wholly Owned Pipeline or our Founded Entities’ therapeutic candidates, one or more of the U.S. patents covering each of such therapeutic candidates or the use thereof may be eligible for up to five years of patent term extension under the Hatch-Waxman Act. The Hatch-Waxman Act allows a maximum of one patent to be extended per new drug application, or NDA, for an FDA approved therapeutic as compensation for the patent term lost during the FDA regulatory review process. A patent term extension cannot extend the remaining term of a patent beyond a total of 14 years from the date of therapeutic approval and only those claims covering such approved drug therapeutic, a method for using it or a method for manufacturing it may be extended. Patent term extension also may be available in certain foreign countries upon regulatory approval of the therapeutic candidates within our Wholly Owned Pipeline or our Founded Entities’ therapeutic candidates. Nevertheless, we or our Founded Entities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or our Founded Entities are unable to obtain patent term extension or restoration, or the term of any such extension is less than our request, the period during which we will have the right to exclusively market our therapeutic may be shortened and our competitors may obtain approval of competing therapeutics following our patent expiration sooner, and our revenue could be reduced, possibly materially. Further, for certain of our and our Founded Entities’ licensed patents, we and our Founded Entities do not have the right to control prosecution, including filing with the USPTO, a petition for patent term extension under the Hatch-Waxman Act. Thus, if one of our or our Founded Entities’ licensed patents is eligible for patent term extension under the Hatch- Waxman Act, we may not be able to control whether a petition to obtain a patent term extension is filed with, or whether a patent term extension is obtained from, the USPTO. Also, there are detailed rules and requirements regarding the patents that may be submitted to the FDA for listing in the Approved Drug Products with Therapeutic Equivalence Evaluations, or the Orange Book. We or our Founded Entities may be unable to obtain patents covering the therapeutic candidates within our Wholly Owned Pipeline or our Founded Entities’ therapeutic candidates that contain one or more claims that satisfy the requirements for listing in the Orange Book. Even if we or our Founded Entities submit a patent for listing in the Orange Book, the FDA may decline to list the patent, or a manufacturer of generic drugs may challenge the listing. If or when one of the therapeutic candidates within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1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204" descr=""/>
                    <pic:cNvPicPr>
                      <a:picLocks noChangeAspect="1" noChangeArrowheads="1"/>
                    </pic:cNvPicPr>
                  </pic:nvPicPr>
                  <pic:blipFill>
                    <a:blip r:embed="rId2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201 Risk Factor Annex — continued A d d it io na l i nf o rm at io n For example, any of these parties may breach the agreements and disclose proprietary information, including trade secrets, and we may not be able to obtain adequate remedies for such breaches. We and our Founded Entities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or our Founded Entities’ confidential proprietary information were to be lawfully obtained or independently developed by a competitor, we or our Founded Entities would have no right to prevent such competitor from using that technology or information to compete with us, which could harm our competitive position. Unauthorized parties may also attempt to copy or reverse engineer certain aspects of our or our Founded Entities’ therapeutics that we consider proprietary. We or our Founded Entities may not be able to obtain adequate remedies in the event of such unauthorized use. Enforcing a claim that a party illegally disclosed or misappropriated a trade secret can be difficult, expensive and time-consuming,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to industry scientific positions. Though our or our Founded Entities’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In addition, if any of our or our Founded Entities’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 We or our Founded Entities may be subject to claims that our employees, consultants or independent contractors have wrongfully used or disclosed confidential information of third parties or that our employees have wrongfully used or disclosed alleged trade secrets of their former employers. As is common in the biotechnology and pharmaceutical industries, we and our Founded Entities employ individuals who were previously employed at universities or other biotechnology or pharmaceutical companies, including our competitors or potential competitors. Although we and our Founded Entities try to ensure that our employees, consultants and independent contractors do not use the proprietary information or know-how of others in their work for us, we or our Founded Entities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or our Founded Entities fail in defending any such claims, in addition to paying monetary damages, we may lose valuable intellectual property rights or personnel, which could adversely impact our business. Even if we or our Founded Entities are successful in defending against such claims, litigation could result in substantial costs and be a distraction to management and other employees. Risks Related to Challenges or Lawsuits Related to Intellectual Property We may become involved in lawsuits to protect or enforce our or our Founded Entities’ patents or other intellectual property, which could be expensive, time consuming and unsuccessful. Competitors may infringe our or our Founded Entities’ patents or other intellectual property. Our and our Founded Entities’ ability to enforce our patent or other intellectual property rights depends on our ability to detect infringement. It may be difficult to detect infringers who do not advertise the components or methods that are used in connection with their therapeutics and services. Moreover, it may be difficult or impossible to obtain evidence of infringement in a competitor’s or potential competitor’s therapeutic or service. We may not prevail in any lawsuits that we initiate and the damages or other remedies awarded if we were to prevail may not be commercially meaningful. If we were to initiate legal proceedings against a third party to enforce a patent covering one or more of our Wholly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or our Founded Entities’ owned or in-licensed patent applications and the enforcement or defense of our or our Founded Entities’ owned or in-licensed issued patents, all of which could have a material adverse effect on our competitive position, business, financial condition, results of operations, and prospects. In addition, the patent positions of companies in the development and commercialization of pharmaceuticals are particularly uncertain. Recent U.S. Supreme Court and Federal Circuit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and our Founded Entities have systems in place to remind us to pay these fees, and we and our Founded Entities employ outside firms and rely on outside counsel to pay these fees due to the USPTO and non-U.S. patent agencies. However, we and our Founded Entities cannot guarantee that our licensors have similar systems and procedures in place to pay such fees. In addition,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 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Risks Related to Confidentiality If we are unable to protect the confidentiality of our trade secrets, the value of our technology could be materially adversely affected and our business would be harmed. We and our Founded Entities consider proprietary trade secrets, confidential know-how and unpatented know-how to be important to our business. We and our Founded Entities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have relied in the past on third parties to manufacture the therapeutic candidates within our Wholly Owned Pipeline or our Founded Entities’ therapeutic candidates, because we may continue to do so in the future, and because we expect to collaborate with third parties on the development of our current therapeutic candidates and any future therapeutic candidates we develop, we may, at times, share trade secrets with them. We also conduct joint R&amp;D programs that may require us to share trade secrets under the terms of our R&amp;D partnerships or similar agreements. Under such circumstances, trade secrets and confidential know-how can be difficult to maintain as confidential. We and our Founded Entities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cannot be certain that such agreements have been entered into with all relevant parties, and we cannot be certain that our and our Founded Entities’ trade secrets and other confidential proprietary information will not be disclosed or that competitors will not otherwise gain access to our trade secrets or independently develop substantially equivalent information and techniques.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05"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202 PureTech Health plc Annual report and accounts 2022 Risk Factor Annex — continued A d d it io na sl in fo rm at io n Risks Related to the COVID-19 Pandemic The COVID-19 pandemic has impacted, and may in the future impact, our business, including our clinical trials and preclinical studies, and may materially and adversely affect our business in the future. Public health crises such as pandemics or other global emergencies could adversely impact our business and have a material adverse impact on our operations and financial condition and results. As a result of the COVID-19 outbreak or any future pandemics, we have experienced, and may in the future experience, disruptions that severely impact our business, clinical trials and preclinical studies, including: • delays or difficulties in enrolling patients in our clinical trials; • delays or difficulties in clinical site initiation, including difficulties in recruiting clinical site investigators and clinical site staff; • delays or disruptions in non-clinical experiments due to unforeseen circumstances at contract research organizations, or CROs, and vendors along their supply chain; • increased rates of patients withdrawing from our clinical trials following enrollment as a result of contracting COVID-19, being forced to quarantine, or not accepting home health visits; • diversion of healthcare resources away from the conduct of clinical trials, including the diversion of hospitals serving as our clinical trial sites and hospital staff supporting the conduct of our clinical trials; • 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 • interruption or delays in the operations of the FDA, comparable foreign regulatory agencies and notified bodies, which may impact review and approval or certification timelines; • interruption of, or delays in receiving, supplies of our therapeutic candidates from our contract manufacturing organizations due to staffing shortages, production slowdowns or stoppages and disruptions in delivery systems; and • 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 The COVID-19 pandemic has had, and may continue to have, an unfavorable impact on global economic conditions, including a decrease in or loss of insurance coverage among individuals in the United States, an increase in unemployment, and other negative impacts. In addition, the trading prices for biopharmaceutical companies have been highly volatile as a result of recent extreme volatility in the global economy, including as a result of the COVID-19 pandemic. As a result, if we require any further capital we may face difficulties raising capital through sales of our common stock or such sales may be on unfavorable terms. The extent to which the COVID-19 pandemic may impact our business, preclinical studies and clinical trials will depend on future developments, which are highly uncertain and cannot be predicted with confidence. To the extent the COVID-19 pandemic adversely affects our business and financial results, it may also have the effect of heightening many of the other risks described in this “Risk Factors” section, such as those relating to our clinical development operations, the supply chain for our ongoing and planned clinical trials, and the availability of governmental and regulatory authorities to conduct inspections of our clinical trial sites, review materials submitted by us in support of our applications for regulatory approval and grant approval for our therapeutic candidates. Owned Programs or our Founded Entities’ therapeutic candidates, the defendant could counterclaim that the patent covering our or our Founded Entities’ therapeutic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Interference or derivation proceedings provoked by third parties or brought by us or declared by the USPTO may be necessary to determine the priority of inventions with respect to our or our Founded Entities’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clinical trials, continue research programs, license necessary technology from third parties, or enter into development partnerships that would help us bring therapeutic candidates to market. Furthermore, because of the substantial amount of discovery required in connection with intellectual property litigation, there is a risk that some of our or our Founded Entities’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adversely impact the price of our ADSs. Furthermore, any of the foregoing could have a material adverse effect on our financial condition, results of operations, and prospects. We and our Founded Entities may be subject to claims challenging the inventorship of our patents and other intellectual property. Our and our Founded Entities’ agreements with employees and our personnel policies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automatic upon the creation of an invention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our Founded Entities or our licensors may be subject to claims that former employees, collaborators or other third parties have an interest in our owned or in-licensed patents, trade secrets, or other intellectual property as an inventor or co-inventor. For example, we, our Founded Entities or our licensors may have inventorship disputes arising from conflicting obligations of employees, consultants or others who are involved in developing our Wholly Owned Programs or our Founded Entities’ therapeutic candidates. Litigation may be necessary to defend against these and other claims challenging inventorship of our, our Founded Entities’ or our licensors’ ownership of our owned or in-licensed patents, trade secrets or other intellectual property. If we, our Founded Entities or our licensors fail in defending any such claims, in addition to paying monetary damages, we may lose valuable intellectual property rights, such as exclusive ownership of, or right to use, intellectual property that is important to our Wholly Owned Programs or our Founded Entities’ therapeutic candidates. Even if we are successful in defending against such claims, litigation could result in substantial costs and be a distraction to management and other employees. Any of the foregoing could have a material adverse effect on our competitive position, business, financial condition, results of operations and prospects.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206" descr=""/>
                    <pic:cNvPicPr>
                      <a:picLocks noChangeAspect="1" noChangeArrowheads="1"/>
                    </pic:cNvPicPr>
                  </pic:nvPicPr>
                  <pic:blipFill>
                    <a:blip r:embed="rId2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203 Risk Factor Annex — continued A d d it io na l i nf o rm at io n Furthermore, each of our executive officers may terminate their employment with us at any time. Recruiting and retaining qualified scientific and clinical personnel and, if we progress the development of the therapeutic candidates within our Wholly Owned Pipeline toward scaling up for commercialization, sales and marketing personnel, will also be critical to our success. The loss of the services of our executive officers or other key employees could impede the achievement of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the therapeutic candidates within our Wholly Owned Pipeline. Competition to hire qualified personnel in our industry is intense, and we may be unable to hire, train, retain or motivate these key personnel on acceptable terms given the competition among numerous pharmaceutical and biotechnology companies for similar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We will need to expand our organization and we may experience difficulties in managing this growth, which could disrupt our operations. As we mature, we expect to expand our full-time employee base and to hire more consultants and contractors. Our management may need to divert a disproportionate amount of its attention away from our day-to-day activities and devote a substantial amount of time toward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therapeutic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therapeutic candidates and compete effectively will depend, in part, on our ability to effectively manage any future growth. Because we are developing multiple programs and therapeutic candidates and are pursuing a variety of target indications and treatment modalities, we may expend our limited resources to pursue a particular therapeutic candidate and fail to capitalize on development opportunities or therapeutic candidates that may be more profitable or for which there is a greater likelihood of success. Because we have limited financial and personnel resources, we may forgo or delay pursuit of opportunities with potential target indications or therapeutic candidates that later prove to have greater commercial potential than our current and planned development programs and therapeutic candidates. Our resource allocation decisions may cause us to fail to capitalize on viable commercial therapeutics or profitable market opportunities. Our spending on current and future research and development programs and other future therapeutic candidates for specific indications may not yield any commercially viable future therapeutic candidates. If we do not accurately evaluate the commercial potential or target market for a particular therapeutic candidate, we may be required to relinquish valuable rights to that therapeutic candidate through collaboration, licensing or other royalty arrangements in cases in which it would have been more advantageous for us to retain sole development and commercialization rights to such future therapeutic candidates. Additionally, we may pursue additional in-licenses or acquisitions of development-stage assets or programs, which entails additional risk to us. For example, in 2019 we acquired LYT-100, which is the most advanced therapeutic candidate in our Wholly Owned Pipeline and to which we are investing significant resources for its development. Identifying, selecting and acquiring promising therapeutic candidates requires substantial technical, financial and human resources expertise. Efforts to do so may not result in the actual acquisition or license of a successful therapeutic Risks Related to Our Business and Industry We attempt to distribute our scientific, execution and financing risks across a variety of therapeutic areas, indications, programs and modalities that are driven by our proven innovation and drug development strategy. However, our assessment of, and approach to, risk may not be comprehensive or effectively avoid delays or failures in one or more of our programs. Failures in one or more of our programs could adversely impact other programs and have a material adverse impact on our business, results of operations and ability to fund our business. We are dedicated to giving life to new classes of medicine to Improve the lives of patients with devastating diseases. We have created a broad and deep pipeline through our experienced research and development team and our extensive network of scientists, clinicians and industry leaders that is being advanced both internally and through our Founded Entities. Our R&amp;D engine has resulted in the development of a number of therapeutics and therapeutic candidates, including two that have received both US FDA clearance and European marketing authorization and a third that we expect will soon be filed for FDA approval. A number of these programs are being advanced by PureTech or our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 As our and certain of our Founded Entities’ therapeutic candidates progress through clinical development, we or others may determine that certain of our risk allocation decisions were incorrect or insufficient, that individual programs or our science in general has technology or biology risks that were unknown or underappreciated, or that we have allocated resources across our programs in such a way that did not maximize potential value creation. All of these risks may relate to our current and future programs sharing similar science and infrastructure, and in the event material decisions in any of these areas turn out to have been incorrect or under-optimized, we may experience a material adverse impact on our business and ability to fund our operations. Our business is highly dependent on the clinical advancement of our programs and our success in identifying potential therapeutic candidates. Delay or failure to advance our programs could adversely impact our business. Over time, our and our Founded Entities’ preclinical and clinical work led us to identify potential synergies across target therapeutic indications, generating a broad portfolio of therapeutic candidates across multiple programs. Even if a particular program is successful in any phase of development, such program could fail at a later phase of development, and other programs within the same therapeutic area may still fail at any phase of development including at phases where earlier programs in that therapeutic area were successful. This may be a result of technical challenges unique to that program or due to biology risk, which is unique to every program. As we progress our programs through clinical development, there may be new technical challenges that arise that cause an entire program or a group of programs within an area of focus to fail. While we aim to segregate risk across programs, and in certain cases among our Founded Entities, there may be foreseen and unforeseen risks across the therapeutic candidates within our Wholly Owned Pipeline and programs being developed by our Founded Entities in whole or in part. In addition, if any one or more of our clinical programs encounter safety, tolerability, or efficacy problems, developmental delays, regulatory issues, or other problems, our business could be significantly harmed. Our future success depends on our ability to retain key employees, directors, consultants and advisors and to attract, retain and motivate qualified personnel. Our ability to compete in the highly competitive biotechnology industry depends upon our ability to attract and retain highly qualified managerial, scientific and medical personnel. We are highly dependent on the management, R&amp;D, clinical, financial and business development expertise of our executive officers, our directors, as well as the other members of our scientific and clinical teams, including Daphne Zohar, our chief executive officer, Bharatt Chowrira, our president and chief business, finance and operating officer, Eric Elenko, our chief innovation and strategy officer, and Julie Krop, our chief medical officer. The loss of the services of any of our executive officers and other key personnel, and our inability to find suitable replacements could result in delays in therapeutic development and our financial condition and results of operations could be materially adversely affected.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2"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207" descr=""/>
                    <pic:cNvPicPr>
                      <a:picLocks noChangeAspect="1" noChangeArrowheads="1"/>
                    </pic:cNvPicPr>
                  </pic:nvPicPr>
                  <pic:blipFill>
                    <a:blip r:embed="rId2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204 PureTech Health plc Annual report and accounts 2022 Risk Factor Annex — continued A d d it io na sl in fo rm at io n or inaccurate posts or comments about us on any social networking website. If any of these events were to occur or we otherwise fail to comply with applicable regulations, we could incur liability, face regulatory actions or incur other harm to our business. Our and our Founded Entities’ employees, independent contractors, consultants, commercial partners and vendors may engage in misconduct or other improper activities, including noncompliance with regulatory standards and requirements. We are exposed to the risk of fraud, misconduct or other illegal activity by our employees, independent contractors, consultants, commercial partners and vendors as well as the employees, independent contractors, consultants, commercial partners and vendors of our Founded Entities. Misconduct by these parties could include intentional, reckless and negligent conduct that fails to: comply with the laws of the FDA and comparable foreign regulatory authorities; provide true, complete and accurate information to the FDA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If we or our Founded Entities obtain FDA or comparable foreign regulatory authorities approval, or notified bodies certification, of the therapeutic candidates within our Wholly Owned Pipeline or our Founded Entities’ therapeutic candidates and begin commercializing those therapeutics in the United States and abroad,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Employee litigation and unfavorable publicity could negatively affect our future business. 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 If we fail to comply with environmental, health and safety laws and regulations, we could become subject to fines or penalties or incur costs that could harm our business. 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therapeutics.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candidate, potentially resulting in a diversion of our management’s time and the expenditure of our resources with no resulting benefit. For example, if we are unable to identify programs that ultimately result in approved therapeutics, we may spend material amounts of our capital and other resources evaluating, acquiring and developing therapeutics that ultimately do not provide a return on our investment. Product liability lawsuits against us could cause us to incur substantial liabilities and could limit commercialization of any therapeutic candidates that we may develop. We face an inherent risk of product liability exposure related to the testing of therapeutic candidates in human clinical trials and will face an even greater risk if we commercially sell any therapeutics that we may develop. If we cannot successfully defend ourselves against claims that the therapeutic candidates within our Wholly Owned Pipeline or medicines caused injuries, we could incur substantial liabilities. Regardless of merit or eventual outcome, liability claims may result in: • decreased demand for any therapeutic candidates or medicines that we may develop; • injury to our reputation and significant negative media attention; • withdrawal of clinical trial participants; • significant costs to defend the related litigation; • substantial monetary awards to trial participants or patients; • loss of revenue; and • the inability to commercialize the therapeutic candidates within our Wholly Owned Pipeline. 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therapeutic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 Litigation against us could be costly and time-consuming to defend and could result in additional liabilities. We may from time to time be subject to legal proceedings and claims that arise in the ordinary course of business or otherwise, such as claims brought by third parties in connection with commercial disputes and employment claims made by our current or former employees. Claims may also be asserted by or on behalf of a variety of other parties, including government agencies, patients, or stockholders. We could also be subject to securities class action litigation. 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 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The increasing use of social media platforms presents new risks and challenges. Social media is increasingly being used to communicate about our and our Founded Entities’ clinical development programs and the diseases our therapeutics are being developed to treat, and we intend to utilize appropriate social media in connection with our commercialization efforts following approval of the therapeutic candidates within our Wholly Owned Pipeline.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the therapeutic candidates within our Wholly Owned Pipeline. There is also a risk of inappropriate disclosure of sensitive information or negative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3"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208" descr=""/>
                    <pic:cNvPicPr>
                      <a:picLocks noChangeAspect="1" noChangeArrowheads="1"/>
                    </pic:cNvPicPr>
                  </pic:nvPicPr>
                  <pic:blipFill>
                    <a:blip r:embed="rId2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205 Risk Factor Annex — continued A d d it io na l i nf o rm at io n regulations, including new reporting requirements. If we fail to comply with new laws, regulations or reporting requirements, our reputation and business could be materially and adversely impacted. We may acquire businesses, or therapeutics or therapeutic candidates, or form strategic alliances, in the future, and we may not realize the benefits of such acquisitions. We acquire or in-license businesses or therapeutics from other companies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or retain key personnel from the acquired company. We may encounter numerous difficulties in developing, manufacturing and marketing any new therapeutics or therapeutic candidates resulting from a strategic alliance or acquisition that delay or prevent us from realizing their expected benefits or enhancing our business. We cannot assure you that, following any such acquisition or license, we will achieve the expected synergies to justify the transaction. Failure to successfully identify, complete, manage and integrate acquisitions could materially and adversely affect our business, financial condition and results of operations and could cause the price of our securities to decline. Changes in funding for the FDA, the SEC and other government agencies could hinder their ability to hire and retain key leadership and other personnel, prevent new therapeutics and services from being developed or commercialized in a timely manner or otherwise prevent those agencies from performing normal functions on which the operation of our business may rely, which could negatively impact our business. The ability of the FDA, foreign regulatory authorities and notified bodies to review and approve or certify new therapeutics or take action with respect to other regulatory matters can be affected by a variety of factors, including government budget and funding levels, ability to hire and retain key personnel and accept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 The priorities of the FDA and foreign regulatory authorities may also influence the ability of the FDA and foreign regulatory authorities to take action on regulatory matters, for example the FDA’s and foreign regulatory authorities’ budget and funding levels and ability to hire and retain key personnel. Disruptions at the FDA and foreign regulatory authorities may also slow the time necessary for new drugs to be reviewed and/or approved, or for other actions to be taken, by relevant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Similarly, a prolonged government shutdown could prevent the timely review of our patent applications by the USPTO, which could delay the issuance of any U.S. patents to which we might otherwise be entitled. Further, in our operations as a public company, future government shutdowns could impact our ability to access the public markets and obtain necessary capital in order to properly capitalize and continue our operations. 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U.S. have adopted similar restrictions or other policy measures in response to the COVID-19 pandemic or for other reasons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 Furthermore, in the EU, notified bodies must be officially designated to certify products and services in accordance with the EU Medical Devices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therapeutic efforts. Our failure to comply with these laws and regulations also may result in substantial fines, penalties or other sanctions. 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 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We and certain of our service providers are from time to time subject to cyberattacks and security incident. Although to our knowledge we have not experienced any significant system failure, accident or security breach to date, if such an event were to occur and cause interruptions in our operations, it could result in a material disruption of development programs and business operations.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or ongoing clinical trials for any of the therapeutic candidates within our Wholly Owned Pipeline or our Founded Entities’ therapeutic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 The increasing focus on environmental sustainability and social initiatives could increase our costs, harm our reputation and adversely impact our financial results. 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Expectations regarding the management of environmental, social and governance, or ESG, initiatives continues to evolve rapidly. While we may from time to time engage in various initiatives (including but not limited to voluntary disclosures, policies, or goals) to improve our ESG profile or respond to stakeholder expectations, we cannot guarantee that these initiatives will have the desired effect. If we are not effective in addressing environmental, social and other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 In addition, this emphasis on environmental, social and other sustainability matters has resulted and may result in the adoption of new laws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4"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209" descr=""/>
                    <pic:cNvPicPr>
                      <a:picLocks noChangeAspect="1" noChangeArrowheads="1"/>
                    </pic:cNvPicPr>
                  </pic:nvPicPr>
                  <pic:blipFill>
                    <a:blip r:embed="rId2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206 PureTech Health plc Annual report and accounts 2022 Risk Factor Annex — continued A d d it io na sl in fo rm at io n • future activities subject to the terms of the Trade and Cooperation Agreement between the United Kingdom and the European Union effective May 1, 2021, which has not impacted our results to-date; • a second referendum on Scottish independence from the United Kingdom; and/or • a snap general election; and • negative consequences from changes in tax laws. In addition, our business strategy incorporates potential international expansion to target patient populations outside the United States. If we or our Founded Entities receive regulatory approval for and commercialize any of the therapeutic candidates within our Wholly Owned Pipeline or our Founded Entities’ therapeutic candidates in patient populations outside the United States, we may hire sales representatives and conduct physician and patient association outreach activities outside of the United States. Doing business internationally involves a number of risks, including, but not limited to: • multiple, conflicting, and changing laws and regulations such as privacy regulations, tax laws, export and import restrictions, employment laws, regulatory requirements, and other governmental approvals, permits, and licenses; • failure by us to obtain and maintain regulatory approvals for the use of our therapeutics in various countries; • additional potentially relevant third-party patent rights; • complexities and difficulties in obtaining protection and enforcing our intellectual property; • difficulties in staffing and managing foreign operations; • complexities associated with managing multiple payor reimbursement regimes, government payors, or patient self-pay systems; • limits in our ability to penetrate international markets; • financial risks, such as longer payment cycles, difficulty collecting accounts receivable, the impact of local and regional financial crises on demand and payment for our therapeutics, and exposure to foreign currency exchange rate fluctuations; • natural disasters, political and economic instability, including wars, such as the conflict between Russia and Ukraine, terrorism, and political unrest, outbreak of disease, boycotts, curtailment of trade, and other business restrictions; • certain expenses including, among others, expenses for travel, translation, and insurance; and • regulatory and compliance risks that relate to maintaining accurate information and control over sales and activities that may fall within the purview of the U.S. Foreign Corrupt Practices Act of 1977, as amended, or the FCPA, its books and records provisions, or its anti- bribery provisions. Any of these factors could significantly harm our potential international expansion and operations and, consequently, our results of operations. Unfavorable global economic conditions could adversely affect our business, financial condition or results of operations. 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and our Founded Entities may experience difficulties in any eventual commercialization of the therapeutic candidates within our Wholly Owned Pipeline or our Founded Entities’ therapeutic candidates and our business, results of operations, financial condition and cash flows could be adversely affected. 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the therapeutic candidates within our Wholly Owned Pipeline. A weak or declining economy could also strain our suppliers, possibly resulting in supply disruption. Any of the foregoing could harm our business and we Regulation. Several notified bodies have been designated under the EU Medical Devices Regulation. However, the COVID-19 pandemic has significantly slowed down their designation process and the current designated notified bodies are facing a large amount of requests with the new regulation as a consequence of which review times may have lengthened. This situation may impact the way we are conducting our business in the EU and the EEA and the ability of our notified body to timely review and process our regulatory submissions and perform its audits We or the third parties upon whom we depend may be adversely affected by a natural disaster and our business continuity and disaster recovery plans may not adequately protect us from a serious disaster.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operations and prospects. We will continue to incur increased costs as a result of operating as a U.S.- listed public company, and our management will be required to devote substantial time to new compliance initiatives. As a U.S. public company, and particularly now that we are no longer an emerging growth company, we have incurred and will continue to incur significant legal, accounting and other expenses that we did not incur as a public company listed on the LSE. In addition, the Sarbanes-Oxley Act of 2002, or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Pursuant to Section 404, we are required to furnish a report by our management on our internal control over financial reporting, including an attestation report on internal control over financial reporting issued by our independent registered public accounting firm. To achieve compliance with Section 404, we have and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that our internal control over financial reporting is effective as required by Section 404. This could result in an adverse reaction in the financial markets due to a loss of confidence in the reliability of our financial statements. Risks Related to Our International Operations Our international operations may expose us to business, regulatory, political, operational, financial, pricing and reimbursement and economic risks associated with doing business outside of the United States. As a company based in the United Kingdom, our business is subject to risks associated with being organized outside of the United States. While the majority of our operations are in the United States and our functional currency is the U.S. dollar, our future results could be harmed by a variety of international factors, including: • economic weakness, including inflation, or political instability in particular non-U.S. economies and markets; • differing and changing regulatory requirements; • difficulties in compliance with different, complex and changing laws, regulations and court systems of multiple jurisdictions and compliance with a wide variety of foreign laws, treaties and regulations; • changes in a specific country’s or region’s political or economic environment, including, but not limited to, the implications of one or more of the following occurring the decision of the United Kingdom: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210" descr=""/>
                    <pic:cNvPicPr>
                      <a:picLocks noChangeAspect="1" noChangeArrowheads="1"/>
                    </pic:cNvPicPr>
                  </pic:nvPicPr>
                  <pic:blipFill>
                    <a:blip r:embed="rId2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207 Risk Factor Annex — continued A d d it io na l i nf o rm at io n reintegrated under the regulatory authority of the MHRA with respect to medicinal products. These proposed changes need to be codified and agreed by the respective parliaments of the UK and EU before taking effect. There could be additional uncertainty and risk around what these changes will mean to our business. It is currently unclear to what extent the UK Government will seek to align its regulations with the EU.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CTR is not applicable in Great Britain. Whilst the EU-UK Trade and Cooperation Agreement, or TCA, includes the mutual recognition of Good Manufacturing Practice, or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member states within the EMA Clinical Trial Information System, or CTIS, adding further complexity, cost and potential risk to future clinical and development activity in the UK. Significant political and economic uncertainty remains about how much the relationship between the UK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may adversely affect the market price of our ADSs. The uncertainty regarding new or modified arrangements between the UK and other countries following the withdrawal may have a material adverse effect on the movement of personnel, goods, information or data between the UK and members of the EU and the United States, including the interruption of or delays in imports into the UK of goods originating within the EU and exports from the UK of goods originating there. For example, shipments into the UK of medicinal product substance manufactured for us in the EU may be interrupted or delayed and thereby prevent or delay the manufacture in the UK of drug product. Similarly, shipments out of the UK of drug product to the United States or the EU may be interrupted or delayed and thereby prevent or delay the delivery of drug product to clinical sites. Such a situation could hinder our ability to conduct current and planned clinical trials and have an adverse effect on our business. Exchange rate fluctuations may materially affect our results of operations and financial condition. 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 Risks Related to Our Equity Securities and ADSs The market price of our ADSs has been and will likely continue to be highly volatile, and you could lose all or part of your investment. The market price of our ADSs has been and will likely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ADSs at or above the purchase price. The market price for our ADSs may be influenced by many factors, including: • adverse results or delays in our preclinical studies or clinical trials; • reports of AEs or other negative results in clinical trials of third parties’ therapeutic candidates that target the therapeutic candidates within our Wholly Owned Pipeline’s or our Founded Entities’ therapeutic candidates’ target indications; • an inability for us to obtain additional funding on reasonable terms or at all; cannot anticipate all of the ways in which the current economic climate and financial market conditions could adversely impact our business. Additionally, 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We are subject to the U.K. Bribery Act 2010, or the Bribery Act, the U.S. Foreign Corrupt Practices Act of 1977 (as amended) (“FCPA”) and other anti-corruption laws, as well as export control laws, import and customs laws, trade and economic sanctions laws and other laws governing our operations. Our operations are subject to anti-corruption laws, including the Bribery Act, the FCPA, the U.S. domestic bribery statute contained in 18 U.S.C. §201, the U.S. Travel Act, and other anti-corruption laws that apply in countries where we do business. These laws generally prohibit us and our employees and intermediaries acting on our behalf from corruptly authorizing, promising, offering, or providing, directly or indirectly, anything else of value, to government officials or other persons to obtain or retain business or gain some other business advantage. The Bribery Act also prohibits: (i) “commercial” bribery of private parties, in addition to bribery involving domestic or foreign officials; (ii) the acceptance of bribes, as well as the giving of bribes, and (iii) “facilitation payments”, meaning generally low level payments designed to secure or expedite routine governmental actions or other conduct to which persons are already under obligations to perform. The Bribery Act also creates an offence applicable corporate entities for failure to prevent bribery by our employees, officers, directors and other third parties acting on our behalf, to which the only defence is to maintain “adequate procedures” designed to prevent such acts of bribery. In the future, we and our strategic partners may operate in jurisdictions that pose a heightened risk of potential Bribery Act or FCPA violations, and we may participate in collaborations and relationships with third parties whose conduct could potentially subject us to liability under the Bribery Act, FCPA or other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Kingdom and the United States, and authorities in the European Union and its member states, including applicable export control regulations, economic sanctions and embargoes on certain countries, regions, and persons, import and customs requirements and currency exchange regulations, collectively referred to as the Trade Control laws. Compliance with Trade Control Laws regarding the import and export of our products may create delays in the introduction of our products in international markets, and, in some cases, prevent the export of our products to some countries altogether.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debarment from debarment from government contracts as well as other sanctions and remedial measures, and may also result in collateral litigation. These consequences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 In addition, responding to any enforcement action may result in a significant diversion of management’s attention and resources and significant defense costs and other professional fees. The United Kingdom’s withdrawal from the European Union may have a negative effect on global economic conditions, financial markets and our business, which could reduce the price of our ADSs. Since the end of the Brexit transition period on January 1, 2021, Great Britain (England, Scotland and Wales) has not been directly subject to EU laws, however under the terms of the Ireland/Northern Ireland Protocol, EU laws generally apply to Northern Ireland. On February 27, 2023, the UK Government and the European Commission reached a political agreement on the “Windsor Agreement” which will revise the Protocol on Ireland/ Northern Ireland in order to address some of the perceived shortcomings in its operation. Under the proposed changes, Northern Ireland would be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211" descr=""/>
                    <pic:cNvPicPr>
                      <a:picLocks noChangeAspect="1" noChangeArrowheads="1"/>
                    </pic:cNvPicPr>
                  </pic:nvPicPr>
                  <pic:blipFill>
                    <a:blip r:embed="rId2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208 PureTech Health plc Annual report and accounts 2022 Risk Factor Annex — continued A d d it io na sl in fo rm at io n Future sales, or the possibility of future sales, of a substantial number of our securities could adversely affect the price of the shares and dilute shareholders. Sales of a substantial number of our ADSs in the public market could occur at any time, subject to certain restrictions described below. If our existing shareholders sell, or indicate an intent to sell, substantial amounts of our securities in the public market, the trading price of the ADSs could decline significantly and could decline below the original purchase price. As of March 31, 2023, we had 278,461,805 outstanding ordinary shares.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Holders of ADSs are not treated as holders of our ordinary shares. If you purchase an ADS,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Securities Other Than Equity Securities” in our Annual Report on Form 20-F. Holders of ADSs may be subject to limitations on the transfer of their ADSs and the withdrawal of the underlying ordinary shares. 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Securities Other Than Equity Securities” in our Annual Report on Form 20-F. ADS holders may not be entitled to a jury trial with respect to claims arising under the deposit agreement, which could result in less favorable outcomes to the plaintiff(s) in any such action. 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 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 dispute jury trial waiver in connection with claims arising under the federal securities laws has not been finally adjudicated by the U.S.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 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 any delay in submitting an IND, BLA or NDA for the therapeutic candidates within our Wholly Owned Pipeline or our Founded Entities’ therapeutic candidates and any adverse development or perceived adverse development with respect to the FDA’s review of that IND, BLA or NDA; • failure to develop successfully and commercialize the therapeutic candidates within our Wholly Owned Pipeline or our Founded Entities’ therapeutic candidates; • announcements we make regarding our current therapeutic candidates, acquisition of potential new therapeutic candidates and companies and/ or in-licensing; • failure to maintain our or our Founded Entities’ existing license arrangements or enter into new licensing and collaboration agreements; • failure by us, our Founded Entities or our licensors to prosecute, maintain or enforce our intellectual property rights; • changes in laws or regulations applicable to future therapeutics; • inability to obtain adequate clinical or commercial supply for the therapeutic candidates within our Wholly Owned Pipeline or our Founded Entities’ therapeutic candidates or the inability to do so at acceptable prices; • adverse regulatory decisions, including failure to reach agreement with applicable regulatory authorities on the design or scope of our planned clinical trials; • failure to obtain and maintain regulatory exclusivity for the therapeutic candidates within our Wholly Owned Pipeline or our Founded Entities’ therapeutic candidates; • regulatory approval or commercialization of new therapeutics or other methods of treating our target disease indications by our competitors; • failure to meet or exceed financial projections we may provide to the public or to the investment community; • publication of research reports or comments by securities or industry analysts; • the perception of the pharmaceutical and biotechnology industries by the public, legislatures, regulators and the investment community; • announcements of significant acquisitions, strategic partnerships, joint ventures or capital commitments by us, our Founded Entities our strategic collaboration partners or our competitors; • disputes or other developments relating to proprietary rights, including patents, litigation matters and our or our Founded Entities’ ability to obtain patent protection for our technologies; • additions or departures of our key scientific or management personnel; • significant lawsuits, including patent or shareholder litigation, against us; • changes in the market valuations of similar companies; • adverse developments relating to any of the above or additional factors with respect to our Founded Entities; • sales or potential sales of substantial amounts of our ADSs; and • trading volume of our ADSs. 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Since our ADSs were initially sold in November 2020 at a price of $33.00 per ADS, our ADS price has fluctuated significantly. If the market price of our ADSs does not exceed the price at which you acquired them, you may not realize any return on your investment in us and may lose some or all of your investment. If securities or industry analysts do not publish research or publish inaccurate or unfavorable research about our business, our ADS price and trading volume could decline. The trading market for our ADSs and ordinary shares depends in part on the research and reports that securities or industry analysts publish about us or our business. If no or few securities or industry analysts cover our company, the trading price for our ADSs and ordinary shares would be negatively impacted. If one or more of the analysts who covers us downgrades our equity securities or publishes incorrect or unfavorable research about our business, the price of our ordinary shares and ADSs would likely decline. If one or more of these analysts ceases coverage of our company or fails to publish reports on us regularly, or downgrades our securities, demand for our ordinary shares and ADSs could decrease, which could cause the price of our ordinary shares and ADSs or their trading volume to decline.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7"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212" descr=""/>
                    <pic:cNvPicPr>
                      <a:picLocks noChangeAspect="1" noChangeArrowheads="1"/>
                    </pic:cNvPicPr>
                  </pic:nvPicPr>
                  <pic:blipFill>
                    <a:blip r:embed="rId2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209 Risk Factor Annex — continued A d d it io na l i nf o rm at io n Because we do not have immediate plans to pay any cash dividends on our ADSs, capital appreciation, if any, may be your sole source of gains and you may never receive a return on your investment. Under current English law, a company’s accumulated realized profits must exceed its accumulated realized losses (on a non-consolidated basis) before dividends can be declared and paid. Therefore, we must have sufficient distributable profits before declaring and paying a dividend. We have not paid dividends in the past on our ordinary shares. We have not announced any immediate plans to pay any cash dividends. As a result, capital appreciation, if any, on our ADSs will be your sole source of gains for the foreseeable future, and you would suffer a loss on your investment if you were unable to sell your ADSs at or above the price that you initially paid for them. Investors seeking cash dividends should not purchase our ADSs. Risks Related to Our Corporate Status We are not, and do not intend to become, regulated as an “investment company” under the Investment Company Act of 1940, as amended, or the 1940 Act, and if we were deemed an “investment company” under the 1940 Act, applicable restrictions could make it impractical for us to continue our business as contemplated and could have a material adverse effect on our business. The 1940 Act and the rules thereunder contain detailed parameters for the organization and operation of investment companies. Among other things, the 1940 Act and the rules thereunder limit or prohibit transactions with affiliates, impose limitations on the issuance of debt and equity securities and impose certain governance requirements. We have not been and do not intend to become regulated as an investment company, and we intend to conduct our activities so that we will not be deemed to be an investment company under the 1940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If anything were to happen which would cause us to be deemed to be an investment company under the 1940 Act (such as significant changes in the value of our Founded Entities or a change in circumstance that results in a reclassification of our interests in our Founded Entities for purposes of the 1940 Act), the requirements imposed by the 1940 Act could make it impractical for us to continue our business as currently conducted, which would materially adversely affect our business, results of operations and financial condition. In addition, if we were to become inadvertently subject to the 1940 Act, any violation of the 1940 Act could subject us to material adverse consequences, including potentially significant regulatory penalties and the possibility that certain of our contracts could be deemed unenforceable. As a foreign private issuer, we are exempt from a number of rules under the U.S. securities laws and are permitted to file less information with the SEC than a U.S. company. This may limit the information available to holders of ADSs or our ordinary shares. 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LSE, we will not be required to file periodic reports and financial statements with the SEC as frequently or as promptly as U.S. domestic issuers and will not be required to file quarterly reports on Form 10-Q or current reports on Form 8-K under the Exchange Act. Accordingly, there will be less publicly available information concerning our company than there would be if we were not a foreign private issuer. 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 As a foreign private issuer listed on Nasdaq, we are subject to corporate governance listing standards. However, rules permit a foreign private issuer like us to follow the corporate governance practices of its home country. Certain corporate governance practices in the United Kingdom, which is our home country, may differ significantly from corporate governance listing standards. For example, neither the corporate laws of the United Kingdom nor our articles of association require a majority of our directors to be independent and we could include non-independent directors as members of our nomination and remuneration committee, though a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 No condition, stipulation or provision of the deposit agreement or ADSs serves as a waiver by any holder or beneficial owner of ADSs or by us or the depositary of compliance with the U.S. federal securities laws and the rules and regulations promulgated thereunder. One of our principal shareholders has a significant holding in the company which may give them influence in certain matters requiring approval by shareholders, including approval of significant corporate transactions in certain circumstances. As of March 31, 2023, Invesco Asset Management Limited, or Invesco, held approximately 23.32 percent of our ordinary shares. Accordingly, Invesco may, as a practical matter, be able to influence certain matters requiring approval by shareholders, including approval of significant corporate transactions in certain circumstances. Such concentration of ownership may also have the effect of delaying or preventing any future proposed change in control of the Company. The trading price of the ordinary shares could be adversely affected if potential new investors are disinclined to invest in the Company because they perceive disadvantages to a large shareholding being concentrated in the hands of a single shareholder. The interests of Invesco and the investors that acquire ADSs may not be aligned. Invesco may make acquisitions of, or investments in, other businesses in the same sectors as us or our Founded Entities. These businesses may be, or may become, competitors of us or our Founded Entities. In addition, funds or other entities managed or advised by Invesco may be in direct competition with us or our Founded Entities on potential acquisitions of, or investments in, certain businesses. In addition, Invesco holds equity interests in certain of our Founded Entities where they may exert direct influence. You will not have the same voting rights as the holders of our ordinary shares and may not receive voting materials in time to be able to exercise your right to vote. Except as described in our Annual Report on Form 20-F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 You may not receive distributions on our ordinary shares represented by the ADSs or any value for them if it is illegal or impractical to make them available to holders of ADSs. The depositary for the ADSs has agreed to pay to you any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8"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213" descr=""/>
                    <pic:cNvPicPr>
                      <a:picLocks noChangeAspect="1" noChangeArrowheads="1"/>
                    </pic:cNvPicPr>
                  </pic:nvPicPr>
                  <pic:blipFill>
                    <a:blip r:embed="rId2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210 PureTech Health plc Annual report and accounts 2022 Risk Factor Annex — continued A d d it io na sl in fo rm at io n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Risks Related to Tax Matters We are treated as a U.S. domestic corporation for U.S. federal income tax purposes. We are treated as a U.S. domestic corporation for U.S. federal income tax purposes under Section 7874(b) of the Internal Revenue Code of 1986, as amended, or the Code. As a result, we are subject to U.S. income tax on our worldwide income and any dividends paid by us to Non-U.S. Holders (as defined in the discussion under “Taxation in the United States” in our Annual Report on Form 20-F) will generally be subject to U.S. federal income tax withholding at a 30 percent rate or such lower rate as provided in an applicable treaty. Furthermore, PureTech Health plc is also resident for tax purposes in the U.K. and subject to U.K. corporation tax on its worldwide income and gains. Consequently, we may be liable for both U.S. and U.K. income tax, which could have a material adverse effect on our financial condition and results of operations. This discussion of certain U.S. federal income tax risks is subject in its entirety to the summaries set forth in “Certain United Kingdom Tax Considerations” and “Taxation in the United States” in our Annual Report on Form 20-F. Our ability to use our U.S. net operating losses to offset future taxable income may be subject to certain limitations. As of December 31, 2022, we had U.S. federal and state net operating loss carryforwards, or NOLs, of approximately $219.5 million and $71.7million, respectively, due to prior period losses, which, subject to the following discussion, are generally available to be carried forward to offset our future taxable income, if any, until such NOLs are used or expire. In general, under Section 382 of the Code, a corporation that undergoes an “ownership change,” generally defined as a greater than 50 percentage point change (by value) in its equity ownership by certain shareholders or groups of shareholders over a rolling three year period, is subject to limitations on its ability to utilize its federal NOLs to offset future taxable income. Similar rules may apply under state law. Our existing federal NOLs may be subject to limitations arising from previous ownership changes. Future changes in our stock ownership, some of which are outside of our control, could result in an ownership change under Section 382 of the Code, and our ability to utilize our federal NOLs could be further limited. Additionally, we may not be able to utilize the NOLS of our Founded Entities that have been deconsolidated or that will deconsolidate in the future. Furthermore, our ability to utilize NOLs of companies that we have acquired or may acquire in the future may be subject to limitations. In addition, our federal NOLs generated In taxable periods beginning after December 31, 2017 may only be used to offset 80 percent of our taxable income in taxable years beginning after December 31, 2020. However, such Federal NOLs generated are not subject to expiration For these reasons, even if we attain profitability, we may not be able to realize a tax benefit from the use of our NOLs. We may be unable to use net operating loss and tax credit carryforwards and certain built-in losses to reduce future U.K. tax liabilities. As a U.K. incorporated and tax resident entity, PureTech Health plc is subject to U.K. corporate taxation on its tax-adjusted trading profits. Due to the nature of our business, PureTech Health plc has generated losses since inception and therefore we have not paid any U.K. corporation tax.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U.K. operating profits. majority is required, and our independent directors would not necessarily hold regularly scheduled meetings at which only independent directors are present. Currently, we follow home country practice to the maximum extent possible. Therefore, our shareholders may be afforded less protection than they otherwise would have under corporate governance listing standards applicable to U.S. domestic issuers. See “Governance” of this Annual Report and Accounts and “Item 16G—Corporate Governance” of our Annual Report on Form 20-F. We may lose our foreign private issuer status in the future, which could result in significant additional cost and expense. 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2023. In the future, we would lose our foreign private issuer status if we to fail to meet the requirements necessary to maintain our foreign private issuer status as of the relevant determination date. For example, if more than 50 percent of our securities are held by U.S. residents and more than 50 percent of the members of our executive committee or members of our board of directors are residents or citizens of the United States, we could lose our foreign private issuer status. 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will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 Risks Related to Our Internal Controls We may discover material weaknesses in our internal control over financial reporting which, if not remediated, could cause us to fail to timely and accurately report our results of operations, meet our reporting obligations or prevent fraud. Section 404 of the Sarbanes-Oxley Act requires that our management assess our internal control over financial reporting and that we include a report of management on our internal control over financial reporting in our annual reports on Form 20-F. We previously identified and disclosed a material weakness in our internal control over financial reporting in our Annual Report on Form 20-F for the year ended December 31, 2021. This material weakness has since been remediated, but we may discover additional material weaknesses in our internal control over financial reporting in the future,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If we fail to maintain effective internal control over financial reporting, we could suffer material misstatements in our financial statements and fail to meet our reporting obligations, which could cause investors to lose confidence in our reported financial information. This could in turn limit our access to capital markets or lead to a decline in the trading price of our securities. We may also be required to restate our financial statements from prior periods. Additionally, ineffective internal control over financial reporting could expose us to increased risk of fraud or misuse of corporate assets and subject us to potential delisting from the stock exchange on which we list, regulatory investigations, litigation from shareholders and civil or criminal sanctions, which could have a material adverse effect on our business. Our disclosure controls and procedures may not prevent or detect all errors or acts of fraud. We are subject to certain reporting requirements of the Exchange Act. Our disclosure controls and procedures are designed to reasonably assure that information required to be disclosed by us in reports we file or submit under the Exchange Act is accumulated and communicated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29"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214" descr=""/>
                    <pic:cNvPicPr>
                      <a:picLocks noChangeAspect="1" noChangeArrowheads="1"/>
                    </pic:cNvPicPr>
                  </pic:nvPicPr>
                  <pic:blipFill>
                    <a:blip r:embed="rId2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plc Annual report and accounts 2022 211 Risk Factor Annex — continued A d d it io na l i nf o rm at io n • when any person who, together with persons acting in concert with him or her, is interested in shares representing not less than 30 percent but does not hold more than 50 percent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 • 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 • in relation to a voluntary offer (i.e. any offer which is not a mandatory offer), when interests in shares representing 10 percent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 • if the offeror acquires an interest in shares in an offeree company (i.e., a target) at a price higher than the value of the offer, the offer must be increased to not less than the highest price paid for the interest in shares so acquired; • the offeree company must obtain competent advice as to whether the terms of any offer are fair and reasonable and the substance of such advice must be made known to all the shareholders, together with the opinion of the board of directors of the offeree company; • special or favorable deals for selected shareholders are not permitted, except in certain circumstances where independent shareholder approval is given and the arrangements are regarded as fair and reasonable in the opinion of the financial adviser to the offeree; • all shareholders must be given the same information; • each document published in connection with an offer by or on behalf of the offeror or offeree must state that the directors of the offeror or the offeree, as the case may be, accept responsibility for the information contained therein; • profit forecasts, quantified financial benefits statements and asset valuations must be made to specified standards and must be reported on by professional advisers; • misleading, inaccurate or unsubstantiated statements made in documents or to the media must be publicly corrected immediately; • 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 • 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percent or more of any class of relevant securities; and 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 Future changes to tax laws could materially adversely affect our company and reduce net returns to our shareholders. 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Tax authorities may disagree with our positions and conclusions regarding certain tax positions, resulting in unanticipated costs, taxes or non- realization of expected benefits. A tax authority may disagree with tax positions that we have taken, which could result in increased tax liabilities. For example, HM Revenue &amp; Customs, or HMRC, the Internal Revenue Service or another tax authority could challenge our allocation of income by tax jurisdiction and the amounts paid between certain of our Founded Entities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 Shareholder protections found in provisions under the U.K. City Code on Takeovers and Mergers, or the Takeover Code, will not apply if our securities are no longer admitted to trading on a regulated market or a multilateral trading facility in the United Kingdom or on any stock exchange in the Channel Islands or the Isle of Man and our place of management and control is considered to change to outside the United Kingdom. We are registered as a public limited company incorporated in England and Wales and have our ordinary shares admitted to trading on a regulated market in the United Kingdom (being the main market of the LSE).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we have de-listed from the main market of the LSE (and do not maintain a listing of securities on any other regulated market or a multilateral trading facility in the United Kingdom or on any stock exchange in the Channel Islands or the Isle of Man) and the Panel on Takeovers and Mergers determine that we do not have our place of central management and control in the United Kingdom, then the Takeover Code may not apply to us and our shareholders would not be entitled to the benefit of the various protections that the Takeover Code affords. In particular, we would not be subject to the rules regarding mandatory takeover bids. The following is a brief summary of some of the most important rules of the Takeover Code: • when any person acquires, whether by a series of transactions over a period of time or not, an interest in shares which (taken together with shares already held by that person and an interest in shares held or acquired by persons acting in concert with him or her) carry 30 percent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3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215"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212 PureTech Health plc Annual report and accounts 2022 A d d it io na sl in fo rm at io n Broker Jefferies International Limited 100 Bishopsgate London EC2N 4JL United Kingdom Tel: +44 207 029 8000 Registrar Computer Share Investor Services PLC The Pavilions Bridgwater Road Bristol BS99 6ZY United Kingdom Tel: +44 (0)370 707 1147 Solicitors DLA Piper UK LLP 160 Aldersgate Street London EC1A 4HT United Kingdom Tel: +44 870 011 1111 Company Registration Number 09582467 Registered Office 8th Floor 20 Farringdon Street London EC4A 4AB United Kingdom Website www.puretechhealth.com Board of Directors Mr. Christopher Viehbacher (Chair) Ms. Daphne Zohar (Chief Executive Officer) Dr. Robert Langer (Non-Executive Director) Dr. Raju Kucherlapati (Senior Independent Director) Dr. John LaMattina (Independent Non-Executive Director) Ms. Kiran Mazumdar-Shaw (Independent Non-Executive Director) Ms. Sharon Barber-Lui (Independent Non-Executive Director) Dr. Bharatt Chowrira (President and Chief Business, Finance &amp; Operating Officer) Company Secretary Dr. Bharatt Chowrira Media and Public Relations FTI Consulting, Inc. 200 Aldersgate Aldersgate Street London EC1A 4HD United Kingdom Tel: +44 203 727 1000 Independent Auditor KPMG LLP 15 Canada Square London E14 5GL United Kingdom Tel: +44 207 311 1000 Directors, Secretary and Advisors to PureTech Company information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3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216" descr=""/>
                    <pic:cNvPicPr>
                      <a:picLocks noChangeAspect="1" noChangeArrowheads="1"/>
                    </pic:cNvPicPr>
                  </pic:nvPicPr>
                  <pic:blipFill>
                    <a:blip r:embed="rId2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This document is printed on Mohawk Superfine, a carbon neutral paper containing 100% virgin fibre sourced from well managed, responsible, FSC® certified forests and controlled resources. The pulp used in this product is bleached using an elemental chlorine free (ECF) process. Designed and produced by Whitehouse Associates, London. Printed by Donnelley Financial Solutions on FSC® certified paper. Donnelley Financial Solutions is an EMAS certified company and its Environmental Management System is certified to ISO 14001.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32"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217" descr=""/>
                    <pic:cNvPicPr>
                      <a:picLocks noChangeAspect="1" noChangeArrowheads="1"/>
                    </pic:cNvPicPr>
                  </pic:nvPicPr>
                  <pic:blipFill>
                    <a:blip r:embed="rId2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PureTech Health 6 Tide Street Suite 400 Boston MA 02210 Tel: +1 617 482 2333 Email: info@puretechhealth.com P ureTech H ealth p lc A nnual rep ort and acco unts 2022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1260" w:after="283"/>
        <w:jc w:val="right"/>
        <w:rPr>
          <w:rFonts w:ascii="Arial;sans-serif" w:hAnsi="Arial;sans-serif"/>
          <w:b/>
          <w:color w:val="000000"/>
          <w:sz w:val="24"/>
        </w:rPr>
      </w:pPr>
      <w:r>
        <w:rPr>
          <w:rFonts w:ascii="Arial;sans-serif" w:hAnsi="Arial;sans-serif"/>
          <w:b/>
          <w:color w:val="000000"/>
          <w:sz w:val="24"/>
        </w:rPr>
        <w:t>Exhibit 15.2</w:t>
      </w:r>
    </w:p>
    <w:p>
      <w:pPr>
        <w:pStyle w:val="TextBody"/>
        <w:spacing w:lineRule="auto" w:line="333" w:before="0" w:after="400"/>
        <w:rPr>
          <w:rFonts w:ascii="Arial;sans-serif" w:hAnsi="Arial;sans-serif"/>
          <w:b w:val="false"/>
          <w:color w:val="000000"/>
          <w:sz w:val="20"/>
        </w:rPr>
      </w:pPr>
      <w:r>
        <w:rPr>
          <w:rFonts w:ascii="Arial;sans-serif" w:hAnsi="Arial;sans-serif"/>
          <w:b w:val="false"/>
          <w:color w:val="000000"/>
          <w:sz w:val="20"/>
        </w:rPr>
        <w:t>April 28, 2023</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Securities and Exchange Commission</w:t>
        <w:br/>
        <w:t>Washington, D.C. 20549</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Ladies and Gentlemen:</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 xml:space="preserve">We are currently principal accountants for PureTech Health PLC and, under the date of April 27. 2023, we reported on the consolidated financial statements of PureTech Health PLC as of and for each of the years in the three-year period ended December 31, 2022, and the effectiveness of internal control over financial reporting as of December 31, 2022. </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On April 23, 2023, we were notified that PureTech Health PLC’s board of directors approved the appointment of PricewaterhouseCoopers LLP (‘’PwC’’) as its principal accountant for the year ending December 31, 2023 and that the auditor-client relationship with KPMG LLP will cease upon shareholder approval at the 2023 Annual General Meeting.</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We have read PureTech Health PLC ’s statements included under Item 16F of its Form 20-F dated April 28, 2023, and we agree with such statements, except that we are not in a position to agree or disagree with PureTech Health PLC ’s statement that the change was approved by the board of directors and subject to shareholder approval at the 2023 Annual General Meeting. We are also not in a position to agree or disagree with the PureTech Health PLC’s statement that PwC were not engaged regarding the application of accounting principles to a specific completed or contemplated transaction or regarding the type of audit opinion that might be rendered by PwC on the PureTech Health PLC ’s consolidated financial statement or the effectiveness of internal control over financial reporting. Nor are we in a position to agree or disagree with the PureTech Health PLC ’s statement that PwC did not provide any written or oral advice that was an important factor considered by the PureTech Health PLC in reaching a decision as to any such accounting, auditing or financial reporting matter or any matter being the subject of disagreement or defined as a reportable event or any other matter as defined in Item 16F(a)(1)(v) on Form 20-F.</w:t>
      </w:r>
    </w:p>
    <w:p>
      <w:pPr>
        <w:pStyle w:val="TextBody"/>
        <w:spacing w:before="0" w:after="200"/>
        <w:rPr/>
      </w:pPr>
      <w:r>
        <w:rPr/>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Very truly yours,</w:t>
      </w:r>
    </w:p>
    <w:tbl>
      <w:tblPr>
        <w:tblW w:w="1335" w:type="dxa"/>
        <w:jc w:val="left"/>
        <w:tblInd w:w="0" w:type="dxa"/>
        <w:tblCellMar>
          <w:top w:w="28" w:type="dxa"/>
          <w:left w:w="28" w:type="dxa"/>
          <w:bottom w:w="28" w:type="dxa"/>
          <w:right w:w="28" w:type="dxa"/>
        </w:tblCellMar>
      </w:tblPr>
      <w:tblGrid>
        <w:gridCol w:w="425"/>
        <w:gridCol w:w="374"/>
        <w:gridCol w:w="536"/>
      </w:tblGrid>
      <w:tr>
        <w:trPr/>
        <w:tc>
          <w:tcPr>
            <w:tcW w:w="42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bottom w:val="single" w:sz="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KPMG LLP</w:t>
            </w:r>
          </w:p>
        </w:tc>
      </w:tr>
    </w:tbl>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r>
    </w:p>
    <w:p>
      <w:pPr>
        <w:pStyle w:val="TextBody"/>
        <w:spacing w:before="0" w:after="200"/>
        <w:rPr/>
      </w:pPr>
      <w:r>
        <w:rPr/>
      </w:r>
      <w:r>
        <w:br w:type="page"/>
      </w:r>
    </w:p>
    <w:p>
      <w:pPr>
        <w:pStyle w:val="TextBody"/>
        <w:spacing w:before="0" w:after="0"/>
        <w:jc w:val="center"/>
        <w:rPr/>
      </w:pPr>
      <w:bookmarkStart w:id="2" w:name="ex991gelesis_financials1.htm"/>
      <w:bookmarkStart w:id="3" w:name="ksex991gelesis_financials1"/>
      <w:bookmarkEnd w:id="2"/>
      <w:bookmarkEnd w:id="3"/>
      <w:r>
        <w:rPr/>
        <w:drawing>
          <wp:inline distT="0" distB="0" distL="0" distR="0">
            <wp:extent cx="10048875" cy="13001625"/>
            <wp:effectExtent l="0" t="0" r="0" b="0"/>
            <wp:docPr id="633"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218"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175260"/>
                <wp:effectExtent l="0" t="0" r="0" b="0"/>
                <wp:wrapNone/>
                <wp:docPr id="634" name="Frame4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jc w:val="center"/>
        <w:rPr>
          <w:color w:val="FFFFFF"/>
          <w:sz w:val="2"/>
        </w:rPr>
      </w:pPr>
      <w:r>
        <w:rPr>
          <w:color w:val="FFFFFF"/>
          <w:sz w:val="2"/>
        </w:rPr>
        <w:t xml:space="preserve">F-1 INDEX TO CONSOLIDATED FINANCIAL STATEMENTS Report of Independent Registered Public Accounting Firm F- 2 Consolidated Balance Sheets as of December 31, 2022 and 2021 F- 3 Consolidated Statements of Operations for the years ended December 31, 2022 and 2021 F- 4 Consolidated Statements of Comprehensive Loss for the years ended December 31, 2022 and 2021 F- 5 Consolidated Statements of Noncontrolling Interest, Redeemable Convertible Preferred Stock and Stockholders’ Deficit for the years ended December 31, 2022 and 2021 F- 6 Consolidated Statements of Cash Flows for the years ended December 31, 2022 and 2021 F- 7 Notes to Consolidated Financial Statements F- 8 Exhibit 99.1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219"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 Report of Independent Registered Public Accounting Firm To the Stockholders and Board of Directors Gelesis Holdings, Inc.: Opinion on the Consolidated Financial Statements We have audited the accompanying consolidated balance sheets of Gelesis Holdings, Inc. and subsidiaries (the Company) as of December 31, 2022 and 2021, the related consolidated statements of operations, comprehensive loss, non-controlling interest, redeemable convertible preferred stock and stockholders’ deficit, and cash flows for each of the years then ended,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then ended, in conformity with U.S. generally accepted accounting principles. Going Concern 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 Basis for Opinion 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/s/ KPMG LLP We have served as the Company’s auditor since 2015. Boston, Massachusetts March 28,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220"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 GELESIS HOLDINGS, INC. CONSOLIDATED BALANCE SHEETS (In thousands, except share and per share data) December 31, December 31, 2022 2021 ASSETS Current assets: Cash and cash equivalents $ 7,412 $ 28,397 Accounts receivable 1,233 731 Grants receivable 3,359 9,172 Inventories 6,865 13,503 Prepaid expenses and other current assets 4,627 14,203 Total current assets 23,496 66,006 Property and equipment, net 59,335 58,515 Operating lease right-of-use assets 1,520 2,016 Intangible assets, net 13,413 15,680 Other assets 5,560 4,084 Total assets $ 103,324 $ 146,301 LIABILITIES, REDEEMABLE CONVERTIBLE PREFERRED STOCK AND STOCKHOLDERS’ DEFICIT Current liabilities: Accounts payable, including due to related party of $135 and $147, respectively $ 4,131 $ 10,066 Accrued expenses and other current liabilities, including due to related party of $2,809 and $5,664, respectively 10,468 13,660 Deferred income 27,793 32,370 Operating lease liabilities 597 541 Convertible promissory notes held at fair value, including due to related party of $22,082 and $27,128, respectively 27,403 27,128 Notes payable, including due to related party of $2,007 and $0, respectively 7,954 1,950 Warrant liabilities — 15,821 Total current liabilities 78,346 101,536 Deferred income 9,544 8,914 Operating lease liabilities 967 1,519 Notes payable, including due to related party of $13,659 and $16,523, respectively 25,342 35,131 Warrant liabilities 130 — Earnout liability 563 — Other long-term liabilities, including due to related party of $674 and $2,416, respectively 898 5,588 Total liabilities 115,790 152,688 Commitments and contingencies (Note 19) Noncontrolling interest 12,590 11,855 Legacy Gelesis redeemable convertible preferred stock, $0.0001 par value – zero shares issued and outstanding at December 31, 2022; 51,730,762 shares authorized at December 31, 2021; and 48,566,655 shares issued and outstanding at December 31, 2021 — 311,594 Stockholders’ deficit: Preferred stock, $0.0001 par value - 250,000,000 shares authorized at December 31, 2022; zero shares issued and outstanding at December 31, 2022 and December 31, 2021 — — Common stock, $0.0001 par value – 900,000,000 shares authorized at December 31, 2022; 73,325,022 shares issued and outstanding at December 31, 2022; 125,961,571 shares authorized at December 31, 2021; 6,248,192 shares issued and outstanding at December 31, 2021 7 1 Additional paid-in capital 297,468 (64,549 ) Accumulated other comprehensive income 104 219 Accumulated deficit (322,635 ) (265,507 ) Total stockholders’ deficit (25,056 ) (329,836 ) Total liabilities, noncontrolling interest, redeemable convertible preferred stock and stockholders’ deficit $ 103,324 $ 146,301 The accompanying notes are an integral part of these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221"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F-4 GELESIS HOLDINGS, INC. CONSOLIDATED STATEMENTS OF OPERATIONS (In thousands, except share and per share data) For the Year Ended December 31, 2022 2021 Revenue: Product revenue, net $ 25,558 $ 11,185 Licensing revenue 209 — Total revenue, net 25,767 11,185 Operating expenses: Costs of goods sold, including related party expenses of $1,027 and $447, respectively 27,558 9,983 Selling, general and administrative, including related party expenses of $504 and $494, respectively 99,135 71,041 Research and development, including related party expenses of $231 and $255, respectively 18,613 12,867 Amortization of intangible assets 2,267 2,267 Total operating expenses 147,573 96,158 Loss from operations (121,806 ) (84,973 ) Change in the fair value of earnout liability 58,308 — Change in the fair value of convertible promissory notes (2,559 ) (128 ) Change in the fair value of warrants 7,084 (7,646 ) Interest expense, net (991 ) (1,364 ) Other income, net 4,664 781 Loss before income taxes (55,300 ) (93,330 ) Provision for income taxes 480 17 Net loss (55,780 ) (93,347 ) Accretion of Legacy Gelesis senior preferred stock to redemption value (37,934 ) (94,134 ) Accretion of noncontrolling interest put option to redemption value (253 ) (376 ) Income allocated to noncontrolling interest holder (1,095 ) — Net loss attributable to common stockholders $ (95,062 ) $ (187,857 ) Net loss per share attributable to common stockholders—basic and diluted $ (1.35 ) $ (32.89 ) Weighted average common shares outstanding—basic and diluted 70,300,772 5,712,042 The accompanying notes are an integral part of these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3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222"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F-5 GELESIS HOLDINGS, INC. CONSOLIDATED STATEMENTS OF COMPREHENSIVE LOSS (In thousands, except share and per share data) For the Year Ended December 31, 2022 2021 Net loss $ (55,780 ) $ (93,347 ) Other comprehensive loss: Foreign currency translation adjustment (115 ) (719 ) Total other comprehensive loss (115 ) (719 ) Comprehensive loss $ (55,895 ) $ (94,066 ) The accompanying notes are an integral part of these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63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223" descr=""/>
                    <pic:cNvPicPr>
                      <a:picLocks noChangeAspect="1" noChangeArrowheads="1"/>
                    </pic:cNvPicPr>
                  </pic:nvPicPr>
                  <pic:blipFill>
                    <a:blip r:embed="rId25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F-6 GELESIS HOLDINGS, INC. CONSOLIDATED STATEMENTS OF NONCONTROLLING INTEREST, REDEEMABLE CONVERTIBLE PREFERRED STOCK AND STOCKHOLDERS’ DEFICIT (In thousands, except share and per share data) Noncontrolling Redeemable Convertible Additional Accumulated Other Total interest Preferred Stock Common Stock Paid-in Comprehensive Accumulated Stockholders’ Shares Amount Shares Amount Capital (Loss) Income Deficit Deficit Balance at January 1, 2021 $ 12,429 18,446,525 $ 213,524 2,155,490 $ 1 $ 23,907 $ 938 $ (171,784 ) (146,938 ) Accretion of senior preferred stock to redemption value 94,134 (94,134 ) (94,134 ) Stock based compensation expense 5,532 5,532 Exercise of stock options 255,062 146 146 Exercise of warrants 290,411 3,934 — Accretion of put option 376 (376 ) (376 ) Net loss (93,347 ) (93,347 ) Foreign currency translation adjustment (950 ) (719 ) (719 ) Balance at December 31, 2021 $ 11,855 18,736,936 $ 311,592 2,410,552 $ 1 $ (64,549 ) $ 219 $ (265,507 ) $ (329,836 ) Merger recapitalization 29,829,719 $ - 3,837,640 — — — — Balance at December 31, 2021 $ 11,855 48,566,655 $ 311,592 6,248,192 $ 1 $ (64,549 ) $ 219 $ (265,507 ) $ (329,836 ) Accretion of senior preferred stock to redemption value - $ 37,934 (37,934 ) (37,934.00 ) Conversion of redeemable convertible preferred stock into common stock upon merger recapitalization (48,566,655 ) $ (349,526 ) 48,566,655 — 349,526 349,526.00 Proceeds from Business Combination, net of issuance costs and assumed liabilities 17,399,440 6 69,359 69,365.00 Conversion of preferred stock warrants into common stock warrants upon merger recapitalization 16,747 16,747.00 Issuance of contingent earnout liability upon merger recapitalization (58,871 ) (58,871.00 ) Issuance of private placement warrants upon merger recapitalization (8,140 ) (8,140.00 ) Stock based compensation expense 29,777 29,777.00 Exercise of stock options 207,033 — 120 120.00 Exercise of warrants 176,126 — 4 4.00 Release of restricted stock units 337,969 — — - Sale of common stock, net of issuance costs 355,361 — 500 500.00 Issuance of commitment shares 34,246 — 39 39.00 Issuance of common stock warrants — — 890 890.00 Accretion of put option 253 (253 ) (253.00 ) Income allocated to noncontrolling interest holder 1,095 (1,095 ) (1,095.00 ) Net loss (55,780 ) (55,780.00 ) Foreign currency translation adjustment (613 ) (115 ) (115.00 ) Balance at December 31, 2022 $ 12,590 — $ - 73,325,022 $ 7 $ 297,468 $ 104 $ (322,635 ) $ (25,056 ) The accompanying notes are an integral part of these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224"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F-7 GELESIS HOLDINGS, INC. CONSOLIDATED STATEMENTS OF CASH FLOWS (In thousands) For the Year Ended December 31, 2022 2021 Cash flows from operating activities: Net loss $ (55,780 ) $ (93,347 ) Adjustments to reconcile net loss to net cash used in operating activities: Amortization of intangible assets 2,267 2,267 Increase in inventory reserves 13,334 — Reduction in carrying amount of right-of-use assets 475 449 Depreciation 3,221 1,524 Stock-based compensation 29,777 5,532 Issuance of common stock commitment shares 500 — Gain on sales of common stock (1 ) — Unrealized loss on foreign currency transactions 608 (37 ) Non-cash interest expense 215 173 Gain on CMS amendment (209 ) — Loss on One S.r.l. amendment 278 — Accretion on marketable securities — (1 ) Change in the fair value of earnout liability (58,308 ) — Change in the fair value of warrants (7,084 ) 7,646 Change in the fair value of convertible promissory notes 2,559 128 Change in fair value of One S.r.l. call option (1,462 ) 1,024 Change in fair value of interest rate swap contract (856 ) 146 Changes in operating assets and liabilities: Accounts receivable (502 ) 70 Grants receivable 5,216 (1,723 ) Prepaid expenses and other current assets 6,147 (8,029 ) Inventories (6,249 ) (8,645 ) Other assets (449 ) 107 Accounts payable (5,415 ) 2,604 Accrued expenses and other current liabilities (269 ) 8,709 Operating lease liabilities (474 ) (440 ) Deferred income (3,395 ) 33,140 Other long-term liabilities (1,872 ) (6,588 ) Net cash used in operating activities (77,728 ) (55,291 ) Cash flows from investing activities: Purchases of property and equipment (9,120 ) (19,917 ) Maturities of marketable securities — 24,000 Net cash (used in) provided by investing activities (9,120 ) 4,083 Cash flows from financing activities: Proceeds from Business Combination, net of transaction costs 70,479 — Principal repayment of notes payable (2,033 ) (302 ) Repayment of convertible promissory notes (27,284 ) — Proceeds from convertible promissory notes 25,000 27,000 Proceeds from issuance of promissory notes (net of issuance costs of $0 and $207, respectively) — 5,679 Proceeds from exercise of warrants 4 10 Proceeds from exercise of share-based awards 120 146 Proceeds from sales of common stock, net of issuance costs 39 — Net cash provided by financing activities 66,325 32,533 Effect of exchange rates on cash (462 ) (1,072 ) Net decrease in cash (20,985 ) (19,747 ) Cash and cash equivalents at beginning of year 28,397 48,144 Cash and cash equivalents at end of period $ 7,412 $ 28,397 Noncash investing and financing activities: Purchases of property and equipment included in accounts payable and accrued expense $ 445 $ 1,712 Deferred financing costs included in accounts payable and accrued expense $ — $ 773 Recognition of earnout liability $ 58,871 $ — Recognition of private placement warrant liability $ 8,140 $ — Acquisitions of right-of-use assets under operating leases $ 101 $ 305 Supplemental cash flow information: Interest paid on notes payable $ 1,342 $ 1,578 The accompanying notes are an integral part of these consolidated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225"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F-8 GELESIS HOLDINGS, INC. NOTES TO UNAUDITED CONSOLIDATED FINANCIAL STATEMENTS (In thousands, except share and per share data) 1. Nature of the Business and Basis of Presentation Nature of Business Gelesis Holdings, Inc., or the Company, formerly known as Capstar Special Purpose Acquisition Corp. or “CPSR”, is a consumer- centered biotherapeutics company incorporated under the laws of the State of Delaware. The Company aims to transform weight management through proprietary hydrogel technology, inspired by the compositional and mechanical properties of raw vegetables. Since its inception, the Company has devoted substantially all of its efforts to business planning, licensing technology, research and development, commercial activities, recruiting management and technical staff and raising capital and has financed its operations through the issuance of redeemable convertible preferred and common stock, a license and collaboration agreement, supply and distribution agreements, long-term loans, convertible promissory note financings, and government grants. The Company currently manufactures and markets Plenity® (the “Product”), which is based on a proprietary hydrogel technology. Plenity received a de novo clearance from the FDA on April 12, 2019 to aid in weight management when used in conjunction with diet and exercise. In 2020, the Company received its original Conformité Européenne (CE) certificate which allowed Plenity to be marketed as a medical device in Europe as well as rest of the world where CE mark is acceptable. Plenity has been commercially available by prescription in the United States since May 2020. In January 2023, the Company made a 510 (k) submission to the FDA to switch Plenity from prescription (“Rx”) to over-the-counter (“OTC”). On July 19, 2021, Gelesis, Inc. (together with its consolidated subsidiaries, “Legacy Gelesis”) entered into a Business Combination Agreement (as amended on November 8, 2021 and December 30, 2021, the “Business Combination Agreement”) with CPSR, a Delaware corporation and special purpose acquisition company, and CPSR Gelesis Merger Sub, Inc., a Delaware corporation and wholly-owned subsidiary of CPSR (“Merger Sub”). On January 13, 2022, Legacy Gelesis, CPSR, and Merger Sub consummated the business combination (“Business Combination”) pursuant to the terms of the Business Combination Agreement. Pursuant to the Business Combination Agreement, on the closing date, (i) Merger Sub merged with and into Legacy Gelesis (the “Merger”), with Legacy Gelesis as the surviving company in the Merger, and, after giving effect to such Merger, Legacy Gelesis became a wholly- owned subsidiary of CPSR and (ii) CPSR changed its name to “Gelesis Holdings, Inc.” (together with its consolidated subsidiaries, “Gelesis Holdings”). The Business Combination, together with the PIPE Investment and the sale of the Backstop Purchase Shares, generated approximately $105 million in gross proceeds and $70.5 million in net proceeds (See Note 3). On January 14, 2022, Gelesis Holdings’ common stock and public warrants began trading on the New York Stock Exchange (“NYSE”) under the symbols “GLS” and “GLS.W”, respectively. The Business Combination was accounted for as a reverse recapitalization in conformity with accounting principles generally accepted in the United States. Under this method of accounting, CPSR has been treated as the “acquired” company for financial reporting purposes. This determination was primarily based on the Legacy Gelesis’ stockholders comprising a relative majority of the voting power of the combined company, the Legacy Gelesis’ operations prior to the acquisition comprising the only ongoing operations of Gelesis Holdings, the majority of Gelesis Holdings’ board of directors appointment by Legacy Gelesis, and Legacy Gelesis’ senior management comprising the entirety of the senior management of Gelesis Holdings. Accordingly, for accounting purposes, the consolidated financial statements of Gelesis Holdings will represent a continuation of the consolidated financial statements of Legacy Gelesis with the Business Combination being treated as the equivalent of Legacy Gelesis issuing stock for the net assets of CPSR, accompanied by a recapitalization. The net assets of CPSR will be stated at historical costs, with no goodwill or other intangible assets recorded. Going Concern The audited consolidated financial statements have been prepared on a going concern basis, which contemplates the realization of assets and the satisfaction of liabilities in the ordinary course of business. The audited consolidated financial statements do not include any adjustments relating to the recoverability and classification of recorded assets and liabilities that might be necessary should the Company be unable to continue as a going concern.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226"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F-9 The Company has a history of incurring substantial operating losses and has financed its operations primarily from the issuance of equity, promissory notes, government grants, supply and distribution agreements and collaborations and licensing arrangements. Such operating losses and negative cash flows from operations have continued throughout 2022 and the Company expects they will continue in the foreseeable future. The Company expects its cash on hand as of the date of the consolidated financial statements, proceeds from the initial closing of the 2023 Convertible Senior Secured Notes, and collection of accounts and grants receivable will only be sufficient to meet the Company’s obligations into the second quarter of 2023, and not at least twelve months beyond the date of issuance of the consolidated financial statements. In light of current levels of liquidity, the Company has significantly reduced discretionary spending as well as headcount from prior levels, particularly with respect to discretionary sales and marketing activities, manufacturing and supply chain functions, and research and development. These conditions raise substantial doubt about the Company’s ability to continue as a going concern and may adversely impact the sale of Plenity. The Company will need to raise additional capital in future periods to fund its operations. The Company will seek to raise necessary funds through a combination of equity issuances, debt financings, strategic collaborations and licensing arrangements, government grants, or other financing mechanisms. The Company’s ability to fund the completion of its ongoing and planned clinical studies, as well as its regulatory and commercial efforts, may be substantially dependent upon whether the Company can obtain sufficient funding at acceptable terms. If adequate sources of funding are not available to the Company, the Company may be required to delay, reduce or eliminate research and development programs, reduce or eliminate commercialization efforts, and reduce its headcount. Additionally, the Company is subject to risks common to companies in the biotechnology industry, including but not limited to, risks of failure of the full-scope product commercialization in targeted markets, clinical trials and preclinical studies, the impact of the COVID-19 pandemic on the Company’s supply chain and results of operations, dependence on key personnel, protection of proprietary technology, compliance with government regulations, and development by competitors of technological innovations. 2. Summary of Significant Accounting Policies Basis of Presentation The Company’s consolidated financial statements are prepared in accordance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Updates (“ASUs”) issued by the Financial Accounting Standards Board (“FASB”). The Company consolidates those entities where it has a direct and indirect controlling financial interest based on either a variable interest model or voting interest model. The Company’s consolidated financial statements include the accounts of the Company, its two wholly-owned subsidiaries and a variable interest entity (“VIE”), Gelesis S.r.l., in which the Company has a controlling interest and is the primary beneficiary. The noncontrolling interest attributable to the Company’s VIE is presented as a separate component from stockholders’ deficit in the consolidated balance sheets and as a noncontrolling interest in the consolidated statements of noncontrolling interest, redeemable convertible preferred stock and stockholders’ deficit. All intercompany balances and transactions have been eliminated in consolidation. Under the variable interest model, a controlling financial interest is determined based on which entity, if any, has (i) the power to direct the activities of the VIE that most significantly impacts the VIE’s economic performance and (ii) the obligations to absorb losses that could potentially be significant to the VIE or the right to receive benefits from the VIE that could potentially be significant to the VIE. Management performs ongoing reassessments of whether changes in the facts and circumstances regarding the Company’s involvement with a VIE will cause the consolidation conclusion to change. The consolidation status of a VIE may change as a result of such reassessments. Changes in consolidation status are applied prospectively in accordance with U.S. GAAP. Reclassification of Prior Year Presentation Certain prior year amounts have been reclassified for consistency with the current year presentation. These reclassifications had no effect on the reported results of operations or financial position. Use of Estimates The preparation of consolidated financial statements in conformity with U.S. GAAP requires management to make estimates and assumptions that affect the reported amounts of assets, liabilities and disclosure of contingent assets and liabilities at the date of the consolidated financial statements and the reported amounts of income and expenses during the reporting period. The Company assesses the use of estimates on an ongoing basis; however, actual results could materially differ from those estimates and changes in estimates are reflected in the results of operations in the period in which they become known.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227"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F-10 Subsequent Event(s) The Company considers events or transactions that occur after the balance sheet date but before the consolidated financial statements are issued to provide additional evidence relative to certain estimates or to identify matters that require additional disclosure. The Company evaluated all events and transactions through the date these consolidated financial statements were filed with the Securities and Exchange Commission (“SEC”) or were available to be issued. Fair Value of Financial Instruments The guidance in FASB ASC 820, Fair Value Measurements and Disclosures (“ASC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 Level 1 – Inputs are quoted prices (unadjusted) in active markets for identical assets or liabilities that the reporting entity has the ability to access at the measurement date. Level 2 – Valuations based on quoted prices in markets that are not active or for which all significant inputs are observable, either directly or indirectly. Level 3 – Prices or valuations that require inputs that are both significant to the fair value measurement and unobservable. 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Level 1 to Level 2 or Level 2 to Level 3. The Company’s earnout liability, private placement warrants, and call option liability are recorded at fair value on a recurring basis. The carrying amount of accounts receivable, grants receivable, accounts payable and accrued expenses are considered a reasonable estimate of their fair value, due to the short-term maturity of these instruments. The carrying amount of notes payable is also considered to be a reasonable estimate of the fair value based on the nature of the debt and that the debt bears interest at the prevailing market rate for instruments with similar characteristics. The Company’s cash equivalents, and marketable securities are carried at fair value, determined according to the fair value hierarchy described above. Earnout Liability: In connection with the Business Combination, Legacy Gelesis Equity holders received the right to receive additional common stock upon the achievement of certain earnout targets. As the earnout consideration contains a settlement provision that precludes it from being indexed to the Company’s stock, it is classified as a liability held at fair value in accordance ASC 815 and the instrument is adjusted to fair value at each reporting period. In determining the fair value of the earnout liability at inception and on a recurring basis, the Company utilizes the Monte Carlo simulation value model where the fair value of the earnout is the present value of a distribution of potential outcomes on a daily basis over the term of the earnout period. Private Placement Warrant Liability: The Private Placement Warrants are recognized as liabilities in accordance with ASC 815. Accordingly, the Company recognizes the warrant instruments as liabilities held at fair value and adjusts the instruments to fair value at each reporting period. In determining the fair value of the Private Placement Warrant liability, the Company utilized a modified Monte Carlo simulation value model at inception and on a recurring basis. One S.r.l. Call Option: In connection with the October 2020 amended agreement with One S.r.l., the Company granted One a contingent call option to buy back the 10% ownership that the Company acquired in the 2019 One Amendment. The One S.r.l. call option was recorded as a liability held at fair value at the date of issuance and is remeasured at each subsequent reporting date with changes in fair value recorded in other income (expense) in the accompanying consolidated statements of operations. Fair value is determined using a Black-Scholes option pricing model. Convertible promissory notes: The convertible promissory notes issued in conjunction with the Company’s bridge financing arrangements from time to time were recognized at fair value at issuance and subsequent changes in fair value were recorded in the accompanying consolidated statements of operations (see Note 12). Fair value of the promissory notes is determined using a multiple scenario-based valuation method. The fair value of the hybrid instrument was determined by calculating the value of the instrument in each scenario “with” the respective conversion feature and “without”. The significant inputs used in estimating the fair value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228"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F-11 convertible promissory notes include the estimated discount rate, expected term, and the outcome probability with respect to each scenario. Cash Equivalents The Company considers all short-term, highly liquid investments with original maturities of 90 days or less at acquisition date to be cash equivalents. Cash equivalents, which consist of money market accounts purchased with original maturities of less than 90 days from the date of purchase, are stated at fair value. Accounts Receivable The Company extends credit to customers based upon contractual terms or its evaluation of the customer’s financial condition. Customer accounts receivable are stated at amounts due net of applicable discounts and other contractual adjustments as well as an allowance for expected credit losses. The Company assesses the need for an allowance for expected credit losses based upon currently expected credit losses (“CECL”) by considering a number of factors, including the length of time trade accounts receivable are past due, the customer's ability to pay its obligation and the condition of the general economy and the industry as a whole. The Company will write off accounts receivable when the Company determines that they are uncollectible. The Company has not historically experienced any collection issues or significant credit losses. Based on historical receipts and collections history, management has determined that an allowance for expected credit losses is not necessary at December 31, 2022 or 2021, respectively. Government Grants The Company recognizes grants from governmental agencies in other income on the consolidated statements of operations, gross of the expenditures that were related to the underlying project being co-funded by the grant, when there is reasonable assurance that the Company will comply with the conditions attached to the grant arrangement and payments under the grant will be received. The Company evaluates the conditions of each individual grant as of each reporting period to ensure that the Company has reached reasonable assurance of meeting the conditions of each grant arrangement and that it is expected that the grant payment will be received as a result of meeting the necessary conditions. The Company has been awarded grants from government agencies in Italy for certain capital expenditures and expenses incurred for research and development work performed under specified programs conducted in Italy. The Company submits qualifying expenses and capital purchases for reimbursement under each specified program, which occurs after the Company has made the capital purchases and/or incurred the research and development costs. The Company records a grant receivable upon incurring such expenses, as approval and reimbursement are considered to be perfunctory once the qualifying program has been approved. Government grants are recognized in the consolidated statements of operations on a systematic basis over the periods in which the Company recognizes the related costs for which the government grant is intended to compensate. Specifically, grant income related to research and development costs is recognized as such expenses are incurred. Research and development costs that were incurred prior to the approval of a qualifying program are recognized as grant income immediately upon approval of the program by the grantor. Grant income related to qualifying capital purchases is recognized in proportion to the depreciation expense incurred on the underlying assets. Deferred income related to capital purchases for which grant income will be recognized beyond twelve months from the balance sheet date is classified as long-term deferred income on the consolidated balance sheets and amortized to other income, net, over the same life of the related asset. Inventory The Company manufactures its own super-absorbent hydrogels used in Plenity® and other product candidates out of its own manufacturing facilities located in Italy. The packaging of the hydrogels is currently outsourced to contract packaging organizations for commercial purposes. Inventories comprise raw materials, including raw materials for packaging components, work-in-process, and finished goods, which are goods that are available for sale. The Company states inventory at the lower of cost or net realizable value with the cost based on the first-in, first-out method. If the Company identifies excess, obsolete or unsalable items, it writes down its inventory to its net realizable value in the period in which the impairment is identified. These adjustments are recorded based upon various factors related to the product, including the level of product manufactured by the Company, the level of product in the distribution channel, current and projected demand, the expected shelf-life of the product and firm inventory purchase commitments. Significant shipping and handling costs incurred for inventory purchases are included in inventory and costs incurred for product shipments are recorded in cost of goods sold as incurred. Property and Equipment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229"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F-12 Property and equipment are stated at cost, less accumulated depreciation. Expenditures for maintenance and repairs are charged to operations as incurred whereas major betterments are capitalized as additions to property and equipment. Depreciation and amortization begin at the time the asset is placed in service, and are recorded using the straight-line method over the estimated useful lives, as follows: Asset Category Useful Lives Computer equipment and software 1 – 3 years Laboratory and manufacturing equipment 2.5 – 8.3 years Leasehold improvements 5 – 10 years, or the remaining term of lease, if shorter Buildings and land improvements 18 – 20 years Land Not depreciated Impairment of Long-Lived Assets The Company reviews long-lived assets for impairment whenever events or changes in circumstances indicate that the carrying amount of the asset may not be recoverable. When such events occur, the Company compares the carrying amounts of the assets to the undiscounted expected future cash flows the assets are expected to generate and recognizes an impairment loss equal to the excess of the carrying value over the fair value of the related asset. There were no indicators of impairment as of and for the years ended December 31, 2022 and 2021, respectively. Intangible Assets 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definite-lived intangible assets. If we reduce the estimated useful life assumption, the remaining unamortized balance is amortized over the revised estimated useful life. Redeemable Convertible Preferred Stock The Company has classified redeemable convertible preferred stock as temporary equity in the consolidated balance sheets due to certain change in control clauses that are outside of the Company’s control, including liquidation, sale, or transfer of control of the Company, as holders of the redeemable convertible preferred stock could cause redemption of the shares in these situations. The Company accretes the carrying values of the classes of redeemable convertible preferred stock that are mandatorily redeemable to the redemption values. The Company does not accrete the carrying values of the classes of redeemable convertible preferred stock that are not mandatorily redeemable to the redemption values since a liquidation event, sale, or transfer is not considered probable. Subsequent adjustments of the carrying values to the ultimate redemption values will be made only if and when it becomes probable that such a liquidation event will occur. Noncontrolling Interests The Company recognizes noncontrolling interest related to VIEs, in which the Company is the primary beneficiary, as temporary equity in the consolidated financial statements separate from the shareholders’ equity. Changes in the shareholders’ ownership interest in a subsidiary that do not result in deconsolidation are treated as equity transactions if the parent entity retains its controlling financial interest. In addition, when a subsidiary is deconsolidated, any retained noncontrolling equity investment in the former subsidiary will be initially measured at fair value and the difference between the carrying value and fair value of the retained interest will be recorded as a gain or loss. Leases The Company determines if an arrangement is a lease at contract inception under ASC 842 – Leases. Operating lease assets represent a right to use an underlying asset for the lease term and operating lease liabilities represent an obligation to make lease payments arising from the lease. The Company recognizes operating lease assets and liabilities at the commencement date of the lease based upon the present value of lease payments over the lease term. When determining the lease term, the Company includes options to extend or terminate the lease when it is reasonably certain that the Company will exercise that option. As the discount rate implicit in the leases was typically not readily determinable, the Company utilized the fixed rate at which the Company could borrow on a collateralized basis the amount of the lease payments in the same currency, for a similar term, in a similar economic environment, the incremental borrowing rate (IBR). The Company has elected to apply the practical expedient to account for lease and non-lease components as a single lease component for new and modified leases commencing after adoption election. The Company has also elected not to recognize leases with an initial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230"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F-13 term of 12 months or less on the consolidated balance sheets, instead, those lease payments are recognized in the consolidated statements of operations on a straight-line basis over the lease term. Revenue Recognition Product Revenue The Company commercializes Plenity in the U.S. markets principally through synergistic partnerships with online pharmacies and telehealth providers, which in turn sell Plenity directly to patients based on prescriptions. Outside the U.S., the Company primarily seeks collaborations with strategic partners to market Plenity and obtain necessary regulatory approvals as necessary. Product revenue is recognized by the Company in an amount that reflects the consideration which the Company expects to receive in exchange for those goods or services when the customer obtains control of the product, which occurs at a point in time, when the product is received by the Company's customers. Reserves for Variable Consideration Revenues from product sales are recorded as product revenue at the net sales price (transaction price), which includes estimates of variable consideration that are reimbursable to customers for which reserves are established and which result from (a) shipping charges to end-users, (b) pharmacy dispensing and platform fees, (c) merchant and processing fees, (d) promotional discounts offered by the Company to end-users, and (e) reserves for expected product quality returns. These reserves for contractual adjustments are based on the amounts earned or to be claimed on the related sales and are classified as reductions of accounts receivable (if the amount is payable to the customer) or a current liability (if the amount is payable to a party other than the customer). Where appropriate, these estimates take into consideration a range of possible outcomes that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the Company is entitled based on the terms of the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 The Company has no plan to seek government or commercial payor reimbursements in the US or the overseas markets. Therefore, reserves for variable consideration do not contain any components related to government and payor rebates or chargebacks. Product Returns The Company generally does not accept customer returns, except for product quality related cases. The Company evaluates quality related returns and adjusts the corresponding product warranty reserves and liabilities at least quarterly and at the end of each reporting period. License and Collaboration Revenues The Company recognizes revenue from product sales and collaboration arrangements in accordance with ASC 606, Revenue from Contracts with Customers (“ASC 606”). Under ASC 606, an entity recognizes revenue when its customer obtains control of promised goods or services, in an amount that reflects the consideration which the entity expects to be entitled to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expects to be entitled to in exchange for the goods or services it transfers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 For performance obligations which consist of the Company’s materials, shipping and distribution activities occur prior to the transfer of control of the Company’s materials and are considered activities to fulfill the Company’s promise to deliver goods to the customers.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231"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F-14 The Company has entered and anticipates to enter future license, collaboration and/or distribution agreements, which are within the scope of ASC 606, to manufacture and commercialize product(s). The terms of these agreements typically contain multiple promises or obligations, which may include: (i) manufacturing and supply of covered products, and (ii) regulatory support activities to be provided to the collaboration partner relating to the covered product(s). Payments to the Company under these agreements may include payments based upon the achievement of certain milestones and royalties on any resulting net product sales. The Company first evaluates collaboration arrangements to determine whether the arrangement (or part of the arrangement) represents a collaborative arrangement pursuant to ASC Topic 808, Collaborative Arrangements,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The Company uses judgment to determine whether milestones or other variable consideration, except for sales-based royalties, should be included in the transaction price. The transaction price is allocated to each performance obligation on a relative standalone selling price basis, for which the Company recognizes revenue as or when the performance obligations under the contract are satisfied. The Company utilizes key assumptions to determine the standalone selling price, which may include other comparable transactions, pricing considered in negotiating the transaction and the estimated costs.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There were no performance obligations to be satisfied over time for recognition purposes as of and for the years ended December 31, 2022 and 2021, respectively. Amounts received prior to revenue recognition are recorded as deferred income. Amounts expected to be recognized as revenue within the year following the balance sheet date are classified as current portion of deferred income in the accompanying consolidated balance sheets. Amounts not expected to be recognized as revenue within the twelve months following the balance sheet date are classified as deferred income, net of current portion. Amounts recognized as revenue, but not yet received or invoiced are generally recognized as contract assets. Cost of goods sold Cost of goods sold includes the cost of manufacturing our proprietary superabsorbent hydrogels for Plenity for which revenue was recognized during the period, as well as the associated costs for encapsulation, packaging, shipment, supply management and quality assurance. Expenses from royalty agreements on net product sales are also recognized as a component of cost of goods sold during the period in which the associated revenues are recognized. A portion of depreciation with respect to property and equipment directly utilized in manufacturing Plenity units is recognized as a component of cost of goods sold over the depreciable life of the asset. If the Company identifies excess, obsolete or unsalable inventory items, it writes down these to their net realizable values in the period in which the impairment is identified with corresponding charges to cost of goods sold in the consolidated statements of operations. These adjustments are recorded based upon various factors related to the product, including the level of product manufactured by the Company, the level of product in the distribution channel, current and projected demand, the expected shelf-life of the product and firm inventory purchase commitments. Selling, General and Administrative Costs Selling, general and administrative costs are expensed as incurred. Selling, general and administrative costs include sales and marketing costs incurred as a result of the commercialization of the Company’s products, payroll and personnel expense, stock-based compensation expense, and costs of programs and infrastructure necessary for the general conduct of the Company’s business. Research and Development Costs Research and development costs are expensed as incurred. Research and development costs include payroll and personnel expense, stock-based compensation expense, consulting costs, external contract research and development expenses, as well as depreciation and utilities. Prepaid research and development costs are deferred and amortized over the service period, as the services are provided. Stock-Based Compensation The Company’s stock-based compensation consist primarily of stock options and restricted stock units. The measurement date for share-based awards is the date of grant, and stock-based compensation costs are recognized as expense over the respective requisite service periods, which are typically the vesting period. The fair value of each stock option grant is estimated as of the date of grant using the Black-Scholes option-pricing model that requires management to apply judgment and make estimates, including: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232"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F-15 • exercise price: The exercise price is the fair market value on grant date, which shall mean the closing sale price of common stock, as reported on such market on that date (or if there are no market quotations for such date, the determination shall be made by reference to the last date preceding such date for which there are market quotations); • expected volatility: As the Company was previously a privately-owned company, there is not sufficient historical volatility for the expected term of the options. Therefore, the Company used an average historical share price volatility based on an analysis of reported data for a peer group of comparable companies for which historical information is available. For these analyses, the Company selects companies with comparable characteristics to itself including enterprise value, risk profiles, position within the industry,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intends to consistently apply this process using representative companies until a sufficient amount of historical information regarding the volatility of its own share price becomes available; • risk-free interest rate, which is based on the U.S. Treasury yield curve in effect at the time of grant commensurate with the expected term assumption; • expected term, which is calculated using the simplified method, as prescribed by the Securities and Exchange Commission Staff Accounting Bulletin No. 107, Share-Based Payment,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 dividend yield, which is zero based on the fact that the Company never paid cash dividends and does not expect to pay any cash dividends in the foreseeable future. Stock-based compensation costs for non-employees are recognized as expense over the vesting period. Stock-based compensation expense is classified in the consolidated statements of operations based on the function to which the related services are provided. Forfeitures are recorded as they occur. Income Taxes The consolidated financial statements reflect provisions for federal, state, local and foreign income taxes. Deferred tax assets and liabilities are recognized based on temporary differences between the financial reporting and income tax basis of assets and liabilities using rates anticipated to be in effect when such temporary differences reverse. A change in tax rates is recognized in income in the period of the enactment date. A valuation allowance against net deferred tax assets is required if, based upon the available evidence, it is more likely than not that some or all of the deferred tax assets will not be realized. The Company also assesses the probability that the positions taken or expected to be taken in its income tax returns will be sustained by taxing authorities. A “more likely than not” (more than 50%) recognition threshold must be met before a tax benefit can be recognized. Tax positions that are more likely than not to be sustained on examination by the taxing authorities, based on the technical merits of the position, are reflected in the Company’s consolidated financial statements. Tax positions are measured as the largest amount of tax benefit that is greater than 50% likely of being realized upon settlement with a taxing authority that has full knowledge of all relevant information. The difference between the benefit recognized for a position and the tax benefit claimed on a tax return is referred to as an unrecognized tax benefit. Potential interest and penalties associated with such uncertain tax positions are recorded as a component of income tax expense. Foreign Currency Translation 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 Concentrations of Credit Risk and Off -Balance-Sheet Risk 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4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233"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F-16 The Company’s cash balances, trade receivables, and grants receivable subject the Company to significant concentrations of credit risk. Periodically, the Company maintains deposits in government insured financial institutions in excess of government insured limits. The Company deposits its cash in financial institutions that it believes have high credit quality and has not experienced any losses on such accounts and does not believe it is exposed to any significant credit risk on cash. The Company’s grants receivable are due from government agencies, which the Company believes to have high credit quality. The Company has a limited number of commercial customers. The Company monitors the creditworthiness of customers to whom it grants credit terms and has not experienced any credit losses. Earnings (Loss) per Share The Company computes basic earnings (loss) per share by dividing income (loss) attributable to common stockholders by the weighted average number of shares of common stock outstanding. During periods of income, the Company allocates participating securities a proportional share of income determined by dividing total weighted average participating securities by the sum of the total weighted average common shares and participating securities (the “two-class method”). The Company's restricted stock and various series of preferred stock participate in dividends declared by the Company and are therefore considered to be participating securities. Participating securities have the effect of diluting both basic and diluted earnings per share during periods of income. During periods of loss, the Company allocates no loss to participating securities because they have no contractual obligation to share in the losses of the Company. The Company computes diluted earnings (loss) per share after giving consideration to the dilutive effect of stock options and warrants that are outstanding during the period, except where such non-participating securities would be anti-dilutive. Segment Information 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Geographically, the Company operates out of the U.S. and Italy. The corporate headquarters including the core functions of sales and marketing, medical affairs, research and development and general and administrative are located in the U.S., while substantially all of the Company’s manufacturing facilities and operations physically reside in Italy. Effect of Recently Issued Pronouncements In January 2020, the FASB issued ASU 2020-01, Investments-Equity Securities (Topic 321), Investments-Equity Method and Joint Ventures (Topic 323), and Derivatives and Hedging (Topic 815). The amendments in ASU 2020-01 clarify certain interactions between the guidance to account for certain equity securities under Topic 321, the guidance to account for investments under the equity method of accounting in Topic 323, and the guidance in Topic 815, which could change how an entity accounts for an equity security under the measurement alternative or a forward contract or purchased option to purchase securities that, upon settlement of the forward contract or exercise of the purchased option, would be accounted for under the equity method of accounting or the fair value option in accordance with Topic 825, Financial Instruments. These amendments improve current GAAP by reducing diversity in practice and increasing comparability of the accounting for these interactions. The amendments in this update are effective for fiscal years beginning after December 15, 2020, and interim periods within those fiscal years. The Company adopted ASU 2020-01 as of January 1, 2022 and the adoption of this standard did not have a material impact on the consolidated financial statements and related disclosures. In August 2020, the FASB issued ASU 2020-06, Accounting for Convertible Instruments and Contracts in an Entity’s Own Equity. The amendments in ASU 2020-06 include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 converted” method when calculating diluted earnings per share for convertible instruments. The amendments in this update are effective for fiscal years beginning after December 15, 2021, including interim periods within those fiscal years. The Company adopted ASU 2020-06 as of January 1, 2022 and the adoption of this standard did not have a material impact on the consolidated financial statements and related disclosures. In May 2021, the FASB issued ASU 2021-04 , Issuer’s Accounting for Certain Modifications or Exchanges of Freestanding Equity- Classified Written Call Options. The guidance in ASU 2021-04 requires the issuer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option or as termination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34"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F-17 the original option and issuance of a new option. The amendments in this update are effective for fiscal years beginning after December 15, 2021, including interim periods within those fiscal years. The Company adopted ASU 2021-04 as of January 1, 2022 and the adoption of this standard did not have a material impact on the consolidated financial statements and related disclosures. 3. Business Combination and Reverse Recapitalization As discussed in Note 1, on January 13, 2022, the Company consummated the Business Combination pursuant to the Business Combination Agreement with CPSR dated July 19, 2021, as amended on November 8, 2021 and December 30, 2021. Concurrently with the execution of the Business Combination Agreement, CPSR entered into subscription agreements with certain investors (the “PIPE Investors”). Pursuant to the subscription agreements, the PIPE Investors purchased an aggregate of 9,000,000 shares of CPSR’s Class A common stock (the “PIPE Investment”) in a private placement at a price of $10.00 per share for an aggregate purchase price of $90.0 million. The PIPE Investment was consummated in connection with the closing. On December 30, 2021, CPSR entered into a backstop agreement (the “Backstop Agreement”) with certain investors (the “Backstop Investors”). Pursuant to the Backstop Agreement, the Backstop Investors purchased an aggregate of 744,217 shares of CPSR’s Class A common stock (“Backstop Purchase Shares”) in a private placement at a price of $10.00 per share for an aggregate purchase price of $7.4 million. Additionally, CPSR issued the Backstop Investors 1,983,750 shares of CPSR Class A common stock as additional consideration. The Backstop Agreement was consummated in connection with the closing. The Business Combination was accounted for as a reverse recapitalization in accordance with U.S. GAAP. Under this method of accounting, CPSR, who was the legal acquirer, was treated as the acquired company for financial reporting purposes. Accordingly, the Business Combination was treated as the equivalent of Gelesis issuing stock for the net assets of CPSR, accompanied by a recapitalization. In connection with the Business Combination, aggregate transaction costs of $37.2 million were incurred, consisting of underwriting, legal, and other professional fees, of which $22.3 million were direct transaction costs incurred by CPSR, $9.5 million were assumed liabilities from CPSR, and $5.4 million were transaction costs incurred by Legacy Gelesis. Of the Legacy Gelesis transaction costs, $2.7 million was allocated to the Earnout Shares and expensed upon the Closing, based on the relative fair value of the Earnout Shares as compared to the other newly issued instruments as part of the Business Combination. The remaining transaction costs were recorded within additional paid-in capital on the accompanying consolidated financial statements. The following table summarizes the net proceeds from the Business Combination, as reconciled to the accompanying consolidated statements of noncontrolling interest, redeemable convertible preferred stock and stockholder’s equity (deficit) and the consolidated statements of cash flows (in thousands): Amount Cash - CPSR trust and cash (net of redemptions) $ 7,558 Cash - PIPE Investment 90,000 Cash - Backstop Agreement 7,442 Gross proceeds $ 105,000 Less: transaction costs, advisory fees and liabilities paid (34,522 ) Net proceeds from the Business Combination $ 70,478 Immediately prior to closing of the Business Combination, Legacy Gelesis common stock was split according to the exchange ratio of 2.59, which was determined pursuant to the Business Combination Agreement and based on Legacy Gelesis’ implied price per share prior to the Business Combination. Upon closing of the Business Combination, holders received shares of common stock of the Company on a one-to-one basis. For periods prior to the Business Combination, in the accompanying consolidated financial statements, the reported share and per share amounts have been retroactively converted (“Retroactive Application of Recapitalization”) by applying the exchange ratio. The consolidated assets, liabilities and results of operations prior to the Business Combination are those of Legacy Gelesis. Immediately prior to the closing of the Business Combination, Legacy Gelesis redeemable convertible preferred stock converted into Legacy Gelesis common stock and was subsequently split according to the exchange ratio of 2.59. Upon closing of the Business Combination, holders received shares of common stock of the Company on a one-to-one basis. Immediately prior to the closing of the Business Combination, Legacy Gelesis stock options and restricted stock units (“RSU”) were split according to the exchange ratio of 2.59. Upon closing of the Business Combination, holders of Legacy Gelesis stock options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235"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F-18 received a stock option to purchase shares of the Company’s common stock on a one-to-one basis and holders of Legacy Gelesis RSUs received RSUs of the Company on a one-to-one basis. Immediately prior to the closing of the Business Combination, Legacy Gelesis redeemable preferred stock warrants were converted into Legacy Gelesis common warrants and were subsequently split according to the exchange ratio of 2.59. Upon closing of the Business Combination, holders received rollover common stock warrants of the Company on a one-to-one basis. Immediately prior to the closing of the Business Combination, Legacy Gelesis common warrants were split according to the exchange ratio of 2.59. Upon closing of the Business Combination, holders received rollover common stock warrants of the Company on a one- to-one basis. The number of shares of common stock issued and outstanding immediately following the consummation of the Business Combination was as follows: Common Stock CPSR Public Stockholders 755,223 CPSR Sponsor Stockholders 4,916,250 Total CPSR Stockholders 5,671,473 Common stock issued to Gelesis Legacy Equityholders 54,814,847 Common stock issued to PIPE Investors and Backstop Agreement 11,727,967 Total common stock immediately after Closing 72,214,287 Earnout Shares In addition, each holder of Legacy Gelesis common stock, Legacy Gelesis options and Legacy Gelesis warrants will receive a pro rata portion of up to 23,482,845 restricted earnout shares of Gelesis Holding’s common stock, which will be issued and vest in equal thirds if the trading price of the Company’s common stock is greater than or equal to $12.50, $15.00 and $17.50, respectively, for any twenty (20) trading days within any thirty (30)-trading day period on or prior to the date that is five years following the close of the Business Combination and will also vest in connection with any change of control transaction with respect to the Company if the applicable thresholds are met in such change of control transaction during the earnout period (each a “Triggering Event”). The Company determined 18,758,241 earnout shares are considered a contingent consideration arrangement in accordance with ASC 815, and recorded a liability upon the closing of the Business Combination of $58.9 million (see Note 14). The Company determined the remaining 4,724,604 earnout shares, which pertain to Legacy Gelesis equity awards, are incremental compensation in accordance with ASC 718 and equity classified. The total fair value of incremental compensation cost at the close of Business Combination was $14.8 million which will be expensed according to the vesting terms of the original underlying equity awards. The total incremental compensation cost, pertaining to Legacy Gelesis equity awards which had previously vested, was $11.4 million, of which $7.0 million and $4.4 million was recognized immediately following the close of the Business Combination as expense in selling, general and administrative expense and research and development expense, respectively, in the accompanying consolidated statements of operations. Public Warrants and Private Placement Warrants Upon the closing of the Business Combination, the Company assumed 13,800,000 Public Warrants and 7,520,000 Private Placement Warrants. The Company determined the Public Warrants qualified as equity instruments in accordance with ASC 815 and reclassified the Public Warrants from liability to equity classification and the carrying value of $7.1 million was transferred to APIC on the accompanying consolidated balance sheets. The Company determined the Private Placement Warrants met the definition of a liability under ASC 815 and recorded a liability reflecting the fair value of the Private Placement Warrants of $8.1 million. See Note 13 and Note 15 for further information on the Private Placement and Public Warrants, respectively.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36"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F-19 4. Fair Value Measurements Assets and liabilities that are measured at fair value on a recurring basis, and the level of the fair value hierarchy utilized to determine such fair values, consisted of the following at December 31, 2022 (in thousands): Fair Value Measurements Fair Value Quoted Prices in Active Markets for Identical Assets (Level 1) Significant Other Observable Inputs (Level 2) Significant Unobservable Inputs (Level 3) Asset: Interest rate swap contract (see Note 12) $ 800 $ — $ 800 $ — Liabilities: Convertible promissory notes (see Note 12) 27,403 — — 27,403 Earnout liability (see Note 14) 563 — — 563 Private placement warrant liability (see Note 13) 130 — — 130 One S.r.l. call option (see Note 11) 674 — — 674 Total liabilities measured at fair value $ 28,770 $ — $ — $ 28,770 Liabilities that are measured at fair value on a recurring basis, and the level of the fair value hierarchy utilized to determine such fair values, consisted of the following at December 31, 2021 (in thousands): Fair Value Measurements Fair Value Quoted Prices in Active Markets for Identical Assets (Level 1) Significant Other Observable Inputs (Level 2) Significant Unobservable Inputs (Level 3) Liabilities: Convertible promissory notes (see Note 12) $ 27,128 $ — $ — $ 27,128 Legacy Gelesis preferred stock warrants (see Note 13) 15,821 — — 15,821 One S.r.l. call option (see Note 11) 2,416 — — 2,416 Total liabilities measured at fair value $ 45,365 $ — $ — $ 45,365 The following table presents a summary of the changes in the fair value of the Company’s Level 3 financial instruments during the years ended December 31, 2022 and 2021, respectively (in thousands): Convertible Promissory Notes Legacy Gelesis Redeemable Preferred Stock Warrants Liabilities One S.r.l. Call Option Earnout Liability Private Placement Warrant Liability Balance at December 31, 2020 $ — $ 12,099 $ 1,545 $ — $ — Exercise of warrants — (3,924 ) — — — Issuance of convertible promissory notes 27,000 — — — — Changes in fair value 128 7,646 1,024 — — Foreign currency translation adjustment — — (153 ) — — Balance at December 31, 2021 $ 27,128 $ 15,821 $ 2,416 $ — $ — Assumed upon Business Combination — — — — 8,140 Recognized upon Business Combination — — — 58,871 — Issuance of convertible promissory notes 25,000 — — — — Changes in fair value 2,559 926 (1,462 ) (58,308 ) (8,010 ) Foreign currency translation adjustment — — (280 ) — — Conversion and exchange upon Business Combination — (16,747 ) — — — Settlement (27,284 ) — — — — Balance at December 31, 2022 $ 27,403 $ — $ 674 $ 563 $ 130 There were no transfers into or out of level 3 instruments and/or between level 1 and level 2 instruments during the years ended December 31, 2022 and 2021, respectively. The fair value of the interest rate swap contract is determined based on quoted prices in markets that are not active for which significant inputs are observable either directly or indirectly and thus represents a level 2 measurement. The fair value measurement of the convertible promissory notes, Legacy Gelesis preferred stock warrant liability, One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237"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F-20 S.r.l. call option liability, earnout liability and private placement warrant liability utilized inputs not observable in the market and thus represents a Level 3 measurement. 5. Product Revenue and Reserve and Allowances The Company sells the Product principally to a limited number of customers consisting of telemedicine and online pharmacies, that in turn resell the Product to consumers. Revenue for the years ended December 31, 2022 and 2021 consisted of the following (in thousands): Years Ended December 31, 2022 2021 Roman Health Pharmacy LLC $ 19,957 $ 9,630 GoGoMeds 5,601 $ 1,437 CMS — 118 Total $ 25,558 $ 11,185 Roman Health Pharmacy LLC (“Ro”) In August 2019, the Company entered into a two-year exclusive supply and distribution agreement with Ro, giving Ro exclusive distributor rights to sell the Product via telehealth platforms in the United States. The Company began shipping products to Ro in May 2020 on consignment basis, under which the Company retained legal title to the units shipped on consignment and recognized revenue based on units subsequently shipped by Ro to end-users. In January 2021, the Company amended and restated the agreement with Ro (“Ro agreement”). Pursuant to the amended and restated Ro agreement, the Company received $10.0 million of cash as a pre-buy commitment for Product which was recorded to current deferred income in the accompanying consolidated balance sheets. Additionally, the amended and restated agreement ended the consignment arrangement with Ro and the Company no longer retained control of any units shipped to Ro under the amended terms. Henceforth, all products shipped to Ro are immediately recognized as revenue upon the transfer of physical control. In July 2021, the Company executed a second amended and restated agreement with Ro, under which the Company received $30.0 million of cash as a second pre-buy commitment for the Product, which was recorded to current deferred income in the accompanying consolidated balance sheets. Additionally, the Company extended Ro’s exclusive period by approximately one year through July 1, 2023. Upon expiration of the exclusive period as amended, the exclusive right and license under the agreement shall automatically convert to non-exclusive for the remainder of term of the agreement unless further extended. The agreement may be terminated by mutual agreement after the exclusive period expired. On June 14, 2022, the Company entered into a third Amended and Restated Supply and Distribution Agreement with Ro, pursuant to which the parties amended their previous agreement that granted Ro exclusive telehealth distributor rights to sell Plenity in the United States in the mail order/online pharmacy channel. Pursuant to the amendment, the Company received $15.0 million in cash from Ro as a pre-buy commitment to purchase units of Plenity, which was recorded to deferred income upon receipt in the accompanying consolidated balance sheets. During the years ended December 31, 2022 and 2021, the Company recognized net product revenue of $20.0 million and $9.6 million, respectively, under the Ro agreement as amended. At December 31, 2022 and December 31, 2021, the Company recorded current deferred income with respect to the Ro agreement aggregated $25.9 million and $31.0 million, respectively, in the accompanying consolidated balance sheets. GoGoMeds (“GGM”) In February 2020, the Company entered into a two-year exclusive distribution agreement with GGM, giving GGM exclusive distributor rights to all online and mail orders generated in the United States, except those via telehealth. GGM submits purchase orders as needed to Cardinal Health and Cardinal Health ships to GGM. Once GGM has accepted the delivered Product, GGM takes control of the Product and the Company is entitled to payment. The Company began shipping products to GGM in May 2020. The Company recognizes revenue based on units shipped to GGM and upon transfer of physical control. During the years ended December 31, 2022 and 2021, the Company recognized $5.6 million and $1.4 million net product revenue, respectively. At December 31, 2022 and December 31, 2021, the Company recorded an accounts receivable with respect to GGM aggregated $1.1 million and $0.7 million, net of reserves and allowances, respectively, in the accompanying consolidated balance sheets.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38"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F-21 CMS Bridging DMCC (“CMS”) In June 2020, the Company and CMS Bridging DMCC (“CMS”) entered into a set of licensing, collaboration, and investing agreements (“CMS Agreements”) involving the license of the Company’s intellectual property (“IP”) to CMS in Singapore and Greater China (the “CMS Territory”) and governing the supply of product from the Company to CMS for sale in the CMS Territory, together with an agreement for CMS to invest in the Company’s Series Growth 3 &amp; 4 Preferred Shares. Under the terms of the CMS Agreement, the Company granted CMS an exclusive, transferable, sub-licensable, and royalty-bearing license of the Company’s IP to develop, import, register, manufacture, and commercialize the Product, whether through online sales channels or offline sales channels during the term of the agreement. The agreement can be terminated earlier by mutual agreement of the parties. In accordance with the CMS Agreement, all legal and beneficial ownership of (i) all IP rights relating to the Products (including any data generated from the use of the Products and other improvements) and (ii) all of the information provided or generated under the agreement or otherwise related to the Products shall both ultimately belong to and remain vested with the Company. CMS must purchase the Product from the Company at a markup of the Company’s cost of goods sold. As consideration for the rights and licenses granted by the Company to CMS under the agreement, CMS paid the Company a one- time, non-refundable and non-creditable upfront fee of $15.0 million and is required to pay a one-time, non-refundable, and non- creditable milestone payment of $5.0 million within thirty days after the earlier of (i) the approval of marketing authorization as a prescription product by the National Medical Products Administration, and (ii) the fifth anniversary of the agreement’s effective date. The CMS Agreement also contains commercial milestones due to the Company based on the achievement of annual net product revenue thresholds in the CMS Territory. Additionally, CMS shall pay the Company royalties on net sales of all products in the CMS Territory commencing January 1, 2022 through the expiration date of the agreement. The Company determined that the only performance obligation present was the licensing of the Product in the CMS Territory. The transactions price consisted of the $15.0 million upfront payment and the discounted time-based milestone of $3.7 million with the difference of $1.3 million accreted as interest income over five years with the remaining balance being accreted in full upon the approval of the marketing authorization as a prescription product if achieved prior to the end of the five years. The IP license granted to CMS represents a right to use the IP and therefore was recognized at a point in time, which was determined to be the effective date of the agreements. On August 4, 2022, the Company amended the CMS Agreement, under which the one-time regulatory approval milestone payment of $5.0 million provided for in the original agreement became immediately payable. Additionally, the amendment expands the CMS Territory to include Brunei, Myanmar, Cambodia, Timor-Leste, Indonesia, Laos, Malaysia, the Philippines, Thailand and Vietnam and provides that the minimum annual royalty term for CMS Territory will commence January 2024 (rather than January 2022 as previously provided under the original CMS Agreement). The Company also issued to CMS a warrant to purchase up to 400,000 shares of common stock, par value $0.0001 per share, at an exercise price of $0.01 per share. The discounted one-time regulatory approval milestone, which had a carrying value of $4.2 million and $4.1 million as of August 4, 2022 and December 31, 2021, was fully collected upon execution of the CMS amendment. As a result of the 2022 amendment, during the year ended December 31, 2022, the Company recognized licensing revenue of $0.2 million representing incremental consideration received by the Company for the additional territories granted to CMS in the accompanying consolidated statement of operations, and $0.6 million of additional paid-in capital representing the fair value of the common stock warrants in the accompanying consolidated balance sheet. The sales-based royalties and other commercial milestones will only be recognized in the periods in which the applicable subsequent sales occur. Reserves and Allowances The following table summarizes the activity in the product revenue reserve and allowances during the years ended December 31, 2022 and 2021 (in thousands): 2022 2021 Balance at January 1, $ 82 $ 14 Provision related to product sales 1,889 522 Credits and payments made (1,949 ) (454 ) Balance at December 31, $ 22 $ 82 At December 31, 2022 and 2021, product related reserve and allowances comprised solely contractual adjustments owed to the Company’s telehealth and online pharmacy partners, which were netted to accounts receivable in the Company’s consolidated balance sheets for the year. Through December 31, 2022, there had been no product related reserves or allowances owed to other parties, including the federal and state governments or their agencies.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239"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F-22 6. Inventories Inventories consisted of the following (in thousands): December 31, 2022 2021 Raw materials $ 9,549 $ 8,074 Work in process 4,695 2,643 Finished goods 5,955 2,786 Inventories, gross 20,199 13,503 Less: inventory reserves (13,334 ) — Total inventories $ 6,865 $ 13,503 In January 2023, the Company submitted a 510(k) application with the FDA to change the classification of Plenity from prescription only to OTC, which, if cleared by the FDA, would make Plenity available to consumers without the need for a prescription. If Plenity is approved by the FDA as an OTC weight management aid, a portion of finished goods and raw material inventories with Rx labeling and marking information would become obsolete. Additionally, finished goods and work-in-process inventories with expiration dates ranging between July 2023 and March 2024 are subject to shelf-life limitations. As of December 31, 2022, the Company estimated that approximately $5.0 million finished goods, $4.5 million work-in-progress and $3.8 million raw material inventories wouldn’t be sold or utilized. Therefore, the Company recorded an aggregate $13.3 million excess and obsolescence inventory reserves as a component of inventories on the accompanying consolidated balance sheet as of December 31, 2022. 7. Prepaid Expenses and Other Current Assets Prepaid expenses and other current assets consisted of the following (in thousands): December 31, 2022 2021 Prepaid expenses $ 314 $ 982 Prepaid insurance 268 55 Prepaid manufacturing expenses — 2,624 Prepaid contract research costs 189 262 Research and development tax credit 567 579 Value added tax receivable 2,036 5,633 Deferred financing costs — 3,855 Income tax receivable 203 213 Investment tax credit 1,050 — Prepaid expenses and other current assets $ 4,627 $ 14,203 8. Property and Equipment, Net Property and equipment, net, consisted of the following (in thousands): December 31, 2022 2021 Laboratory and manufacturing equipment $ 29,944 $ 28,101 Land and buildings 10,673 10,404 Leasehold improvements 1,525 1,614 Computer equipment and software 811 463 Capitalized software 232 228 Construction in process 24,287 22,097 Property and equipment – at cost 67,472 62,907 Less accumulated depreciation (8,137 ) (4,392 ) Property and equipment – net $ 59,335 $ 58,515 The Company owns and operates commercial manufacturing and research and development facilities in Italy, including a 51,000 square foot facility, which the Company expects to further expand to an 88,600 square foot facility, as well as approximately 12 acres of land, where the Company owns land to develop an additional 207,000 square foot facility. Both facilities are near the Town of Lecce in the Puglia region of Italy. Property and equipment classified as construction in process at December 31, 2022 and December 31, 2021 are related to the development of manufacturing lines that have not yet been placed into service at December 31, 2022 and December 31, 2021, respectively.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40"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F-23 Depreciation expense was approximately $3.2 million and $1.5 million for the years ended December 31, 2022 and 2021, respectively. 9. Accrued Expenses Accrued expenses and other current liabilities consisted of the following (in thousands): December 31, 2022 2021 Accrued payroll and related benefits $ 1,550 $ 1,384 Accrued professional fees and outside contractors (including due to related party of $153 and $60, respectively) 3,521 4,359 Accrued property, plant and equipment additions 378 1,257 Accrued inventory and manufacturing expense 1,020 128 Unpaid portion of One S.r.l. equity acquisition (see Note 11) 2,656 5,604 Tax payables 543 145 Deferred legal fees 738 738 Accrued interest 62 45 Total accrued expenses $ 10,468 $ 13,660 10. Other Long-Term Liabilities Other long-term liabilities consisted of the following (in thousands): December 31, 2022 2021 Long-term tax liabilities $ 224 $ 182 One S.r.l. call option (see Note 11) 674 2,416 Contingent loss for research and development tax credits — 2,990 Total other long-term liabilities $ 898 $ 5,588 11. Significant Agreements Puglia 1 Grant In May 2020, the Company was awarded a grant by the Puglia region of Italy as an incentive to manufacture and carry out research and development activities in Italy (“PIA 1 Grant”). with the key underlying activity being the development of the commercial facility to expand production capacity for the Product. The PIA 1 Grant provides funding of up to €5.3 million (approximately $5.7 million at December 31, 2022) as reimbursement for certain facility and equipment investments in the Company’s manufacturing facility in Calimera, Italy, and up to €3.9 million (approximately $4.2 million at December 31, 2022) as reimbursement for certain research and development expenditures over a three-year period. The Company is required to adhere to standard workplace safety regulations and local laws in Italy and is not permitted to physically move the reimbursed assets from the Puglia region for five years from the project completion date of May 2023. The Company has concluded that income recognition is appropriate as it is reasonably assured that it will comply with all the conditions of the grant and the proceeds from the grant for costs incurred to date will be received. The following table represents amounts recognized on the consolidated statements of operations for the years ended December 31, 2022 and 2021 and on the consolidated balance sheets at December 31, 2022 and 2021 in relation to the Puglia 1 Grant (in thousands): December 31, 2022 2021 PIA 1 Grant income $ 756 $ 465 Income attributable to R&amp;D expense 71 220 Income attributable to investments in facilities and equipment 694 246 Proceeds 6,261 — Grant receivable 3,237 5,439 Deferred income 5,001 6,449 Current portion of deferred income 771 858 Puglia 2 Grant In November 2020, the Company was awarded a second grant by the Puglia region of Italy as an incentive to manufacture and carry out research and development activities in Italy (“PIA 2 Grant”), with the key underlying activity being the development of a second manufacturing line at the commercial facility to expand production capacity for the Product, and research and development activities targeting new gastrointestinal health indications. The PIA 2 Grant provides funding of up to €3.3 million (approximately $3.5 million at December 31, 2022) as reimbursement for certain facility and equipment investments in the Company’s manufacturing facility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241"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F-24 Calimera, Italy, and up to €8.3 million (approximately $8.9 million at December 31, 2022) as reimbursement for certain research and development expenditures over a three-year period. The Company is required to adhere to standard workplace safety regulations and local laws in Italy and is not permitted to physically move the reimbursed assets from the Puglia region for five years from the project completion date of November 2023. The Company has concluded that income recognition is appropriate as it is reasonably assured that it will comply with all the conditions of the grant and the proceeds from the grant for costs incurred to date will be received. The following table represents amounts recognized on the consolidated statements of operations for the years ended December 31, 2022 and 2021 and on the consolidated balance sheets at December 31, 2022 and 2021 in relation to the Puglia 2 Grant (in thousands): December 31, 2022 2021 PIA 2 Grant Income $ 1,411 $ 1,054 Income attributable to R&amp;D expense 1,411 1,135 Income attributable to investments in facilities and equipment — — Proceeds 1,751 1,855 Grant receivable 122 3,631 Long-term grant receivable 4,732 — Deferred income 3,502 3,711 Current portion of deferred income 420 445 One S.r.l. (“One”) Amended Patent License and Assignment Agreement In October 2008 and December 2008, the Company entered into a patent license and assignment agreement and master agreement with One, the original inventor and owner of the Company’s core patents and a related party to the Company (see Notes 19 and 20), to license and subsequently purchase certain intellectual property to develop hydrogel-based product candidates. In December 2014, the Company amended and restated the patent license agreement and the master agreement into a single agreement, referred to as the amended and restated master agreement (the “2014 One Amendment”). The amended and restated master agreement would remain in effect until the expiration of the last patents covered by the agreement or until all obligations under the amended and restated master agreement with respect to payments have terminated or expired. In June 2019, the Company further amended and restated the master agreement with One (the “2019 One Amendment”). Under the 2019 One Amendment, the Company eliminated certain future commercial milestone obligations and received a reduction in the percentage of royalties the Company was required to pay on future net sales. In return, One received additional consideration consisting of new future milestones upon the commercial success of new medical indications and a contingently issuable warrant for redeemable convertible preferred stock. Additionally, the Company acquired a 10% equity interest in One in exchange for cash consideration. The Company accounted for the reduction in royalties the Company is required to pay on future net revenues that resulted from the 2019 One Amendment as an intangible asset under ASC 350, Intangibles – Goodwill and Other, which shall be amortized over its useful life, which was determined to be the earliest expiration of patents related to the underlying intellectual property in November 2028. The Company accounted for the acquisition of the 10% equity interest in One under ASC 323, Investments – Equity Method and Joint Ventures. The Company initially allocated consideration in the June 2019 transaction on a relative fair value basis in the following manner (in thousands): Consideration Cash $ 12,668 Warrants for redeemable convertible preferred stock 4,706 Fair value of total consideration $ 17,374 Assets acquired at relative fair value Intangible asset related to reduction in royalty $ 15,564 Equity-method investment 1,810 Total assets acquired $ 17,374 The Company accounted for tax impact of the acquisition of the intangible asset under ASC 740, Income Taxes, which resulted in the recognition of a deferred tax liability of $5.8 million, to account for the book-to-tax basis difference, that was applied to the initial carrying value of the intangible asset acquired. In October 2020, the Company amended and restated the agreement with One (the “2020 One Amendment”) to cancel its obligation to issue to One the warrant for redeemable convertible preferred stock agreed to in the 2019 One Amendment . In return for cancelling the warrant, One received additional consideration consisting of a commercial milestone of €6.5 million (approximately $7.0 million at December 31, 2022) upon a weight loss product reaching €2.0 billion in cumulative net sales, and certain shareholders of One were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242"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F-25 granted warrants to purchase 522,009 shares of the Company’s common stock. The warrant for redeemable convertible preferred stock was remeasured prior to settlement. Additionally, the Company granted One a contingent call option to buy back the 10% ownership that the Company acquired in the 2019 One Amendment at an exercise price of €6.0 million (approximately $6.4 million at December 31, 2022). The call option is only exercisable upon (1) a change of control or a deemed liquidation event by the Company, as defined in the Company’s Restated Certification of Incorporation or (2) the date in which the Company’s current Chief Executive Officer is no longer affiliated with the Company in his capacity as either an executive officer or a member of the board of directors. On August 9, 2022, the Company amended the exercise price of the One warrant holders' 1,353,062 previously issued common stock warrants from $4.26 to $1.45, in consideration for deferring payment of the remaining purchase price totaling €2.5 million (approximately $2.7 million at December 31, 2022) to acquire the 10% equity interest in One until March 31, 2023. The Company recorded intangible asset amortization cost aggregated $2.3 million during each of the years ended December 31, 2022 and 2021. The Company recognized a loss attributable to the amendment to the Warrant Purchase Agreement of $0.3 million during the year ended December 31, 2022. In connection with the acquisition of the 10% equity interest in One, the Company paid €2.5 million ($2.7 million) to One shareholders during the year ended December 31, 2022. The Company had remaining undiscounted payment obligations of €2.5 million and €5.0 million at December 31, 2022 and December 31, 2021, respectively ($2.7 million and $5.7 million at December 31, 2022 and December 31, 2021, respectively). The remaining payment obligation balance at December 31, 2022 and December 31, 2021 was recorded in accrued expenses in the accompanying consolidated balance sheet as it was expected to be settled within the next twelve months from the respective consolidated balance sheet dates. None of the future milestones under the amended and restated master agreement, have been met, or are deemed to be probable of being met, from inception of the One agreement, as amended and restated, through December 31, 2022. The One S.r.l. call option was recorded as a liability held at fair value at the date of issuance and is remeasured at each subsequent reporting date with changes in fair value recorded in other income (expense) in the accompanying consolidated statements of operations. Fair value is determined using a Black-Scholes option pricing model. The significant inputs used in estimating the fair value of call option liability include the estimated fair value of the underlying stock price, expected term, risk free interest rate, and expected volatility. The following represents a summary of the changes to the Company’s One S.r.l. call option liability during the years ended December 31, 2022 and 2021, respectively (in thousands): Years Ended December 31, 2022 2021 Balance at Beginning of Period $ 2,416 $ 1,545 Change in fair value (1,462 ) 1,024 Foreign currency translation gain (280 ) (153 ) Balance at the End of Period $ 674 $ 2,416 The following weighted average assumptions were used to determine the fair value of the One S.r.l. call option liability at December 31, 2022 and December 31, 2021: December 31, 2022 2021 Expected term 4.0 years 2.0 years Expected volatility 86.0 % 62.0 % Expected dividend yield 0.0 % 0.0% Risk free interest rate 4.2 % 0.70 % Estimated fair value of ownership interest $ 1,772 $ 6,922 Exercise price of call option $ 6,422 $ 6,806 Research Innovation Fund (“RIF”) Financing In August 2020, the Gelesis S.r.l. entered into a loan and equity agreement with RIF, an investment fund out of the EU, whereby Gelesis S.r.l. received €10.0 million (approximately $10.7 million at December 31, 2022) from RIF as an equity investment and €15.0 million (approximately $16.1 million at December 31, 2022) as a loan with a fixed interest rate of 6.35% per annum (see Note 12). The equity investment can be called by the Company, beginning in December 2023 and ending in December 2026, by paying the investment plus 15% percent annual interest. If the Company does not exercise this call option, beginning in January 2027 and ending in December 2027, RIF may put the investment to the Company at a cost of the investment amount plus 3.175% percent annual interest. The loan has a termination date of December 31, 2030 and is repayable over 8 years starting 24 months subsequent to its issuance. Any unpaid principal and interest must be repaid upon exercise of the call option by the Company, or subsequent exercise of a put option by RIF. At December 31, 2022, RIF holds approximately 20% of the equity of Gelesis S.r.l.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5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243"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F-26 The Company concluded that Gelesis Inc. is the only equity investment at risk as RIF’s investment is not considered equity due to the call and put options. The Company further evaluated the sufficiency of the equity at risk and concluded that given the fact that Gelesis S.r.l. had to receive the RIF investment, which represents subordinated financial support but not equity, the fair value of Gelesis Inc. equity is not sufficient to absorb its expected losses resulting from its research and development operations and business plan, rather some of its expected losses will have to be absorbed by the RIF investment. The RIF investment is equity held by a noncontrolling interest. Since the put option does not make the equity mandatorily redeemable, and the call option is held by the Company, the noncontrolling interest is not considered mandatorily redeemable and as such, is not presented as a liability. The noncontrolling interest is therefore classified as temporary equity – noncontrolling interest, and is accounted for in accordance with ASC 810, Consolidation. The noncontrolling interest is initially recorded at €10.0 million (approximately $11.3 million at transaction date, net of issuance costs of $0.4 million), the consideration allocated to the shareholder investment based on its fair value. The Company has applied ASC 810 to subsequently remeasure the noncontrolling interest, which results in no losses being attributed to the noncontrolling interest, rather, only earnings of the Gelesis S.r.l. entity based on the shareholder rights as a whole instrument. However, the noncontrolling interest shall not be reduced below the current redemption value of the put option, which represents the initial investment plus the accrued rate of return of 3.175% per annum. Adjustments to the noncontrolling interest that result from accreting the put option to its redemption value are recorded to accumulated deficit in the accompanying consolidated balance sheets. The Company recorded the following noncontrolling interest components in the consolidated statements of noncontrolling interest, redeemable convertible preferred stock and stockholders' deficit (in thousands): Years Ended December 31, 2022 2021 Balance at Beginning of Period $ 11,855 $ 12,429 Accretion of put option 253 376 Income allocated to noncontrolling interest holder 1,095 — Foreign currency translation adjustment (613 ) (950 ) Balance at the End of Period $ 12,590 $ 11,855 12. Debt The Company’s non-convertible debt outstanding at December 31, 2022 and December 31, 2021, respectively, is summarized as follows (in thousands): December 31, 2022 2021 Italian Economic Development Agency Loan 331 525 Intesa Sanpaolo Loan 1 7,094 8,507 Intesa Sanpaolo Loan 2 5,352 5,672 Horizon 2020 Loan 389 486 RIF Shareholders Loan 16,055 17,015 UniCredit Loan 4,421 5,630 Total debt obligation $ 33,642 $ 37,835 Unamortized loan discount and issuance costs (346 ) (754 ) Total debt obligation carrying amount $ 33,296 $ 37,081 Current portion $ 7,954 $ 1,950 Long-term portion $ 25,342 $ 35,131 Italian Economic Development Agency Loan In May 2014, the Company entered into a loan agreement with an Italian economic development agency in connection with a grant. In February 2016, the Company received a second transfer of financing under this loan agreement. Borrowings under the loan totaled €1.2 million (approximately $1.3 million at December 31, 2022), and the loan bears interest at 0.332% per annum The Company is required to make annual principal and interest payments from January 2017 through January 2024. Intesa Sanpaolo Loan 1 In November 2019, the Company entered into a loan agreement with Intesa Sanpaolo. Initial borrowings under the loan totaled €2.4 million (approximately $2.6 million at December 31, 2022), net of transaction costs of €0.1 million (approximately $0.1 million at December 31, 2022), and the loan bears interest at base rate of 2.3% plus the 3-month Euribor rate per annum. The Company was required to make payments of interest only on borrowings under the loan agreement on a quarterly basis through and including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244"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F-27 October 31, 2021 (the interest only termination date), after which payments of principal in equal quarterly installments and accrued interest will be due until the loan matures on October 31, 2029. The Company pledged certain manufacturing facilities, excluding equipment, as collateral under this loan agreement. During 2020, the Company borrowed an additional €5.0 million (approxfimately $5.4 million at December 31, 2022), net of transaction costs of less than €0.1 million. The additional borrowings under the loan had the same terms and repayment schedule as the November 2019 loan. Intesa Sanpaolo Loan 2 In March 2021, the Company entered into another loan agreement with Intesa Sanpaolo for aggregate borrowings of up to €5.0 million. Borrowings under the second loan agreement upon closing and at December 31, 2022, totaled €4.8 million (approximately $5.1 million at December 31, 2022), net of transaction costs of €0.2 million (approximately $0.2 million at December 31, 2022), and the loan bears interest at a base rate of 2.75%. The Company is required to make payments of interest only on borrowings under the loan agreement on a monthly basis through March 2023 (the interest only termination date), after which payments of principal in equal monthly installments and accrued interest will be due until the loan matures on March 26, 2024. Horizon 2020 Loan In December 2019, as part of the Horizon 2020 Grant (see Note 11), the Company entered into a loan agreement with the Italian Finance Ministry. Borrowings under the loan totaled €0.3 million (approximately $0.3 million at December 31, 2022), net of transaction costs and discounts of less than €0.1 million, and the loan bears interest at 0.171% per annum. The Company is required to make payments of interest only on borrowings under the loan agreement on a semiannual basis through and including June 30, 2020 (the interest only termination date), after which payments of principal in equal semiannual installments and accrued interest will be due until the loan matures on June 30, 2028. In October 2020, the Company borrowed an additional €0.2 million (approximately $0.2 million at December 31, 2022), net of transaction costs of less than €0.1 million. The additional borrowings under the loan had the same terms and repayment schedule as the December 2019 loan. RIF Shareholders Loan In August 2020, as part of the RIF financing transaction (see Note 11), the Company entered into a loan agreement with the shareholders of RIF. Borrowings under the loan totaled €14.5 million (approximately $15.5 million at December 31, 2022), net of transaction costs of €0.5 million (approximately $0.5 million at December 31, 2022), and the loan bears interest at 6.35% per annum. The Company is required to make payments of interest only on borrowings under the loan agreement on an annual basis starting December 31, 2020 and through and including December 30, 2022 (the interest only termination date), after which payments of principal in equal annual installments and accrued interest will be due until the loan matures on December 31, 2030. If either party exercises its call option or put option on the equity investment as part of the RIF Transaction, the unpaid principal and accrued interest as of that date must be paid by the Company. UniCredit Loan In November 2020, the Company entered into a loan agreement with UniCredit. Borrowings under the loan totaled €4.9 million (approximately $5.2 million at December 31, 2022), net of transaction costs and discounts of €0.1 million (approximately $0.1 million at December 31, 2022), and the loan bears interest at 2.12% per annum. The Company is required to make payments of principal and accrued interest on a semiannual basis starting December 10, 2021 until the loan matures on December 10, 2027. 2021 Bridge Financing In December 2021, the Company issued convertible promissory notes to related parties in the principal amount of $27.0 million (see Note 20). At December 31, 2021, the outstanding balance under the 2021 convertible promissory notes was $27.1 million, recorded at fair value in the accompanying consolidated balance sheet. On January 19, 2022 the Company settled the convertible promissory notes in cash for principal plus accrued interest in the aggregate amount of $27.3 million. During the years ended December 31, 2022 and 2021, the Company recognized a fair value adjustment of $0.2 million and $0.1 million, respectively, relating to the 2021 convertible promissory notes on the accompanying consolidated statements of operations. 2022 Promissory Notes In the third quarter of 2022, the Company issued three term promissory notes in the aggregate principal amount of $25.0 million to existing investor CMS, and existing investors and related parties PureTech Health LLC and SSD2 LLC, for an aggregate cash proceeds of $25.0 million. Each of the 2022 promissory notes is unsecured and bears interest at a rate of 15% per annum. Each promissory note matures on the earlier of (a) December 31, 2023 or (b) five (5) business days following a qualified financing. Upon a payment default under any promissory note that has not been cured after five days (i) the Company will be required to issue certain warrants to the holders as defined by the promissory note agreements and (ii) the holders will have the option to convert outstanding principal and accrued interest into a number of shares of Gelesis common stock as defined by the promissory note agreements.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245"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F-28 At December 31, 2022, the aggregate outstanding balance of the 2022 promissory notes was $27.4 million recorded at fair value in the accompanying consolidated balance sheet. During the year ended December 31, 2022, the Company recognized a fair market adjustment of $2.4 million relating to the 2022 promissory notes. The Company applied the provisions of ASC 815-15, Embedded Derivatives, elected to account for the 2022 promissory notes at fair value, and to not bifurcate the embedded derivative. The fair value of the promissory notes is determined using a multiple scenario- based valuation method. The fair value of the hybrid instrument was determined by calculating the value of the instrument in each scenario “with” the respective conversion feature and “without”. The significant inputs used in estimating the fair value of the convertible promissory notes include the estimated discount rate, expected term, and the outcome probability with respect to each scenario. The following assumptions were used to determine the fair value of the 2022 promissory notes at December 31, 2022: Expected term 1 year Weighted average discount rate 26.0 % Probability of repayment after qualified financing 50.0 % Probability of holder electing conversion option 50.0 % Interest Rate Swap Contract on Intesa Sanpaolo Loan 1 In November 2019, the Company entered into an interest rate swap (“IRS”) contract with Intesa Sanpaolo S.p.A. concurrently with the execution of the Intesa Sanpaolo loan 1 agreement. The IRS contract covered the same period as the underlying Intesa Sanpaolo loan 1 and expires on October 31, 2029. Fair value of the interest rate swap contract is determined based on quoted price in markets that are not active for which significant inputs are observable either directly or indirectly and thus represents a level 2 measurement. The Company reported a fair value of $0.8 million for the IRS contract included other assets at December 31, 2022, and $0.1 million included in other long-term liabilities at December 31, 2021 in the accompanying consolidated balance sheets. Net gain attributable to the change in fair value of the IRS contract was $0.9 million for the year ended December 31, 2022. Net loss attributable to the change in fair value of the IRS contract was $0.1 million for the year ended December 31, 2021. Future maturities with respect to non-convertible debt obligations outstanding at December 31, 2022 are as follows (in thousands): At December 31, 2022 2023 8,101 2024 5,445 2025 3,962 2026 3,983 2027 3,964 More than 5 years 8,186 Total maturities $ 33,642 13. Warrant Liabilities The following represents a summary of the warrant liabilities activity during the years ended December 31, 2022 and 2021 (in thousands): Legacy Gelesis Warrants Private Placement Warrants Total Balance at December 31, 2020 $ 12,099 $ — $ 12,099 Exercise of warrants (3,924 ) — (3,924 ) Change in fair value 7,646 — 7,646 Balance at December 31, 2021 $ 15,821 $ — $ 15,821 Assumed upon Business Combination — 8,140 8,140 Changes in fair value 926 (8,010 ) (7,084 ) Conversion and exchange upon Business Combination (16,747 ) — (16,747 ) Balance at December 31, 2022 $ — $ 130 $ 130 Legacy Gelesis Redeemable Preferred Stock Warrants The Legacy Gelesis warrants were evaluated under ASC 480 – Distinguishing Liabilities from Equity and it was determined that they met the requirements for separate accounting as freestanding financial instruments and should be classified as liabilities, as they relate to an obligation to issue shares that are potentially redeemable. The related liability is remeasured at each reporting date up to the exercise or expiration with increases or decreases in fair value being recorded in the consolidated statements of operations.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246"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F-29 In connection with the Business Combination, Legacy Gelesis redeemable preferred stock warrants were reclassified from liability treatment to equity treatment pursuant to the terms of their exchange to New Gelesis warrants (see Note 15). The following assumptions were used to determine the fair value of the warrant liability at December 31, 2021: Expected term 0.1 years Expected volatility 48.0 % Expected dividend yield 0.0 % Risk free interest rate 0.6 % Estimated fair value of the redeemable convertible preferred stock $ 22.36 Exercise price of warrants $ 0.04 Private Placement Warrants At December 31, 2022, there were 7,520,000 Private Placement Warrants outstanding exercisable at $11.50 per share for common stock at the same terms as the Public Warrants. However, the warrants will not be redeemable by the Company for cash so long as they are held by the initial stockholders or their permitted transferees. The initial purchasers of the Private Placement Warrants, or their permitted transferees, also have the option to exercise the Private Placement Warrants on a cashless basis. If Private Placement Warrants are held by holders other than the initial purchasers thereof or their permitted transferees, the Private Placement Warrants will be redeemable by the Company and exercisable by the holders on the same basis as the Public Warrants. The warrants were initially recorded at fair value with subsequent changes in fair value being recorded in the accompanying consolidated statements of operations. The warrants at issuance and at December 31, 2022, were valued utilizing a modified Monte Carlo Simulation value model and significant unobservable Level 3 inputs. The following weighted-average assumptions were used to determine the fair value of the Private Placement Warrant liability at December 31, 2022: Private Placement Warrants Expected term 4.0 years Expected volatility 86.0 % Expected dividend yield 0.0 % Risk free interest rate 4.0 % Price of Gelesis Common Stock $ 0.29 Exercise price of warrants $ 11.50 14. Earnout Liability The following represents a summary of the earnout liability activity during the year ended December 31, 2022 (in thousands): Earnout Liability Balance at December 31, 2021 $ — Recognized upon Business Combination 58,871 Changes in fair value (58,308 ) Balance at December 31, 2022 $ 563 At Business Combination close and at December 31, 2022, there were 18,758,241 earnout shares underlying the liability, which were unissued and unvested. At December 31, 2022, none of the triggering events had been met. The earnout liability was initially recorded at fair value with subsequent changes in fair value being recorded in the accompanying consolidated statements of operations. The earnout liability at issuance and at December 31, 2022, were valued utilizing a Monte Carlo Simulation and significant unobservable Level 3 inputs. The following weighted-average assumptions were used to determine the fair value of the earnout liability at December 31, 2022: Earnout Liability Expected term 4.0 years Expected volatility 86.0 % Expected dividend yield 0.0 % Risk free interest rate 4.0 % Price of Gelesis Common Stock $ 0.29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247"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F-30 15. Stockholders' Equity (Deficit) Common Stock The Company’s authorized capital stock consists of (a) 900,000,000 shares of common stock, par value $0.0001 per share; and (b) 250,000,000 shares of preferred stock, par value $0.0001 per share. At December 31, 2022, there were 73,325,022 shares of common stock issued and outstanding. Common Stock Purchase Agreement On August 11, 2022, the Company entered into a Common Stock Purchase Agreement and a Registration Rights Agreement (the “Purchase Agreement”) with B. Riley Principal Capital II, LLC (“B. Riley”). Pursuant to the agreement, the Company will have the right, but not the obligation, to sell to B. Riley up to the lesser of (i) $50,000,000 of newly issued shares of common stock, and (ii) 14,506,475 shares of common stock (which is the number of shares equal to approximately 19.99% of the aggregate number of shares of the Company's common stock issued and outstanding immediately prior to the execution of the agreement) at 97% of the volume weighted average price (“VWAP”) of the Company's common stock calculated in accordance with the Purchase Agreement, from time to time during the 24-month term commencing from the effectiveness date of the corresponding Form S-1 registration statement on September 6th, 2022. Sales and timing of any sales of Class A common stock are solely at the election of the Company, and the Company is under no obligation to sell any securities to B. Riley under the Purchase Agreement. As consideration for B. Riley’s commitment to purchase shares of the Company’s common stock, the Company issued 355,361 shares of its common stock as commitment shares. The Company incurred an aggregate cost of approximately $1.2 million in connection with the Purchase Agreement, including $0.5 million for the fair value of the 355,361 commitment shares issued to B. Riley. The Company recorded $1.2 million legal and professional costs in the accompanying consolidated statement of operations during the year ended December 31, 2022, and recorded $0.5 million of additional paid-in capital in the accompanying consolidated balance sheets as of December 31, 2022 with respect to the fair value of the 355,361 common stock commitment shares issued to B. Riley. The Company issued a total of 34,246 shares of its common stock and raised less than $0.1 million gross proceeds under the Purchase Agreement for the year ended December 31, 2022. Legacy Redeemable Convertible Preferred Stock At December 31, 2021 and immediately prior to the Business Combination, Legacy Gelesis had outstanding redeemable convertible preferred stock which are collectively referred to as “redeemable convertible preferred stock.” Immediately prior to the closing of the Business Combination, Legacy Gelesis redeemable convertible preferred stock converted into Legacy Gelesis common stock and was subsequently split according to the exchange ratio of 2.59. Upon closing of the Business Combination, holders received shares of common stock of the Company on a one-to-one basis. Public Warrants In connection with the Business Combination the Company assumed 13,800,000 Public Warrants, which entitle the holder to acquire common stock, which are exercisable at an exercise price of $11.50 per share. The Public Warrants will expire at on the earlier to occur of five years after the completion of the Business Combination or redemption. Once the Public Warrants become exercisable, the Company may call the Public Warrants for redemption for cash: • in whole and not in part; • at a price of $0.01 per warrant; • upon not less than thirty (30) days’ prior written notice of redemption (the “30-day redemption period”) to each warrant holder; and • if, and only if, the closing price of the Common Stock equals or exceeds $18.00 per share (as adjusted for stock splits, stock capitalizations, reorganizations, recapitalizations and the like) for any twenty(20) trading days within a thirty (30)- trading day period ending three (3) business days before the Company sends the notice of redemption to the warrant holders. If the Company calls the Public Warrants for redemption, the Company will have the option to require all holders that wish to exercise the Public Warrants to do so on a cashless basis, as described in the warrant agreement. Additionally, in no event will the Company be required to net cash settle. At December 31, 2022, there were 13,800,000 Public Warrants outstanding. Rollover Warrants Immediately prior to the closing of the Business Combination, Legacy Gelesis redeemable preferred stock warrants were converted into Legacy Gelesis common warrants and were subsequently split according to the exchange ratio of 2.59. Upon closing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248"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F-31 Business Combination, holders received rollover common stock warrants of the Company on a one-to-one basis. At close of the Business Combination and December 31, 2022, there were 1,836,429 and 1,660,303 rollover warrants outstanding, respectively, with an exercise price of $0.02. During the year ended December 31, 2022, 176,126 rollover warrants were exercised for proceeds of less than $0.1 million. Immediately prior to the closing of the Business Combination, existing Legacy Gelesis common warrants were also split according to the exchange ratio of 2.59. Upon closing of the Business Combination, holders received warrants to purchase shares of common stock of the Company on a one-to-one basis. At close of the Business Combination and at December 31, 2022, respectively, there were 1,353,062 of these warrants outstanding with an exercise price of $4.26. The Company's common stock reserved for future issuances are summarized as follows: December 31, 2022 2021 Common stock issued upon option exercise and RSUs vesting 16,881,549 13,486,708 Conversion of all classes of redeemable convertible preferred stock — 48,566,655 Issuances upon exercise of Legacy Gelesis warrants — 1,836,429 Issuances upon exercise of common stock warrants 24,733,365 1,353,062 Earnout shares 23,482,845 — Total common stock reserved for future issuance 65,097,759 65,242,854 16. Stock-Based Compensation 2021 Stock Option Plan In January 2022, the Company's Board of Directors approved the 2021 Stock Option and Incentive Plan (the “2021 Plan”), which supersedes the 2016 Stock Option and Grant Plan and the 2006 Stock Incentive Plan and provides for the grant of incentive stock options, nonqualified stock options, restricted stock awards and restricted stock units to employees, directors, and nonemployees of the Company. The 2021 Plan was authorized initially to issue 9,583,570 shares, plus on January 1, 2023 and each January 1 thereafter, the number of shares of Common Stock reserved and available for issuance under the Plan shall be cumulatively increased by 4 percent of the number of shares of Common Stock issued and outstanding on the immediately preceding December 31. Under the 2021 Plan, 3,977,252 shares remained available for issuance at December 31, 2022. Options and restricted stock awards generally vest based on the grantee’s continued service with the Company during a specified period following a grant as determined by the Board of Directors and expire ten years from the grant date. In general, awards typically vest in three to four years, but vesting conditions can vary based on the discretion of the Company’s Board of Directors. The fair value of the options is estimated at the grant date using Black-Scholes and recognized over the vesting period, taking into account the terms and conditions upon which options are granted. The fair value of restricted stock awards is the fair value at the date of grant reduced by the exercise price of the award, if any. The fair value of both options and restricted stock awards are amortized on a straight-line basis over the requisite service period of the awards. Stock-based compensation expense is summarized for employees and nonemployees, by category in the accompanying consolidated statements of operations as follows (in thousands): Years Ended December 31, 2022 2021 Research and development $ 9,698 $ 1,565 Selling, general and administrative 20,079 3,967 Total $ 29,777 $ 5,532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249"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F-32 Stock Option Activity The following table summarizes the Company’s stock option activity during the year ended December 31, 2022: Number of Options Weighted- Average Exercise Price per Share Weighted- Average Remaining Contractual Term (Years) Aggregate Intrinsic Value (in thousands) Outstanding at December 31, 2021 4,889,820 $ 10.39 6.17 $ 54,449 Retroactive application of reverse recapitalization 7,784,666 (6.38 ) Adjusted and Outstanding at December 31, 2021 12,674,486 $ 4.01 6.17 $ 54,449 Granted 2,658,185 $ 3.35 Exercised (207,033 ) $ 0.58 Forfeited - unvested (972,349 ) $ 4.64 Forfeited - vested (63,718 ) $ 4.31 Expired (1,291,092 ) $ 3.13 Outstanding at December 31, 2022 12,798,479 $ 3.97 5.80 $ 25 Exercisable at December 31, 2022 9,664,164 $ 3.92 4.84 $ 25 Vested and Expected to Vest at December 31, 2022 12,798,479 $ 3.97 5.80 $ 25 The aggregate intrinsic value of stock options is calculated as the difference between the exercise price of the stock options and the fair value of the common stock. The total fair value of options vested during the year ended December 31, 2022 was $4.8 million. The fair value of each option issued was estimated at the date of grant using Black-Scholes with the following weighted-average assumptions: Years Ended December 31, 2022 2021 Market price of common stock $ 3.35 $ 20.02 Expected volatility 72.4 % 60.1 % Expected term (in years) 6.1 5.8 Risk-free interest rate 1.7 % 1.1 % Expected dividend yield 0.0 % 0.0 % The weighted-average grant date fair value of stock options granted during the years ended December 31, 2022 and 2021 were $2.17 and $11.25 per share, respectively. At December 31, 2022 and December 31, 2021, there was $6.6 million and $8.7 million, respectively, of unrecognized compensation cost related to unvested stock option grants under the 2021 Plan, which was expected to be recognized over a weighted-average period of 2.1 and 1.7 years, respectively. Restricted Stock Unit (“RSU”) Activity During the year ended December 31, 2022, the Company issued 4,555,197 RSUs at a weighted-average fair value of $3.46 per unit. The following table summarizes the Company’s RSU activity during the year ended December 31, 2022: Number of RSUs Weighted- Average Grant Date Fair Value Outstanding and Unvested at December 31, 2021 313,354 $ 21.41 Retroactive application of reverse recapitalization 498,868 $ (13.15 ) Adjusted and Outstanding and Unvested at December 31, 2021 812,222 $ 8.26 Granted 4,555,197 $ 3.46 Vested (337,969 ) $ 4.81 Forfeited (946,380 ) $ 3.44 Outstanding and Unvested at December 31, 2022 4,083,070 $ 4.31 Each RSU entitles the holder to one share of common stock on vesting and the RSU awards are based on a cliff vesting schedule over requisite service periods in which the Company recognizes compensation expense for the RSUs. Vesting of the RSUs is subject to the satisfaction of certain service and or certain performance conditions. The Company recognizes the estimated grant date fair value of these awards as stock-based compensation expense over the service and/or performance periods based upon its determination of whether it is probable that the service and or performance conditions will be achieved. The Company assesses the probability of achieving the service and or performance conditions at each reporting period. Cumulative adjustments, if any, are recorded to reflect subsequent changes in the estimated or actual outcome of service and or performance-related conditions.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250"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F-33 At December 31, 2022 and December 31, 2021, unrecognized compensation cost for RSU awards granted totaled $7.9 million and $6.7 million, respectively, which was expected to be recognized over a weighted-average period of 3.1 and 0.9 years, respectively. 17. Income Taxes Consolidated (loss) income before income taxes on a geographic basis during the years ended December 31, 2022 and 2021 are as follows (in thousands): Years Ended December 31, 2022 2021 United States $ (63,850 ) $ (86,693 ) Non-U.S. 8,550 (6,637 ) Total $ (55,300 ) $ (93,330 ) The provision for income taxes consists of the following components during the years ended December 31, 2022 and 2021 (in thousands): Years Ended December 31, 2022 2021 Current tax expense: U.S. federal $ — $ — Foreign 480 17 Total current tax expense 480 17 Deferred tax expense: U.S. federal — — State — — Foreign — — Total deferred tax expense — — Total provision for income taxes $ 480 $ 17 A reconciliation setting forth the differences between the effective tax rates of the Company for the years ended December 31, 2022 and 2021 and the U.S. federal statutory tax rate is as follows: Years Ended December 31, 2022 2021 U.S. Federal income tax provision expense at statutory rate 21.0 % 21.0 % Effect of nondeductible stock-based compensation (0.8 )% 0.8 % Foreign rate differential (1.2 )% 0.2 % Mark to market of warrant liabilities 24.0 % (1.7 )% State taxes net of federal benefit 10.7 % 4.3 % Non-deductible financing expenses 0.4 % (0.3 )% Valuation allowance (53.6 )% (24.2 )% Investment transfer — — Other differences 0.9 % (0.4 )% US federal and state research credits 0.6 % 0.4 % Uncertain tax positions (0.1 )% (0.1 )% Foreign earnings includible in US — — Transaction Costs (0.9 )% — GILTI (1.9 )% — Effective income tax rate (0.9 )% 0.0 %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251"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F-34 Significant components of the Company’s consolidated deferred tax assets and liabilities at December 31, 2022 and 2021 are as follows at (in thousands): At December 31, 2022 2021 Deferred tax assets: Federal net operating loss carryforwards $ 54,005 $ 40,469 State net operating loss carryforwards 13,705 10,643 Equity compensation 12,331 5,620 Accruals and reserves 16 - Uncollected grants 993 998 Investment in subsidiaries 3,766 3,820 Research credits 1,823 1,578 Other assets 1,549 152 Deferred income — 239 Interest — 257 Lease liabilities 411 547 Inventory reserve 3,430 — Section 174 adjustment 3,572 — Total deferred tax assets 95,601 64,323 Valuation allowance (91,842 ) (59,841 ) Total deferred tax assets net of valuation allowance 3,759 4,482 Deferred tax liabilities: Intangible assets and amortization (3,332 ) (3,932 ) Right-of-use asset (400 ) (536 ) Other liabilities (27 ) (14 ) Total deferred tax liabilities (3,759 ) (4,482 ) Net deferred tax assets $ — $ — Deferred income taxes reflect the net tax effect of temporary differences between the carrying amount of assets and liabilities for financial reporting purposes and the amount used for income tax purposes. At December 31, 2022 and 2021, the Company has federal net operating loss carryforwards totaling $254.7 million and $184.6 million, respectively, of which $63.5 million expire in 2027 through 2037 and $191.2 million do not expire as of December 31, 2022. At December 31, 2022 and 2021, the Company has state net operating loss carryforwards totaling $221.2 million and $168.4 million, respectively, which expire in 2030 through 2041, as well as other temporary differences and attributes that will be available to offset regular taxable income during the carryforward period. At December 31, 2022, the Company has foreign net operating loss carryforwards of $2.2 million which do not expire. The Company files income tax returns in Italy, the United States and in various state jurisdictions with varying statutes of limitations. Due to net operating losses incurred, the Company’s tax returns from inception to date are subject to examination by taxing authorities. The Company has evaluated the positive and negative evidence bearing upon the realizability of its net deferred tax assets and determined that it is not more likely than not that the Company will recognize the benefits of the net deferred tax assets. Therefore, a full valuation allowance has been recorded against the balance of net deferred tax assets in the United States. Additionally, the Company has determined that it is not more likely than not that the Company will recognize the benefits of the net deferred tax assets in Italy, primarily due to uncertainty regarding continued funding of the operations of Italy and from the restructuring of the intercompany services agreement between Gelesis, Inc., and Gelesis S.r.l., in connection with the RIF financing (see Note 11). As a result, the Company maintained a full valuation allowance against the balance of net deferred tax assets in Italy as of December 31, 2022 and December 31, 2021, respectively. The Company will continue to evaluate all positive and negative evidence each period. The change in the valuation allowance during the years ended December 31, 2022 and 2021 was an increase of $32.2 million and $22.4 million, respectively. The increase in the valuation allowance during the years ended December 31, 2022 and December 31, 2021, respectively, was primarily due to the increase in net operating losses generated by the U.S. and foreign operations, net. The Company generally considers all earnings generated in Italy to be indefinitely reinvested. Therefore, the Company does not accrue U.S. taxes on the repatriation of the foreign earnings it considers to be indefinitely reinvested outside of the U.S. At December 31, 2022, the Company had not provided for federal income tax on $0.8 million of accumulated undistributed deficit of its foreign subsidiaries. In the event the Company were to repatriate the foreign earnings, the Company does not estimate the repatriation being subject to taxation.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252"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F-35 The Company follows the provisions of ASC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At December 31, 2022 and 2021, the Company has not recorded any liability for uncertain tax positions which relate primarily to certain federal and state research tax credits. The Company presents the uncertain tax positions as a reduction to the gross deferred tax assets with respect to research credits. The Company’s policy is to recognize interest and penalties accrued on any uncertain tax positions as a component of income tax expense, if any, in its consolidated statements of operations. For the years ended December 31, 2022 and 2021, no estimated interest or penalties were recognized on uncertain tax positions. The Company does not expect that the amounts of uncertain tax positions will change significantly within the next twelve months. A reconciliation of the beginning and ending amount of uncertain tax positions is as follows (in thousands): Years Ended December 31, 2022 2021 Unrecognized tax benefits at the beginning of year $ (352 ) $ (281 ) Increase for current year positions (65 ) (71 ) Increase for prior year positions — — Expiration of statute of limitations — — Unrecognized tax benefits at the end of year (417 ) (352 ) Gross research credit tax assets 2,240 1,930 Net research credit tax assets $ 1,823 $ 1,578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6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253"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F-36 18. Earnings (Loss) per Share The weighted-average common shares outstanding and thus the net loss per share calculations and potentially dilutive security amounts for all periods prior to the Business Combination have been retrospectively adjusted to the equivalent number of shares outstanding immediately after the Business Combination to effect the reverse recapitalization. Historically reported weighted average shares outstanding have been multiplied by the exchange ratio of approximately 2.59. See Note 3 for further information. Basic and diluted loss per share attributable to common stockholders was calculated as follows (in thousands, except share and per share data): Years Ended December 31, 2022 2021 Numerator: Net loss $ (55,780 ) $ (93,347 ) Accretion of redeemable convertible preferred stock to redemption value (37,934 ) (94,134 ) Accretion of noncontrolling interest put option to redemption value (253 ) (376 ) Income allocated to noncontrolling interest holder (1,095 ) — Net loss attributable to common stockholders $ (95,062 ) $ (187,857 ) Denominator: Weighted average common shares outstanding, basic and diluted 70,300,772 5,712,042 Net loss per share, basic and diluted $ (1.35 ) $ (32.89 ) The Company’s potential dilutive securities, which include stock options, RSUs, warrants and earnout shares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for all periods presented. The Company excluded the following potential common stock, presented based on amounts outstanding at December 31, 2022 and 2021 from the computation of diluted net loss per share attributable to common stockholders because including them would have had an anti-dilutive effect. December 31, 2022 2021 Convertible preferred stock — 48,566,655 Warrants on convertible preferred stock — 1,836,429 Options and RSUs to acquire common stock 16,881,549 13,555,474 Warrants on common stock 24,733,365 1,353,062 Earnout shares — — Total 41,614,914 65,311,620 Total potentially dilutive common share equivalents for the year ended December 31, 2022, excludes 23,482,845 shares related to the earnout liability as these shares are contingently issuable upon meeting certain triggering events. 19. Commitments and Contingencies Operating Leases In June 2019, the Company entered into an operating lease agreement with PureTech Health LLC, or PureTech, for office space located in Boston, Massachusetts. The lease expires in August 2025, with total lease payments of $3.2 million over the term. The remaining noncancelable term of the Company’s operating leases was 2.6 years at December 31, 2022, and the weighted average discount rate was 5.3%. The following table summarizes the Company’s operating lease activity (in thousands): Years Ended December 31, 2022 2021 Lease liabilities, current 597 541 Lease liabilities, net of current portion 967 1,519 Total operating lease liabilities $ 1,564 2,060 Operating lease rental expense $ 656 $ 434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254"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F-37 Future maturities of the lease liability under the Company’s noncancelable operating leases at December 31, 2022 are as follows (in thousands): At December 31, 2022 2023 669 2024 579 2025 388 2026 34 2027 16 More than 5 years - Total undiscounted lease maturities $ 1,686 Imputed interest (122 ) Total lease liability $ 1,564 Royalty Agreements Expenses from royalty agreements on net product sales and sublicense income is recognized as a cost of goods sold in the accompanying consolidated statements of operations during the period in which the associated revenues are recognized. PureTech In December 2009, the Company entered into a royalty and sublicense income agreement with PureTech, a significant stockholder in the Company, whereby the Company is required to pay PureTech a 2.0% royalty on net product sales received as a result of developing products and technology using the intellectual property purchased from One. One S.r.l Under the amended and restated master agreement with One, the Company is required to pay a 2.0% royalty on net product sales and an aggregate of €17.5 million (approximately $18.7 million at December 31, 2022) upon the achievement of certain commercial milestones of new medical indications as well as Plenity and pay royalties on net product sales and/or a percentage of sublicense income. At December 31, 2022, none of the milestones have been met. Grant Agreements The Company has been awarded grants from governmental agencies, which are recognized as income as the qualifying expenses are incurred (see Note 11). The grant agreements contain certain provisions, including, among others, maintaining a physical presence in the region for defined periods. Failure to comply with these covenants would require either a full or partial refund of the grant to the granting authority. Research and Development Tax Credits The Company’s subsidiary, Gelesis S.r.l., which conducts core manufacturing and research and development activities on behalf of the Company, is eligible to receive a non-income based and non-refundable tax credits for qualified research and development activities. The Company has earned research and development tax credits in Italy for qualifying expenses incurred by performing certain research and development activities. In December 2018, the Italian government passed a new budget law, effective January 1, 2019, that amended the eligibility criteria for recognizing qualifying research and development tax credits (“2019 Budget Law”). The 2019 Budget Law requires retroactive application for research and development tax credits earned during the year ended December 31, 2019. Under the 2019 Budget Law, research and development tax credits claimed in prior periods under previous interpretations of the research and development tax credit law may potentially be repaid by the Company. The Company evaluated the potential loss under ASC 450, Contingencies. The Company concluded that the likelihood of a potential loss arising from this matter is probable. The Company has recorded $0.0 million and $3.0 million as a component of other long-term liabilities in the accompanying consolidated balance sheets at December 31, 2022 and December 31, 2021, respectively. In October 2021, the Italian federal tax authority initiated an audit of the research and development tax credits for the calendar years 2017 through 2019. The Company concluded the audit with the Italian tax authorities by the end of 2022 which did not result in any material impact on the accompanying consolidated statement of operations.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255"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F-38 Litigation In connection with the Business Combination, the Company received a litigation demand letter from certain purported stockholders alleging that the Company was required to provide holders of Class A Common Stock a separate class vote in connection with proposed amendments of the Company's Amended and Restated Certificate of Incorporation to increase the number of authorized shares, such that separate votes can be cast on the proposed increase in the number of shares of Class A common stock and the proposed increase in the number of shares of preferred stock. During the year ended December 31, 2022, the Company reached an agreement to resolve the claim and settled for an immaterial cash payment. 20. Related Party Transactions The Company had the following transactions with related parties: PureTech In June 2019, PureTech executed a sublease agreement with the Company (see Note 19). With respect to the sublease, the Company incurred lease expense of $0.5 million and $0.5 million during the years ended December 31, 2022 and 2021, respectively, recorded in general and administrative expenses in the accompanying consolidated statements of operations. The Company incurred royalty expense of $0.5 million and $0.2 million in connection with the PureTech royalty agreement (see Note 19) during the years ended December 31, 2022 and 2021, respectively, recorded in cost of goods sold in the accompanying consolidated statements of operations. The Company had an accounts payable balance to PureTech of $0.1 million and $0.1 million at December 31, 2022 and December 31, 2021, respectively, in the accompanying consolidated balance sheets. On December 13, 2021, the Company issued a convertible promissory note to PureTech in the principal amount of $15.0 million (see Note 12). At December 31, 2021, the outstanding balance was $15.1 million, recorded at fair value in the accompanying consolidated balance sheets. On January 19, 2022 the Company settled the convertible promissory notes in cash for principal plus accrued interest in the aggregate amount of $15.2 million. During the years ended December 31, 2022 and 2021, the Company recognized a loss of $0.1 million with respect to the change in fair value of the PureTech 2021 convertible promissory notes on the accompanying consolidated statements of operations. On July 25, 2022, the Company issued a promissory note to PureTech in the principal amount of $15.0 million (see Note 12). At December 31, 2022, the outstanding balance of the promissory note was $16.6 million recorded at fair value in the accompanying consolidated balance sheets. During the year ended December 31, 2022, the Company recognized a loss of $1.6 million with respect to the change in the fair value of the promissory notes. SSD2 On December 13, 2021, the Company issued a convertible promissory note to SSD2 in the principal amount of $12.0 million (see Note 12). At December 31, 2021, the outstanding balance was $12.1 million, recorded at fair value in the accompanying consolidated balance sheets. On January 19, 2022 the Company settled the convertible promissory notes in cash for principal plus accrued interest in the aggregate amount of $12.1 million. During the years ended December 31, 2022 and 2021, the Company recognized a loss of $0.1 million and less than $0.1 million, respectively, with respect to the change in fair value of the SSD2 2021 convertible promissory notes on the accompanying consolidated statements of operations. On July 25, 2022, the Company issued a promissory note to SSD2 in the principal amount of $5.0 million (see Note 12). At December 31, 2022, the outstanding balance of the promissory note was $5.5 million recorded at fair value in the accompanying consolidated balance sheets. During the year ended December 31, 2022, the Company recognized a loss of $0.5 million with respect to the change in the fair value of the promissory notes. One S.r.l Consulting Agreement with Founder of One The Company and one of the founders of One, who is also a stockholder of the Company, entered into a consulting agreement for the development of the Company's science and technology. The Company incurred costs for consulting services received from the founder of One totaling $0.2 million and $0.3 million during the years ended December 31, 2022 and 2021, respectively, recorded in research and development expense in the accompanying consolidated statements of operations. The Company recorded an accounts payable balance to the founder of less than $0.1 million at both December 31, 2022 and December 31, 2021, respectively, in the accompanying consolidated balance sheets.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256"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F-39 Acquisition of One In connection with the amended and restated master agreement with One (see Note 11), the Company acquired a 10.0% equity interest in One in exchange for cash consideration. During the year ended December 31, 2022 the Company made a payment of $2.9 million to One shareholders with respect to the acquisition. The Company had remaining undiscounted payments of €2.5 million and €5.0 million due to One at December 31, 2022 and December 31, 2021, respectively (approximately $2.7 million and $5.7 million due to One at December 31, 2022 and December 31, 2021, respectively). The balance at December 31, 2021and December 31, 2022 was recorded in accrued expenses in the accompanying consolidated balance sheets as it is expected to be settled within the next twelve months. Additionally, the Company incurred royalty expense of $0.5 million and $0.2 million with One (see Note 19) during the years ended December 31, 2022 and 2021, respectively, recorded in cost of goods sold in the accompanying consolidated statements of operations. The Company had an accrued expense balance of $2.7 million and $6.7 million at December 31, 2022 and December 31, 2021, respectively, relating to the One acquisition payment obligations and accrued royalties in the accompanying consolidated balance sheets. RIF Transaction In connection with the RIF transaction entered into in August 2020, the Company received $12.3 million from RIF as an equity investment that can be called by the Company beginning in December 2023 and ending in December 2026 by paying the investment plus 15.0% percent annual interest or put by RIF starting in January 2027 and ending in December 2027 for the investment amount plus 3.175% percent annual interest. RIF holds approximately 20% of the equity of Gelesis S.r.l. at December 31, 2022 (see Note 11). In addition, the shareholders of RIF provided the Company with a loan of €14.5 million ($15.5 million at December 31, 2022) with a fixed interest rate of 6.35% per annum (see Note 12). 21. Employee Benefit Plan The Company has a 401(k) retirement plan in which substantially all U.S. employees are eligible to participate. Eligible employees may elect to contribute up to the maximum limits, as set by the Internal Revenue Service, of their eligible compensation. The Company made discretionary plan contributions of $0.2 million and $0.2 million during the years ended December 31, 2022 and 2021, respectively.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67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257"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F-40 22. Subsequent Events The Company has evaluated subsequent events which may require adjustment to or disclosure in the consolidated financial statements through the date of issuance of these consolidated financial statements. In November 2022, the Company received letters from the NYSE indicating that the Company was not in compliance with its continued listing standards of (1) average closing price of a security of not less than $1.00 over a consecutive 30 trading-day period and (2) average market capitalization of not less than $50 million over a 30 trading-day period and stockholders’ equity of not less than $50 million. The Company is closely monitoring the closing share price of its common stock and intends to regain compliance. The Company has had correspondence with the NYSE regarding this matter, and its business plan to comply with the NYSE listing standards was accepted by the NYSE in February 2023. If the Company is unable to satisfy the NYSE listing requirements by their respective deadlines, the Company will be subject to the NYSE’s suspension and delisting procedures. Effective January 20, 2023, the Company’s Public Warrants, which were previously listed under the symbol “GLS WS”, were delisted from the NYSE due to “abnormally low” price levels. On February 21, 2023, the Company entered into a Note and Warrant Purchase Agreement with PureTech, pursuant to which the Company issued a short term convertible senior secured note in the aggregate principal amount of $5.0 million and warrants to purchase 23,688,047 shares of Common Stock. The warrants have an exercise price of $0.2744 and may not be exercised prior to the receipt of stockholder approval. The short term convertible senior secured note bears interest at a rate of 12% per annum, and matures on July 31, 2023, unless earlier converted or the maturity is extended as described within the definitive agreements. The Company may issue an additional $5.0 million to PureTech upon mutual acceptance of the Company meeting certain conditions. On March 18, 2023, NYSE notified the Company that they had considered the closing price of $0.11 of the Company’s Common Stock on March 17, 2023 to be close to an “abnormally low selling price” and that continued trading at such low price could result in immediate delisting of the Company’s Common Stock. On March 18, 2023, NYSE also indicated that there is a potential for the Company to fall below the $15 million 30-trading-day average market capitalization standard which could result in immediate delisting of the Company’s Common Stock.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7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258"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283"/>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venir LT Pro 45 Book">
    <w:altName w:val="sans-serif"/>
    <w:charset w:val="00"/>
    <w:family w:val="auto"/>
    <w:pitch w:val="default"/>
  </w:font>
  <w:font w:name="Avenir LT Pro 85 Heavy">
    <w:altName w:val="sans-serif"/>
    <w:charset w:val="00"/>
    <w:family w:val="auto"/>
    <w:pitch w:val="default"/>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2999/000119312520278627/d68105dex31.htm" TargetMode="External"/><Relationship Id="rId3" Type="http://schemas.openxmlformats.org/officeDocument/2006/relationships/hyperlink" Target="https://www.sec.gov/Archives/edgar/data/1782999/000162828021006938/ex21puretechhealthplc-de.htm" TargetMode="External"/><Relationship Id="rId4" Type="http://schemas.openxmlformats.org/officeDocument/2006/relationships/hyperlink" Target="https://www.sec.gov/Archives/edgar/data/1782999/000119312520278627/d68105dex101.htm" TargetMode="External"/><Relationship Id="rId5" Type="http://schemas.openxmlformats.org/officeDocument/2006/relationships/hyperlink" Target="https://www.sec.gov/Archives/edgar/data/1782999/000119312520278627/d68105dex102.htm" TargetMode="External"/><Relationship Id="rId6" Type="http://schemas.openxmlformats.org/officeDocument/2006/relationships/hyperlink" Target="https://www.sec.gov/Archives/edgar/data/1782999/000119312520278627/d68105dex103.htm" TargetMode="External"/><Relationship Id="rId7" Type="http://schemas.openxmlformats.org/officeDocument/2006/relationships/hyperlink" Target="https://www.sec.gov/Archives/edgar/data/1782999/000119312520278627/d68105dex104.htm" TargetMode="External"/><Relationship Id="rId8" Type="http://schemas.openxmlformats.org/officeDocument/2006/relationships/hyperlink" Target="https://www.sec.gov/Archives/edgar/data/1782999/000119312520278627/d68105dex105.htm" TargetMode="External"/><Relationship Id="rId9" Type="http://schemas.openxmlformats.org/officeDocument/2006/relationships/hyperlink" Target="https://www.sec.gov/Archives/edgar/data/1782999/000119312520278627/d68105dex106.htm" TargetMode="External"/><Relationship Id="rId10" Type="http://schemas.openxmlformats.org/officeDocument/2006/relationships/hyperlink" Target="https://www.sec.gov/Archives/edgar/data/1782999/000119312520278627/d68105dex107.htm" TargetMode="External"/><Relationship Id="rId11" Type="http://schemas.openxmlformats.org/officeDocument/2006/relationships/hyperlink" Target="https://www.sec.gov/Archives/edgar/data/1782999/000119312520278627/d68105dex108.htm" TargetMode="External"/><Relationship Id="rId12" Type="http://schemas.openxmlformats.org/officeDocument/2006/relationships/hyperlink" Target="https://www.sec.gov/Archives/edgar/data/1782999/000119312520278627/d68105dex109.htm" TargetMode="External"/><Relationship Id="rId13" Type="http://schemas.openxmlformats.org/officeDocument/2006/relationships/hyperlink" Target="https://www.sec.gov/Archives/edgar/data/1782999/000119312520278627/d68105dex1010.htm" TargetMode="External"/><Relationship Id="rId14" Type="http://schemas.openxmlformats.org/officeDocument/2006/relationships/hyperlink" Target="https://www.sec.gov/Archives/edgar/data/1782999/000119312520278627/d68105dex1012.htm" TargetMode="External"/><Relationship Id="rId15" Type="http://schemas.openxmlformats.org/officeDocument/2006/relationships/hyperlink" Target="https://www.sec.gov/Archives/edgar/data/1782999/000119312520278627/d68105dex1017.htm" TargetMode="External"/><Relationship Id="rId16" Type="http://schemas.openxmlformats.org/officeDocument/2006/relationships/hyperlink" Target="https://www.sec.gov/Archives/edgar/data/1782999/000119312520278627/d68105dex1018.htm" TargetMode="External"/><Relationship Id="rId17" Type="http://schemas.openxmlformats.org/officeDocument/2006/relationships/hyperlink" Target="https://www.sec.gov/Archives/edgar/data/1782999/000119312520278627/d68105dex1019.htm" TargetMode="External"/><Relationship Id="rId18" Type="http://schemas.openxmlformats.org/officeDocument/2006/relationships/hyperlink" Target="https://www.sec.gov/Archives/edgar/data/1782999/000119312520278627/d68105dex1021.htm" TargetMode="External"/><Relationship Id="rId19" Type="http://schemas.openxmlformats.org/officeDocument/2006/relationships/hyperlink" Target="https://www.sec.gov/Archives/edgar/data/1782999/000119312520278627/d68105dex1026.htm" TargetMode="External"/><Relationship Id="rId20" Type="http://schemas.openxmlformats.org/officeDocument/2006/relationships/hyperlink" Target="https://www.sec.gov/Archives/edgar/data/1782999/000119312520278627/d68105dex1027.htm" TargetMode="External"/><Relationship Id="rId21" Type="http://schemas.openxmlformats.org/officeDocument/2006/relationships/hyperlink" Target="https://www.sec.gov/Archives/edgar/data/1782999/000119312520278627/d68105dex1028.htm" TargetMode="External"/><Relationship Id="rId22" Type="http://schemas.openxmlformats.org/officeDocument/2006/relationships/hyperlink" Target="https://www.sec.gov/Archives/edgar/data/1782999/000119312520278627/d68105dex1029.htm" TargetMode="External"/><Relationship Id="rId23" Type="http://schemas.openxmlformats.org/officeDocument/2006/relationships/hyperlink" Target="https://www.sec.gov/Archives/edgar/data/1805087/000110465922006034/tm223870d1_ex10-2.htm" TargetMode="External"/><Relationship Id="rId24" Type="http://schemas.openxmlformats.org/officeDocument/2006/relationships/hyperlink" Target="https://www.sec.gov/Archives/edgar/data/1805087/000110465922000102/tm2136658d1_ex2-1.htm" TargetMode="External"/><Relationship Id="rId25" Type="http://schemas.openxmlformats.org/officeDocument/2006/relationships/hyperlink" Target="https://www.sec.gov/Archives/edgar/data/1805087/000110465922000102/tm2136658d1_ex10-1.htm" TargetMode="External"/><Relationship Id="rId26" Type="http://schemas.openxmlformats.org/officeDocument/2006/relationships/hyperlink" Target="https://www.sec.gov/Archives/edgar/data/1850266/000119312522019126/d238273dex21.htm" TargetMode="External"/><Relationship Id="rId27" Type="http://schemas.openxmlformats.org/officeDocument/2006/relationships/hyperlink" Target="https://www.sec.gov/Archives/edgar/data/1805087/000095017022013498/gls-ex10_1.htm" TargetMode="External"/><Relationship Id="rId28" Type="http://schemas.openxmlformats.org/officeDocument/2006/relationships/hyperlink" Target="https://www.sec.gov/Archives/edgar/data/1805087/000110465923024777/tm237686d1_ex10-1.htm" TargetMode="External"/><Relationship Id="rId29" Type="http://schemas.openxmlformats.org/officeDocument/2006/relationships/hyperlink" Target="https://www.sec.gov/Archives/edgar/data/1850266/000119312522227561/d379749dex106.htm" TargetMode="External"/><Relationship Id="rId30" Type="http://schemas.openxmlformats.org/officeDocument/2006/relationships/hyperlink" Target="https://www.sec.gov/Archives/edgar/data/1850266/000119312522227561/d379749dex107.htm" TargetMode="External"/><Relationship Id="rId31" Type="http://schemas.openxmlformats.org/officeDocument/2006/relationships/hyperlink" Target="https://www.sec.gov/Archives/edgar/data/1782999/000119312520278627/d68105dex211.htm" TargetMode="External"/><Relationship Id="rId32" Type="http://schemas.openxmlformats.org/officeDocument/2006/relationships/hyperlink" Target="https://www.sec.gov/Archives/edgar/data/1782999/000162828021006938/ex111puretechhealthcodeofb.htm" TargetMode="External"/><Relationship Id="rId33" Type="http://schemas.openxmlformats.org/officeDocument/2006/relationships/image" Target="media/image1.jpeg"/><Relationship Id="rId34" Type="http://schemas.openxmlformats.org/officeDocument/2006/relationships/image" Target="media/image2.jpeg"/><Relationship Id="rId35" Type="http://schemas.openxmlformats.org/officeDocument/2006/relationships/image" Target="media/image3.jpeg"/><Relationship Id="rId36" Type="http://schemas.openxmlformats.org/officeDocument/2006/relationships/image" Target="media/image4.jpeg"/><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image" Target="media/image9.jpeg"/><Relationship Id="rId42" Type="http://schemas.openxmlformats.org/officeDocument/2006/relationships/image" Target="media/image10.jpeg"/><Relationship Id="rId43" Type="http://schemas.openxmlformats.org/officeDocument/2006/relationships/image" Target="media/image11.jpeg"/><Relationship Id="rId44" Type="http://schemas.openxmlformats.org/officeDocument/2006/relationships/image" Target="media/image12.jpeg"/><Relationship Id="rId45" Type="http://schemas.openxmlformats.org/officeDocument/2006/relationships/image" Target="media/image13.jpeg"/><Relationship Id="rId46" Type="http://schemas.openxmlformats.org/officeDocument/2006/relationships/image" Target="media/image14.jpeg"/><Relationship Id="rId47" Type="http://schemas.openxmlformats.org/officeDocument/2006/relationships/image" Target="media/image15.jpeg"/><Relationship Id="rId48" Type="http://schemas.openxmlformats.org/officeDocument/2006/relationships/image" Target="media/image16.jpeg"/><Relationship Id="rId49" Type="http://schemas.openxmlformats.org/officeDocument/2006/relationships/image" Target="media/image17.jpeg"/><Relationship Id="rId50" Type="http://schemas.openxmlformats.org/officeDocument/2006/relationships/image" Target="media/image18.jpeg"/><Relationship Id="rId51" Type="http://schemas.openxmlformats.org/officeDocument/2006/relationships/image" Target="media/image19.jpeg"/><Relationship Id="rId52" Type="http://schemas.openxmlformats.org/officeDocument/2006/relationships/image" Target="media/image20.jpeg"/><Relationship Id="rId53" Type="http://schemas.openxmlformats.org/officeDocument/2006/relationships/image" Target="media/image21.jpeg"/><Relationship Id="rId54" Type="http://schemas.openxmlformats.org/officeDocument/2006/relationships/image" Target="media/image22.jpeg"/><Relationship Id="rId55" Type="http://schemas.openxmlformats.org/officeDocument/2006/relationships/image" Target="media/image23.jpeg"/><Relationship Id="rId56" Type="http://schemas.openxmlformats.org/officeDocument/2006/relationships/image" Target="media/image24.jpeg"/><Relationship Id="rId57" Type="http://schemas.openxmlformats.org/officeDocument/2006/relationships/image" Target="media/image25.jpeg"/><Relationship Id="rId58" Type="http://schemas.openxmlformats.org/officeDocument/2006/relationships/image" Target="media/image26.jpeg"/><Relationship Id="rId59" Type="http://schemas.openxmlformats.org/officeDocument/2006/relationships/image" Target="media/image27.jpeg"/><Relationship Id="rId60" Type="http://schemas.openxmlformats.org/officeDocument/2006/relationships/image" Target="media/image28.jpeg"/><Relationship Id="rId61" Type="http://schemas.openxmlformats.org/officeDocument/2006/relationships/image" Target="media/image29.jpeg"/><Relationship Id="rId62" Type="http://schemas.openxmlformats.org/officeDocument/2006/relationships/image" Target="media/image30.jpeg"/><Relationship Id="rId63" Type="http://schemas.openxmlformats.org/officeDocument/2006/relationships/image" Target="media/image31.jpeg"/><Relationship Id="rId64" Type="http://schemas.openxmlformats.org/officeDocument/2006/relationships/image" Target="media/image32.jpeg"/><Relationship Id="rId65" Type="http://schemas.openxmlformats.org/officeDocument/2006/relationships/image" Target="media/image33.jpeg"/><Relationship Id="rId66" Type="http://schemas.openxmlformats.org/officeDocument/2006/relationships/image" Target="media/image34.jpeg"/><Relationship Id="rId67" Type="http://schemas.openxmlformats.org/officeDocument/2006/relationships/image" Target="media/image35.jpeg"/><Relationship Id="rId68" Type="http://schemas.openxmlformats.org/officeDocument/2006/relationships/image" Target="media/image36.jpeg"/><Relationship Id="rId69" Type="http://schemas.openxmlformats.org/officeDocument/2006/relationships/image" Target="media/image37.jpeg"/><Relationship Id="rId70" Type="http://schemas.openxmlformats.org/officeDocument/2006/relationships/image" Target="media/image38.jpeg"/><Relationship Id="rId71" Type="http://schemas.openxmlformats.org/officeDocument/2006/relationships/image" Target="media/image39.jpeg"/><Relationship Id="rId72" Type="http://schemas.openxmlformats.org/officeDocument/2006/relationships/image" Target="media/image40.jpeg"/><Relationship Id="rId73" Type="http://schemas.openxmlformats.org/officeDocument/2006/relationships/image" Target="media/image41.jpeg"/><Relationship Id="rId74" Type="http://schemas.openxmlformats.org/officeDocument/2006/relationships/image" Target="media/image42.jpeg"/><Relationship Id="rId75" Type="http://schemas.openxmlformats.org/officeDocument/2006/relationships/image" Target="media/image43.jpeg"/><Relationship Id="rId76" Type="http://schemas.openxmlformats.org/officeDocument/2006/relationships/image" Target="media/image44.jpeg"/><Relationship Id="rId77" Type="http://schemas.openxmlformats.org/officeDocument/2006/relationships/image" Target="media/image45.jpeg"/><Relationship Id="rId78" Type="http://schemas.openxmlformats.org/officeDocument/2006/relationships/image" Target="media/image46.jpeg"/><Relationship Id="rId79" Type="http://schemas.openxmlformats.org/officeDocument/2006/relationships/image" Target="media/image47.jpeg"/><Relationship Id="rId80" Type="http://schemas.openxmlformats.org/officeDocument/2006/relationships/image" Target="media/image48.jpeg"/><Relationship Id="rId81" Type="http://schemas.openxmlformats.org/officeDocument/2006/relationships/image" Target="media/image49.jpeg"/><Relationship Id="rId82" Type="http://schemas.openxmlformats.org/officeDocument/2006/relationships/image" Target="media/image50.jpeg"/><Relationship Id="rId83" Type="http://schemas.openxmlformats.org/officeDocument/2006/relationships/image" Target="media/image51.jpeg"/><Relationship Id="rId84" Type="http://schemas.openxmlformats.org/officeDocument/2006/relationships/image" Target="media/image52.jpeg"/><Relationship Id="rId85" Type="http://schemas.openxmlformats.org/officeDocument/2006/relationships/image" Target="media/image53.jpeg"/><Relationship Id="rId86" Type="http://schemas.openxmlformats.org/officeDocument/2006/relationships/image" Target="media/image54.jpeg"/><Relationship Id="rId87" Type="http://schemas.openxmlformats.org/officeDocument/2006/relationships/image" Target="media/image55.jpeg"/><Relationship Id="rId88" Type="http://schemas.openxmlformats.org/officeDocument/2006/relationships/image" Target="media/image56.jpeg"/><Relationship Id="rId89" Type="http://schemas.openxmlformats.org/officeDocument/2006/relationships/image" Target="media/image57.jpeg"/><Relationship Id="rId90" Type="http://schemas.openxmlformats.org/officeDocument/2006/relationships/image" Target="media/image58.jpeg"/><Relationship Id="rId91" Type="http://schemas.openxmlformats.org/officeDocument/2006/relationships/image" Target="media/image59.jpeg"/><Relationship Id="rId92" Type="http://schemas.openxmlformats.org/officeDocument/2006/relationships/image" Target="media/image60.jpeg"/><Relationship Id="rId93" Type="http://schemas.openxmlformats.org/officeDocument/2006/relationships/image" Target="media/image61.jpeg"/><Relationship Id="rId94" Type="http://schemas.openxmlformats.org/officeDocument/2006/relationships/image" Target="media/image62.jpeg"/><Relationship Id="rId95" Type="http://schemas.openxmlformats.org/officeDocument/2006/relationships/image" Target="media/image63.jpeg"/><Relationship Id="rId96" Type="http://schemas.openxmlformats.org/officeDocument/2006/relationships/image" Target="media/image64.jpeg"/><Relationship Id="rId97" Type="http://schemas.openxmlformats.org/officeDocument/2006/relationships/image" Target="media/image65.jpeg"/><Relationship Id="rId98" Type="http://schemas.openxmlformats.org/officeDocument/2006/relationships/image" Target="media/image66.jpeg"/><Relationship Id="rId99" Type="http://schemas.openxmlformats.org/officeDocument/2006/relationships/image" Target="media/image67.jpeg"/><Relationship Id="rId100" Type="http://schemas.openxmlformats.org/officeDocument/2006/relationships/image" Target="media/image68.jpeg"/><Relationship Id="rId101" Type="http://schemas.openxmlformats.org/officeDocument/2006/relationships/image" Target="media/image69.jpeg"/><Relationship Id="rId102" Type="http://schemas.openxmlformats.org/officeDocument/2006/relationships/image" Target="media/image70.jpeg"/><Relationship Id="rId103" Type="http://schemas.openxmlformats.org/officeDocument/2006/relationships/image" Target="media/image71.jpeg"/><Relationship Id="rId104" Type="http://schemas.openxmlformats.org/officeDocument/2006/relationships/image" Target="media/image72.jpeg"/><Relationship Id="rId105" Type="http://schemas.openxmlformats.org/officeDocument/2006/relationships/image" Target="media/image73.jpeg"/><Relationship Id="rId106" Type="http://schemas.openxmlformats.org/officeDocument/2006/relationships/image" Target="media/image74.jpeg"/><Relationship Id="rId107" Type="http://schemas.openxmlformats.org/officeDocument/2006/relationships/image" Target="media/image75.jpeg"/><Relationship Id="rId108" Type="http://schemas.openxmlformats.org/officeDocument/2006/relationships/image" Target="media/image76.jpeg"/><Relationship Id="rId109" Type="http://schemas.openxmlformats.org/officeDocument/2006/relationships/image" Target="media/image77.jpeg"/><Relationship Id="rId110" Type="http://schemas.openxmlformats.org/officeDocument/2006/relationships/image" Target="media/image78.jpeg"/><Relationship Id="rId111" Type="http://schemas.openxmlformats.org/officeDocument/2006/relationships/image" Target="media/image79.jpeg"/><Relationship Id="rId112" Type="http://schemas.openxmlformats.org/officeDocument/2006/relationships/image" Target="media/image80.jpeg"/><Relationship Id="rId113" Type="http://schemas.openxmlformats.org/officeDocument/2006/relationships/image" Target="media/image81.jpeg"/><Relationship Id="rId114" Type="http://schemas.openxmlformats.org/officeDocument/2006/relationships/image" Target="media/image82.jpeg"/><Relationship Id="rId115" Type="http://schemas.openxmlformats.org/officeDocument/2006/relationships/image" Target="media/image83.jpeg"/><Relationship Id="rId116" Type="http://schemas.openxmlformats.org/officeDocument/2006/relationships/image" Target="media/image84.jpeg"/><Relationship Id="rId117" Type="http://schemas.openxmlformats.org/officeDocument/2006/relationships/image" Target="media/image85.jpeg"/><Relationship Id="rId118" Type="http://schemas.openxmlformats.org/officeDocument/2006/relationships/image" Target="media/image86.jpeg"/><Relationship Id="rId119" Type="http://schemas.openxmlformats.org/officeDocument/2006/relationships/image" Target="media/image87.jpeg"/><Relationship Id="rId120" Type="http://schemas.openxmlformats.org/officeDocument/2006/relationships/image" Target="media/image88.jpeg"/><Relationship Id="rId121" Type="http://schemas.openxmlformats.org/officeDocument/2006/relationships/image" Target="media/image89.jpeg"/><Relationship Id="rId122" Type="http://schemas.openxmlformats.org/officeDocument/2006/relationships/image" Target="media/image90.jpeg"/><Relationship Id="rId123" Type="http://schemas.openxmlformats.org/officeDocument/2006/relationships/image" Target="media/image91.jpeg"/><Relationship Id="rId124" Type="http://schemas.openxmlformats.org/officeDocument/2006/relationships/image" Target="media/image92.jpeg"/><Relationship Id="rId125" Type="http://schemas.openxmlformats.org/officeDocument/2006/relationships/image" Target="media/image93.jpeg"/><Relationship Id="rId126" Type="http://schemas.openxmlformats.org/officeDocument/2006/relationships/image" Target="media/image94.jpeg"/><Relationship Id="rId127" Type="http://schemas.openxmlformats.org/officeDocument/2006/relationships/image" Target="media/image95.jpeg"/><Relationship Id="rId128" Type="http://schemas.openxmlformats.org/officeDocument/2006/relationships/image" Target="media/image96.jpeg"/><Relationship Id="rId129" Type="http://schemas.openxmlformats.org/officeDocument/2006/relationships/image" Target="media/image97.jpeg"/><Relationship Id="rId130" Type="http://schemas.openxmlformats.org/officeDocument/2006/relationships/image" Target="media/image98.jpeg"/><Relationship Id="rId131" Type="http://schemas.openxmlformats.org/officeDocument/2006/relationships/image" Target="media/image99.jpeg"/><Relationship Id="rId132" Type="http://schemas.openxmlformats.org/officeDocument/2006/relationships/image" Target="media/image100.jpeg"/><Relationship Id="rId133" Type="http://schemas.openxmlformats.org/officeDocument/2006/relationships/image" Target="media/image101.jpeg"/><Relationship Id="rId134" Type="http://schemas.openxmlformats.org/officeDocument/2006/relationships/image" Target="media/image102.jpeg"/><Relationship Id="rId135" Type="http://schemas.openxmlformats.org/officeDocument/2006/relationships/image" Target="media/image103.jpeg"/><Relationship Id="rId136" Type="http://schemas.openxmlformats.org/officeDocument/2006/relationships/image" Target="media/image104.jpeg"/><Relationship Id="rId137" Type="http://schemas.openxmlformats.org/officeDocument/2006/relationships/image" Target="media/image105.jpeg"/><Relationship Id="rId138" Type="http://schemas.openxmlformats.org/officeDocument/2006/relationships/image" Target="media/image106.jpeg"/><Relationship Id="rId139" Type="http://schemas.openxmlformats.org/officeDocument/2006/relationships/image" Target="media/image107.jpeg"/><Relationship Id="rId140" Type="http://schemas.openxmlformats.org/officeDocument/2006/relationships/image" Target="media/image108.jpeg"/><Relationship Id="rId141" Type="http://schemas.openxmlformats.org/officeDocument/2006/relationships/image" Target="media/image109.jpeg"/><Relationship Id="rId142" Type="http://schemas.openxmlformats.org/officeDocument/2006/relationships/image" Target="media/image110.jpeg"/><Relationship Id="rId143" Type="http://schemas.openxmlformats.org/officeDocument/2006/relationships/image" Target="media/image111.jpeg"/><Relationship Id="rId144" Type="http://schemas.openxmlformats.org/officeDocument/2006/relationships/image" Target="media/image112.jpeg"/><Relationship Id="rId145" Type="http://schemas.openxmlformats.org/officeDocument/2006/relationships/image" Target="media/image113.jpeg"/><Relationship Id="rId146" Type="http://schemas.openxmlformats.org/officeDocument/2006/relationships/image" Target="media/image114.jpeg"/><Relationship Id="rId147" Type="http://schemas.openxmlformats.org/officeDocument/2006/relationships/image" Target="media/image115.jpeg"/><Relationship Id="rId148" Type="http://schemas.openxmlformats.org/officeDocument/2006/relationships/image" Target="media/image116.jpeg"/><Relationship Id="rId149" Type="http://schemas.openxmlformats.org/officeDocument/2006/relationships/image" Target="media/image117.jpeg"/><Relationship Id="rId150" Type="http://schemas.openxmlformats.org/officeDocument/2006/relationships/image" Target="media/image118.jpeg"/><Relationship Id="rId151" Type="http://schemas.openxmlformats.org/officeDocument/2006/relationships/image" Target="media/image119.jpeg"/><Relationship Id="rId152" Type="http://schemas.openxmlformats.org/officeDocument/2006/relationships/image" Target="media/image120.jpeg"/><Relationship Id="rId153" Type="http://schemas.openxmlformats.org/officeDocument/2006/relationships/image" Target="media/image121.jpeg"/><Relationship Id="rId154" Type="http://schemas.openxmlformats.org/officeDocument/2006/relationships/image" Target="media/image122.jpeg"/><Relationship Id="rId155" Type="http://schemas.openxmlformats.org/officeDocument/2006/relationships/image" Target="media/image123.jpeg"/><Relationship Id="rId156" Type="http://schemas.openxmlformats.org/officeDocument/2006/relationships/image" Target="media/image124.jpeg"/><Relationship Id="rId157" Type="http://schemas.openxmlformats.org/officeDocument/2006/relationships/image" Target="media/image125.jpeg"/><Relationship Id="rId158" Type="http://schemas.openxmlformats.org/officeDocument/2006/relationships/image" Target="media/image126.jpeg"/><Relationship Id="rId159" Type="http://schemas.openxmlformats.org/officeDocument/2006/relationships/image" Target="media/image127.jpeg"/><Relationship Id="rId160" Type="http://schemas.openxmlformats.org/officeDocument/2006/relationships/image" Target="media/image128.jpeg"/><Relationship Id="rId161" Type="http://schemas.openxmlformats.org/officeDocument/2006/relationships/image" Target="media/image129.jpeg"/><Relationship Id="rId162" Type="http://schemas.openxmlformats.org/officeDocument/2006/relationships/image" Target="media/image130.jpeg"/><Relationship Id="rId163" Type="http://schemas.openxmlformats.org/officeDocument/2006/relationships/image" Target="media/image131.jpeg"/><Relationship Id="rId164" Type="http://schemas.openxmlformats.org/officeDocument/2006/relationships/image" Target="media/image132.jpeg"/><Relationship Id="rId165" Type="http://schemas.openxmlformats.org/officeDocument/2006/relationships/image" Target="media/image133.jpeg"/><Relationship Id="rId166" Type="http://schemas.openxmlformats.org/officeDocument/2006/relationships/image" Target="media/image134.jpeg"/><Relationship Id="rId167" Type="http://schemas.openxmlformats.org/officeDocument/2006/relationships/image" Target="media/image135.jpeg"/><Relationship Id="rId168" Type="http://schemas.openxmlformats.org/officeDocument/2006/relationships/image" Target="media/image136.jpeg"/><Relationship Id="rId169" Type="http://schemas.openxmlformats.org/officeDocument/2006/relationships/image" Target="media/image137.jpeg"/><Relationship Id="rId170" Type="http://schemas.openxmlformats.org/officeDocument/2006/relationships/image" Target="media/image138.jpeg"/><Relationship Id="rId171" Type="http://schemas.openxmlformats.org/officeDocument/2006/relationships/image" Target="media/image139.jpeg"/><Relationship Id="rId172" Type="http://schemas.openxmlformats.org/officeDocument/2006/relationships/image" Target="media/image140.jpeg"/><Relationship Id="rId173" Type="http://schemas.openxmlformats.org/officeDocument/2006/relationships/image" Target="media/image141.jpeg"/><Relationship Id="rId174" Type="http://schemas.openxmlformats.org/officeDocument/2006/relationships/image" Target="media/image142.jpeg"/><Relationship Id="rId175" Type="http://schemas.openxmlformats.org/officeDocument/2006/relationships/image" Target="media/image143.jpeg"/><Relationship Id="rId176" Type="http://schemas.openxmlformats.org/officeDocument/2006/relationships/image" Target="media/image144.jpeg"/><Relationship Id="rId177" Type="http://schemas.openxmlformats.org/officeDocument/2006/relationships/image" Target="media/image145.jpeg"/><Relationship Id="rId178" Type="http://schemas.openxmlformats.org/officeDocument/2006/relationships/image" Target="media/image146.jpeg"/><Relationship Id="rId179" Type="http://schemas.openxmlformats.org/officeDocument/2006/relationships/image" Target="media/image147.jpeg"/><Relationship Id="rId180" Type="http://schemas.openxmlformats.org/officeDocument/2006/relationships/image" Target="media/image148.jpeg"/><Relationship Id="rId181" Type="http://schemas.openxmlformats.org/officeDocument/2006/relationships/image" Target="media/image149.jpeg"/><Relationship Id="rId182" Type="http://schemas.openxmlformats.org/officeDocument/2006/relationships/image" Target="media/image150.jpeg"/><Relationship Id="rId183" Type="http://schemas.openxmlformats.org/officeDocument/2006/relationships/image" Target="media/image151.jpeg"/><Relationship Id="rId184" Type="http://schemas.openxmlformats.org/officeDocument/2006/relationships/image" Target="media/image152.jpeg"/><Relationship Id="rId185" Type="http://schemas.openxmlformats.org/officeDocument/2006/relationships/image" Target="media/image153.jpeg"/><Relationship Id="rId186" Type="http://schemas.openxmlformats.org/officeDocument/2006/relationships/image" Target="media/image154.jpeg"/><Relationship Id="rId187" Type="http://schemas.openxmlformats.org/officeDocument/2006/relationships/image" Target="media/image155.jpeg"/><Relationship Id="rId188" Type="http://schemas.openxmlformats.org/officeDocument/2006/relationships/image" Target="media/image156.jpeg"/><Relationship Id="rId189" Type="http://schemas.openxmlformats.org/officeDocument/2006/relationships/image" Target="media/image157.jpeg"/><Relationship Id="rId190" Type="http://schemas.openxmlformats.org/officeDocument/2006/relationships/image" Target="media/image158.jpeg"/><Relationship Id="rId191" Type="http://schemas.openxmlformats.org/officeDocument/2006/relationships/image" Target="media/image159.jpeg"/><Relationship Id="rId192" Type="http://schemas.openxmlformats.org/officeDocument/2006/relationships/image" Target="media/image160.jpeg"/><Relationship Id="rId193" Type="http://schemas.openxmlformats.org/officeDocument/2006/relationships/image" Target="media/image161.jpeg"/><Relationship Id="rId194" Type="http://schemas.openxmlformats.org/officeDocument/2006/relationships/image" Target="media/image162.jpeg"/><Relationship Id="rId195" Type="http://schemas.openxmlformats.org/officeDocument/2006/relationships/image" Target="media/image163.jpeg"/><Relationship Id="rId196" Type="http://schemas.openxmlformats.org/officeDocument/2006/relationships/image" Target="media/image164.jpeg"/><Relationship Id="rId197" Type="http://schemas.openxmlformats.org/officeDocument/2006/relationships/image" Target="media/image165.jpeg"/><Relationship Id="rId198" Type="http://schemas.openxmlformats.org/officeDocument/2006/relationships/image" Target="media/image166.jpeg"/><Relationship Id="rId199" Type="http://schemas.openxmlformats.org/officeDocument/2006/relationships/image" Target="media/image167.jpeg"/><Relationship Id="rId200" Type="http://schemas.openxmlformats.org/officeDocument/2006/relationships/image" Target="media/image168.jpeg"/><Relationship Id="rId201" Type="http://schemas.openxmlformats.org/officeDocument/2006/relationships/image" Target="media/image169.jpeg"/><Relationship Id="rId202" Type="http://schemas.openxmlformats.org/officeDocument/2006/relationships/image" Target="media/image170.jpeg"/><Relationship Id="rId203" Type="http://schemas.openxmlformats.org/officeDocument/2006/relationships/image" Target="media/image171.jpeg"/><Relationship Id="rId204" Type="http://schemas.openxmlformats.org/officeDocument/2006/relationships/image" Target="media/image172.jpeg"/><Relationship Id="rId205" Type="http://schemas.openxmlformats.org/officeDocument/2006/relationships/image" Target="media/image173.jpeg"/><Relationship Id="rId206" Type="http://schemas.openxmlformats.org/officeDocument/2006/relationships/image" Target="media/image174.jpeg"/><Relationship Id="rId207" Type="http://schemas.openxmlformats.org/officeDocument/2006/relationships/image" Target="media/image175.jpeg"/><Relationship Id="rId208" Type="http://schemas.openxmlformats.org/officeDocument/2006/relationships/image" Target="media/image176.jpeg"/><Relationship Id="rId209" Type="http://schemas.openxmlformats.org/officeDocument/2006/relationships/image" Target="media/image177.jpeg"/><Relationship Id="rId210" Type="http://schemas.openxmlformats.org/officeDocument/2006/relationships/image" Target="media/image178.jpeg"/><Relationship Id="rId211" Type="http://schemas.openxmlformats.org/officeDocument/2006/relationships/image" Target="media/image179.jpeg"/><Relationship Id="rId212" Type="http://schemas.openxmlformats.org/officeDocument/2006/relationships/image" Target="media/image180.jpeg"/><Relationship Id="rId213" Type="http://schemas.openxmlformats.org/officeDocument/2006/relationships/image" Target="media/image181.jpeg"/><Relationship Id="rId214" Type="http://schemas.openxmlformats.org/officeDocument/2006/relationships/image" Target="media/image182.jpeg"/><Relationship Id="rId215" Type="http://schemas.openxmlformats.org/officeDocument/2006/relationships/image" Target="media/image183.jpeg"/><Relationship Id="rId216" Type="http://schemas.openxmlformats.org/officeDocument/2006/relationships/image" Target="media/image184.jpeg"/><Relationship Id="rId217" Type="http://schemas.openxmlformats.org/officeDocument/2006/relationships/image" Target="media/image185.jpeg"/><Relationship Id="rId218" Type="http://schemas.openxmlformats.org/officeDocument/2006/relationships/image" Target="media/image186.jpeg"/><Relationship Id="rId219" Type="http://schemas.openxmlformats.org/officeDocument/2006/relationships/image" Target="media/image187.jpeg"/><Relationship Id="rId220" Type="http://schemas.openxmlformats.org/officeDocument/2006/relationships/image" Target="media/image188.jpeg"/><Relationship Id="rId221" Type="http://schemas.openxmlformats.org/officeDocument/2006/relationships/image" Target="media/image189.jpeg"/><Relationship Id="rId222" Type="http://schemas.openxmlformats.org/officeDocument/2006/relationships/image" Target="media/image190.jpeg"/><Relationship Id="rId223" Type="http://schemas.openxmlformats.org/officeDocument/2006/relationships/image" Target="media/image191.jpeg"/><Relationship Id="rId224" Type="http://schemas.openxmlformats.org/officeDocument/2006/relationships/image" Target="media/image192.jpeg"/><Relationship Id="rId225" Type="http://schemas.openxmlformats.org/officeDocument/2006/relationships/image" Target="media/image193.jpeg"/><Relationship Id="rId226" Type="http://schemas.openxmlformats.org/officeDocument/2006/relationships/image" Target="media/image194.jpeg"/><Relationship Id="rId227" Type="http://schemas.openxmlformats.org/officeDocument/2006/relationships/image" Target="media/image195.jpeg"/><Relationship Id="rId228" Type="http://schemas.openxmlformats.org/officeDocument/2006/relationships/image" Target="media/image196.jpeg"/><Relationship Id="rId229" Type="http://schemas.openxmlformats.org/officeDocument/2006/relationships/image" Target="media/image197.jpeg"/><Relationship Id="rId230" Type="http://schemas.openxmlformats.org/officeDocument/2006/relationships/image" Target="media/image198.jpeg"/><Relationship Id="rId231" Type="http://schemas.openxmlformats.org/officeDocument/2006/relationships/image" Target="media/image199.jpeg"/><Relationship Id="rId232" Type="http://schemas.openxmlformats.org/officeDocument/2006/relationships/image" Target="media/image200.jpeg"/><Relationship Id="rId233" Type="http://schemas.openxmlformats.org/officeDocument/2006/relationships/image" Target="media/image201.jpeg"/><Relationship Id="rId234" Type="http://schemas.openxmlformats.org/officeDocument/2006/relationships/image" Target="media/image202.jpeg"/><Relationship Id="rId235" Type="http://schemas.openxmlformats.org/officeDocument/2006/relationships/image" Target="media/image203.jpeg"/><Relationship Id="rId236" Type="http://schemas.openxmlformats.org/officeDocument/2006/relationships/image" Target="media/image204.jpeg"/><Relationship Id="rId237" Type="http://schemas.openxmlformats.org/officeDocument/2006/relationships/image" Target="media/image205.jpeg"/><Relationship Id="rId238" Type="http://schemas.openxmlformats.org/officeDocument/2006/relationships/image" Target="media/image206.jpeg"/><Relationship Id="rId239" Type="http://schemas.openxmlformats.org/officeDocument/2006/relationships/image" Target="media/image207.jpeg"/><Relationship Id="rId240" Type="http://schemas.openxmlformats.org/officeDocument/2006/relationships/image" Target="media/image208.jpeg"/><Relationship Id="rId241" Type="http://schemas.openxmlformats.org/officeDocument/2006/relationships/image" Target="media/image209.jpeg"/><Relationship Id="rId242" Type="http://schemas.openxmlformats.org/officeDocument/2006/relationships/image" Target="media/image210.jpeg"/><Relationship Id="rId243" Type="http://schemas.openxmlformats.org/officeDocument/2006/relationships/image" Target="media/image211.jpeg"/><Relationship Id="rId244" Type="http://schemas.openxmlformats.org/officeDocument/2006/relationships/image" Target="media/image212.jpeg"/><Relationship Id="rId245" Type="http://schemas.openxmlformats.org/officeDocument/2006/relationships/image" Target="media/image213.jpeg"/><Relationship Id="rId246" Type="http://schemas.openxmlformats.org/officeDocument/2006/relationships/image" Target="media/image214.jpeg"/><Relationship Id="rId247" Type="http://schemas.openxmlformats.org/officeDocument/2006/relationships/image" Target="media/image215.jpeg"/><Relationship Id="rId248" Type="http://schemas.openxmlformats.org/officeDocument/2006/relationships/image" Target="media/image216.jpeg"/><Relationship Id="rId249" Type="http://schemas.openxmlformats.org/officeDocument/2006/relationships/image" Target="media/image217.jpeg"/><Relationship Id="rId250" Type="http://schemas.openxmlformats.org/officeDocument/2006/relationships/image" Target="media/image218.jpeg"/><Relationship Id="rId251" Type="http://schemas.openxmlformats.org/officeDocument/2006/relationships/image" Target="media/image219.jpeg"/><Relationship Id="rId252" Type="http://schemas.openxmlformats.org/officeDocument/2006/relationships/image" Target="media/image220.jpeg"/><Relationship Id="rId253" Type="http://schemas.openxmlformats.org/officeDocument/2006/relationships/image" Target="media/image221.jpeg"/><Relationship Id="rId254" Type="http://schemas.openxmlformats.org/officeDocument/2006/relationships/image" Target="media/image222.jpeg"/><Relationship Id="rId255" Type="http://schemas.openxmlformats.org/officeDocument/2006/relationships/image" Target="media/image223.jpeg"/><Relationship Id="rId256" Type="http://schemas.openxmlformats.org/officeDocument/2006/relationships/image" Target="media/image224.jpeg"/><Relationship Id="rId257" Type="http://schemas.openxmlformats.org/officeDocument/2006/relationships/image" Target="media/image225.jpeg"/><Relationship Id="rId258" Type="http://schemas.openxmlformats.org/officeDocument/2006/relationships/image" Target="media/image226.jpeg"/><Relationship Id="rId259" Type="http://schemas.openxmlformats.org/officeDocument/2006/relationships/image" Target="media/image227.jpeg"/><Relationship Id="rId260" Type="http://schemas.openxmlformats.org/officeDocument/2006/relationships/image" Target="media/image228.jpeg"/><Relationship Id="rId261" Type="http://schemas.openxmlformats.org/officeDocument/2006/relationships/image" Target="media/image229.jpeg"/><Relationship Id="rId262" Type="http://schemas.openxmlformats.org/officeDocument/2006/relationships/image" Target="media/image230.jpeg"/><Relationship Id="rId263" Type="http://schemas.openxmlformats.org/officeDocument/2006/relationships/image" Target="media/image231.jpeg"/><Relationship Id="rId264" Type="http://schemas.openxmlformats.org/officeDocument/2006/relationships/image" Target="media/image232.jpeg"/><Relationship Id="rId265" Type="http://schemas.openxmlformats.org/officeDocument/2006/relationships/image" Target="media/image233.jpeg"/><Relationship Id="rId266" Type="http://schemas.openxmlformats.org/officeDocument/2006/relationships/image" Target="media/image234.jpeg"/><Relationship Id="rId267" Type="http://schemas.openxmlformats.org/officeDocument/2006/relationships/image" Target="media/image235.jpeg"/><Relationship Id="rId268" Type="http://schemas.openxmlformats.org/officeDocument/2006/relationships/image" Target="media/image236.jpeg"/><Relationship Id="rId269" Type="http://schemas.openxmlformats.org/officeDocument/2006/relationships/image" Target="media/image237.jpeg"/><Relationship Id="rId270" Type="http://schemas.openxmlformats.org/officeDocument/2006/relationships/image" Target="media/image238.jpeg"/><Relationship Id="rId271" Type="http://schemas.openxmlformats.org/officeDocument/2006/relationships/image" Target="media/image239.jpeg"/><Relationship Id="rId272" Type="http://schemas.openxmlformats.org/officeDocument/2006/relationships/image" Target="media/image240.jpeg"/><Relationship Id="rId273" Type="http://schemas.openxmlformats.org/officeDocument/2006/relationships/image" Target="media/image241.jpeg"/><Relationship Id="rId274" Type="http://schemas.openxmlformats.org/officeDocument/2006/relationships/image" Target="media/image242.jpeg"/><Relationship Id="rId275" Type="http://schemas.openxmlformats.org/officeDocument/2006/relationships/image" Target="media/image243.jpeg"/><Relationship Id="rId276" Type="http://schemas.openxmlformats.org/officeDocument/2006/relationships/image" Target="media/image244.jpeg"/><Relationship Id="rId277" Type="http://schemas.openxmlformats.org/officeDocument/2006/relationships/image" Target="media/image245.jpeg"/><Relationship Id="rId278" Type="http://schemas.openxmlformats.org/officeDocument/2006/relationships/image" Target="media/image246.jpeg"/><Relationship Id="rId279" Type="http://schemas.openxmlformats.org/officeDocument/2006/relationships/image" Target="media/image247.jpeg"/><Relationship Id="rId280" Type="http://schemas.openxmlformats.org/officeDocument/2006/relationships/image" Target="media/image248.jpeg"/><Relationship Id="rId281" Type="http://schemas.openxmlformats.org/officeDocument/2006/relationships/image" Target="media/image249.jpeg"/><Relationship Id="rId282" Type="http://schemas.openxmlformats.org/officeDocument/2006/relationships/image" Target="media/image250.jpeg"/><Relationship Id="rId283" Type="http://schemas.openxmlformats.org/officeDocument/2006/relationships/image" Target="media/image251.jpeg"/><Relationship Id="rId284" Type="http://schemas.openxmlformats.org/officeDocument/2006/relationships/image" Target="media/image252.jpeg"/><Relationship Id="rId285" Type="http://schemas.openxmlformats.org/officeDocument/2006/relationships/image" Target="media/image253.jpeg"/><Relationship Id="rId286" Type="http://schemas.openxmlformats.org/officeDocument/2006/relationships/image" Target="media/image254.jpeg"/><Relationship Id="rId287" Type="http://schemas.openxmlformats.org/officeDocument/2006/relationships/image" Target="media/image255.jpeg"/><Relationship Id="rId288" Type="http://schemas.openxmlformats.org/officeDocument/2006/relationships/image" Target="media/image256.jpeg"/><Relationship Id="rId289" Type="http://schemas.openxmlformats.org/officeDocument/2006/relationships/image" Target="media/image257.jpeg"/><Relationship Id="rId290" Type="http://schemas.openxmlformats.org/officeDocument/2006/relationships/image" Target="media/image258.jpeg"/><Relationship Id="rId291" Type="http://schemas.openxmlformats.org/officeDocument/2006/relationships/fontTable" Target="fontTable.xml"/><Relationship Id="rId2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305</Pages>
  <Words>375211</Words>
  <CharactersWithSpaces>2427807</CharactersWithSpaces>
  <Paragraphs>10789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ex991gelesis_financials1</dc:title>
</cp:coreProperties>
</file>