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w:t>
      </w:r>
    </w:p>
    <w:p>
      <w:pPr>
        <w:jc w:val="center"/>
        <w:ind w:right="-98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15, 2022,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During the month ended October 31, 2022, the Company had the following daily purchases of its own Ordinary Shares under the Program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Jefferies: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Ordinary Shares</w:t>
            </w:r>
          </w:p>
        </w:tc>
        <w:tc>
          <w:tcPr>
            <w:tcW w:w="18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Volume Weighted</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346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Average Price Paid</w:t>
            </w:r>
          </w:p>
        </w:tc>
        <w:tc>
          <w:tcPr>
            <w:tcW w:w="17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1"/>
              </w:rPr>
              <w:t>Highest Price Paid</w:t>
            </w:r>
          </w:p>
        </w:tc>
        <w:tc>
          <w:tcPr>
            <w:tcW w:w="11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0"/>
              </w:rPr>
              <w:t>Lowest Price Paid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6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0"/>
              </w:rPr>
              <w:t>Repurchased</w:t>
            </w:r>
          </w:p>
        </w:tc>
        <w:tc>
          <w:tcPr>
            <w:tcW w:w="184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96"/>
              </w:rPr>
              <w:t>per Ordinary Share</w:t>
            </w:r>
          </w:p>
        </w:tc>
        <w:tc>
          <w:tcPr>
            <w:tcW w:w="17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October 3, 2022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158,526</w:t>
            </w:r>
          </w:p>
        </w:tc>
        <w:tc>
          <w:tcPr>
            <w:tcW w:w="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242.31p</w:t>
            </w:r>
          </w:p>
        </w:tc>
        <w:tc>
          <w:tcPr>
            <w:tcW w:w="6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243.50p</w:t>
            </w:r>
          </w:p>
        </w:tc>
        <w:tc>
          <w:tcPr>
            <w:tcW w:w="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236.00p</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October 4,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167,048</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244.19p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247.50p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239.50p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5, 2022</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176,489</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244.45p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246.00p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October 6,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183,376</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250.86p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255.50p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246.00p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7, 2022</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203,840</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220.45p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October 10,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245,714</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224.30p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231.00p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219.50p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11, 2022</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253,269</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217.41p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224.50p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211.50p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October 12,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264,861</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215.92p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219.00p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206.00p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13, 2022</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271,644</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216.73p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211.50p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October 14,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273,465</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223.65p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225.50p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219.00p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17, 2022</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82,217</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227.88p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October 18,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38</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229.00p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229.00p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229.00p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19, 2022</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177,073</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232.09p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233.00p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227.00p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October 20,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229,136</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231.16p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235.00p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226.50p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21, 2022</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234,760</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231.42p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235.50p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October 24,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238,607</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233.03p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235.50p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225.00p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25, 2022</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241,303</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230.52p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224.50p</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October 26,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127,619</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239.63p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242.00p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236.50p</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28, 2022</w:t>
            </w:r>
          </w:p>
        </w:tc>
        <w:tc>
          <w:tcPr>
            <w:tcW w:w="16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42,543</w:t>
            </w:r>
          </w:p>
        </w:tc>
        <w:tc>
          <w:tcPr>
            <w:tcW w:w="18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223.21p</w:t>
            </w:r>
          </w:p>
        </w:tc>
        <w:tc>
          <w:tcPr>
            <w:tcW w:w="17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236.50p</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231.00p</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October 31, 2022</w:t>
            </w: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40,433</w:t>
            </w:r>
          </w:p>
        </w:tc>
        <w:tc>
          <w:tcPr>
            <w:tcW w:w="1840" w:type="dxa"/>
            <w:vAlign w:val="bottom"/>
            <w:gridSpan w:val="2"/>
          </w:tcPr>
          <w:p>
            <w:pPr>
              <w:jc w:val="right"/>
              <w:ind w:right="600"/>
              <w:spacing w:after="0"/>
              <w:rPr>
                <w:sz w:val="20"/>
                <w:szCs w:val="20"/>
                <w:color w:val="auto"/>
              </w:rPr>
            </w:pPr>
            <w:r>
              <w:rPr>
                <w:rFonts w:ascii="Arial" w:cs="Arial" w:eastAsia="Arial" w:hAnsi="Arial"/>
                <w:sz w:val="18"/>
                <w:szCs w:val="18"/>
                <w:color w:val="auto"/>
              </w:rPr>
              <w:t>233.57p</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236.50p</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231.00p</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month ended October 31, 2022, the Company repurchased an aggregate of 3,611,961 Ordinary Shares. As of October 31, 2022, the Company’s issued share capital was 289,080,542 shares, 10,268,306 of which were held in treasury, resulting in total voting rights in the Company of 278,812,236 shares. To view the details of the individual transactions, please paste the following URL(s) into the address bar of your browser with respect to each individual date of repurchase under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October 3, 2022: https://data.fca.org.uk/artefacts/NSM/RNS/4531698.html</w:t>
      </w:r>
    </w:p>
    <w:p>
      <w:pPr>
        <w:sectPr>
          <w:pgSz w:w="11900" w:h="16838" w:orient="portrait"/>
          <w:cols w:equalWidth="0" w:num="1">
            <w:col w:w="10960"/>
          </w:cols>
          <w:pgMar w:left="440" w:top="270" w:right="49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October 4, 2022: https://data.fca.org.uk/artefacts/NSM/RNS/4533032.html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October 5, 2022: https://data.fca.org.uk/artefacts/NSM/RNS/4534777.html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6, 2022: https://data.fca.org.uk/artefacts/NSM/RNS/4536212.html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7, 2022: https://data.fca.org.uk/artefacts/NSM/RNS/4537828.html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10, 2022: https://data.fca.org.uk/artefacts/NSM/RNS/4539273.html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11, 2022: https://data.fca.org.uk/artefacts/NSM/RNS/4540803.html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12, 2022: https://data.fca.org.uk/artefacts/NSM/RNS/4542535.html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13, 2022: https://data.fca.org.uk/artefacts/NSM/RNS/4543998.html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14, 2022: https://data.fca.org.uk/artefacts/NSM/RNS/4545445.html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17, 2022: https://data.fca.org.uk/artefacts/NSM/RNS/4547077.html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18, 2022: https://data.fca.org.uk/artefacts/NSM/RNS/4548503.html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19, 2022: https://data.fca.org.uk/artefacts/NSM/RNS/4550073.html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20, 2022: https://data.fca.org.uk/artefacts/NSM/RNS/4551687.html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21, 2022: https://data.fca.org.uk/artefacts/NSM/RNS/4553065.html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24, 2022: https://data.fca.org.uk/artefacts/NSM/RNS/4554714.html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25, 2022: https://data.fca.org.uk/artefacts/NSM/RNS/4556176.html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26, 2022: https://data.fca.org.uk/artefacts/NSM/RNS/4557921.html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28, 2022: https://data.fca.org.uk/artefacts/NSM/RNS/4560948.html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31, 2022: https://data.fca.org.uk/artefacts/NSM/RNS/4563450.html</w:t>
      </w:r>
    </w:p>
    <w:p>
      <w:pPr>
        <w:sectPr>
          <w:pgSz w:w="11900" w:h="16838" w:orient="portrait"/>
          <w:cols w:equalWidth="0" w:num="1">
            <w:col w:w="10019"/>
          </w:cols>
          <w:pgMar w:left="440" w:top="27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480" w:type="dxa"/>
            <w:vAlign w:val="bottom"/>
            <w:gridSpan w:val="3"/>
          </w:tcPr>
          <w:p>
            <w:pPr>
              <w:ind w:left="1780"/>
              <w:spacing w:after="0"/>
              <w:rPr>
                <w:sz w:val="20"/>
                <w:szCs w:val="20"/>
                <w:color w:val="auto"/>
              </w:rPr>
            </w:pPr>
            <w:r>
              <w:rPr>
                <w:rFonts w:ascii="Arial" w:cs="Arial" w:eastAsia="Arial" w:hAnsi="Arial"/>
                <w:sz w:val="18"/>
                <w:szCs w:val="18"/>
                <w:color w:val="auto"/>
              </w:rPr>
              <w:t>PURETECH HEALTH PLC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November 3, 2022</w:t>
            </w:r>
          </w:p>
        </w:tc>
        <w:tc>
          <w:tcPr>
            <w:tcW w:w="7480" w:type="dxa"/>
            <w:vAlign w:val="bottom"/>
            <w:gridSpan w:val="3"/>
          </w:tcPr>
          <w:p>
            <w:pPr>
              <w:ind w:left="1780"/>
              <w:spacing w:after="0"/>
              <w:rPr>
                <w:sz w:val="20"/>
                <w:szCs w:val="20"/>
                <w:color w:val="auto"/>
              </w:rPr>
            </w:pPr>
            <w:r>
              <w:rPr>
                <w:rFonts w:ascii="Arial" w:cs="Arial" w:eastAsia="Arial" w:hAnsi="Arial"/>
                <w:sz w:val="18"/>
                <w:szCs w:val="18"/>
                <w:color w:val="auto"/>
              </w:rPr>
              <w:t>By:  /s/ Daphne Zohar</w:t>
            </w:r>
          </w:p>
        </w:tc>
      </w:tr>
      <w:tr>
        <w:trPr>
          <w:trHeight w:val="209"/>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Daphne Zohar</w:t>
            </w:r>
          </w:p>
        </w:tc>
      </w:tr>
      <w:tr>
        <w:trPr>
          <w:trHeight w:val="230"/>
        </w:trPr>
        <w:tc>
          <w:tcPr>
            <w:tcW w:w="35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2022-11-03T17:09:46Z</dcterms:created>
  <dcterms:modified xsi:type="dcterms:W3CDTF">2022-11-03T17:09:46Z</dcterms:modified>
</cp:coreProperties>
</file>