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April,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April 26, 2022, PureTech Health plc (LSE: PRTC, Nasdaq: PRTC) (the “Company”) issued a press release announcing its annual results for the fiscal year ended December 31, 2021, as well as its cash position as of the first quarter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PureTech Health plc, dated April 26, 2022, titled “PureTech Announces Annual Results for Year Ended December 31, 2021.”</w:t>
        </w:r>
      </w:hyperlink>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7800" w:type="dxa"/>
            <w:vAlign w:val="bottom"/>
            <w:gridSpan w:val="3"/>
          </w:tcPr>
          <w:p>
            <w:pPr>
              <w:ind w:left="1740"/>
              <w:spacing w:after="0"/>
              <w:rPr>
                <w:sz w:val="20"/>
                <w:szCs w:val="20"/>
                <w:color w:val="auto"/>
              </w:rPr>
            </w:pPr>
            <w:r>
              <w:rPr>
                <w:rFonts w:ascii="Arial" w:cs="Arial" w:eastAsia="Arial" w:hAnsi="Arial"/>
                <w:sz w:val="18"/>
                <w:szCs w:val="18"/>
                <w:color w:val="auto"/>
              </w:rPr>
              <w:t>PURETECH HEALTH PLC</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Date: April 26, 2022</w:t>
            </w:r>
          </w:p>
        </w:tc>
        <w:tc>
          <w:tcPr>
            <w:tcW w:w="7800" w:type="dxa"/>
            <w:vAlign w:val="bottom"/>
            <w:gridSpan w:val="3"/>
          </w:tcPr>
          <w:p>
            <w:pPr>
              <w:ind w:left="1740"/>
              <w:spacing w:after="0"/>
              <w:rPr>
                <w:sz w:val="20"/>
                <w:szCs w:val="20"/>
                <w:color w:val="auto"/>
              </w:rPr>
            </w:pPr>
            <w:r>
              <w:rPr>
                <w:rFonts w:ascii="Arial" w:cs="Arial" w:eastAsia="Arial" w:hAnsi="Arial"/>
                <w:sz w:val="18"/>
                <w:szCs w:val="18"/>
                <w:color w:val="auto"/>
              </w:rPr>
              <w:t>By:   /s/ Daphne Zohar</w:t>
            </w:r>
          </w:p>
        </w:tc>
      </w:tr>
      <w:tr>
        <w:trPr>
          <w:trHeight w:val="195"/>
        </w:trPr>
        <w:tc>
          <w:tcPr>
            <w:tcW w:w="3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PureTech Announces Annual Results for Year Ended December 31, 2021</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Strong capital base with PureTech level cash and cash equivalents of $418.9 million</w:t>
      </w:r>
      <w:r>
        <w:rPr>
          <w:rFonts w:ascii="Arial" w:cs="Arial" w:eastAsia="Arial" w:hAnsi="Arial"/>
          <w:sz w:val="13"/>
          <w:szCs w:val="13"/>
          <w:i w:val="1"/>
          <w:iCs w:val="1"/>
          <w:color w:val="auto"/>
        </w:rPr>
        <w:t>1</w:t>
      </w:r>
      <w:r>
        <w:rPr>
          <w:rFonts w:ascii="Arial" w:cs="Arial" w:eastAsia="Arial" w:hAnsi="Arial"/>
          <w:sz w:val="16"/>
          <w:szCs w:val="16"/>
          <w:i w:val="1"/>
          <w:iCs w:val="1"/>
          <w:color w:val="auto"/>
        </w:rPr>
        <w:t xml:space="preserve"> and consolidated cash and cash equivalents of $465.7 million</w:t>
      </w:r>
      <w:r>
        <w:rPr>
          <w:rFonts w:ascii="Arial" w:cs="Arial" w:eastAsia="Arial" w:hAnsi="Arial"/>
          <w:sz w:val="13"/>
          <w:szCs w:val="13"/>
          <w:i w:val="1"/>
          <w:iCs w:val="1"/>
          <w:color w:val="auto"/>
        </w:rPr>
        <w:t>2</w:t>
      </w:r>
      <w:r>
        <w:rPr>
          <w:rFonts w:ascii="Arial" w:cs="Arial" w:eastAsia="Arial" w:hAnsi="Arial"/>
          <w:sz w:val="16"/>
          <w:szCs w:val="16"/>
          <w:i w:val="1"/>
          <w:iCs w:val="1"/>
          <w:color w:val="auto"/>
        </w:rPr>
        <w:t xml:space="preserve"> as</w:t>
      </w:r>
    </w:p>
    <w:p>
      <w:pPr>
        <w:spacing w:after="0" w:line="46"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of December 31, 2021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Rapidly progressing pipeline of 27 therapeutics and therapeutic candidates, across Wholly Owned and Founded Entity programs, with 11 clinical trials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initiated and 6 clinical trial readouts in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Founded Entities continuing to mature and generate value for PureTech, with three now publicly traded and a fourth soon expected to go public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Reviewing capital allocation strategy to drive additional value to shareholders with potential returns of capital through various mechanisms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a webcast and conference call today at 9:00am EDT / 2:00pm BST</w:t>
      </w:r>
    </w:p>
    <w:p>
      <w:pPr>
        <w:spacing w:after="0" w:line="22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BOSTON, April 12, 2022 – </w:t>
      </w:r>
      <w:r>
        <w:rPr>
          <w:rFonts w:ascii="Arial" w:cs="Arial" w:eastAsia="Arial" w:hAnsi="Arial"/>
          <w:sz w:val="17"/>
          <w:szCs w:val="17"/>
          <w:u w:val="single" w:color="auto"/>
          <w:color w:val="auto"/>
        </w:rPr>
        <w:t>PureTech Health plc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PRTC, LSE: PRTC) (“PureTech” or the “Company”), a clinical-stage biotherapeutics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dedicated to discovering, developing and commercializing highly differentiated medicines for devastating diseases, today announced its results for the year ended December 31, 2021 as well as its cash balance as of the first quarter ended March 31, 2022. The following information represents select highlights from the full UK annual report and accounts, except as noted herein, a portion of which will be filed as an exhibit to PureTech’s Annual Report on Form 20-F for the year ended December 31, 2021 to be filed with the United States Securities and Exchange Commission (the “SEC”) and is also available at </w:t>
      </w:r>
      <w:r>
        <w:rPr>
          <w:rFonts w:ascii="Arial" w:cs="Arial" w:eastAsia="Arial" w:hAnsi="Arial"/>
          <w:sz w:val="17"/>
          <w:szCs w:val="17"/>
          <w:u w:val="single" w:color="auto"/>
          <w:color w:val="auto"/>
        </w:rPr>
        <w:t>https://investors.puretechhealth.com/financials-filings/reports</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details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Members of the PureTech Management Team will host a conference call at 9:00am EDT / 2:00pm BST today, April 26, to discuss these results. A live webcast and presentation slides will be available on the investors section of PureTech’s website under the Events and Presentations tab. To join by phone, please dial: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r>
        <w:rPr>
          <w:rFonts w:ascii="Arial" w:cs="Arial" w:eastAsia="Arial" w:hAnsi="Arial"/>
          <w:sz w:val="18"/>
          <w:szCs w:val="18"/>
          <w:color w:val="auto"/>
        </w:rPr>
        <w:t>: 0800 640 6441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(Local)</w:t>
      </w:r>
      <w:r>
        <w:rPr>
          <w:rFonts w:ascii="Arial" w:cs="Arial" w:eastAsia="Arial" w:hAnsi="Arial"/>
          <w:sz w:val="18"/>
          <w:szCs w:val="18"/>
          <w:color w:val="auto"/>
        </w:rPr>
        <w:t>: 020 3936 2999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1 855 9796 654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(Local)</w:t>
      </w:r>
      <w:r>
        <w:rPr>
          <w:rFonts w:ascii="Arial" w:cs="Arial" w:eastAsia="Arial" w:hAnsi="Arial"/>
          <w:sz w:val="18"/>
          <w:szCs w:val="18"/>
          <w:color w:val="auto"/>
        </w:rPr>
        <w:t>: 1 646 664 1960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locations</w:t>
      </w:r>
      <w:r>
        <w:rPr>
          <w:rFonts w:ascii="Arial" w:cs="Arial" w:eastAsia="Arial" w:hAnsi="Arial"/>
          <w:sz w:val="18"/>
          <w:szCs w:val="18"/>
          <w:color w:val="auto"/>
        </w:rPr>
        <w:t>: +44 20 3936 2999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Access code: </w:t>
      </w:r>
      <w:r>
        <w:rPr>
          <w:rFonts w:ascii="Arial" w:cs="Arial" w:eastAsia="Arial" w:hAnsi="Arial"/>
          <w:sz w:val="18"/>
          <w:szCs w:val="18"/>
          <w:color w:val="auto"/>
        </w:rPr>
        <w:t>942895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those unable to listen to the call live, a replay will be available on the PureTech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annual results, Daphne Zohar, Founder and Chief Executive Officer of PureTech said:</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“I’m very proud of what our team has achieved in 2021. The collaboration and commitment to discovering and developing highly differentiated medicines for devastating diseases where novel treatment options are greatly needed, has resulted in another year full of important accomplishments for PureTech.</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“Across our Wholly Owned and Founded Entity programs, we now have 27 therapeutics and therapeutic candidates advancing towards clinical, regulatory and commercial milestones. Twenty of these sit within our Founded Entities where we already have two products that have been cleared for marketing by the United States Food and Drug Administration (the “FDA”) and granted marketing authorization in the European Economic Area – Gelesis’ Plenity</w:t>
      </w:r>
      <w:r>
        <w:rPr>
          <w:rFonts w:ascii="Arial" w:cs="Arial" w:eastAsia="Arial" w:hAnsi="Arial"/>
          <w:sz w:val="15"/>
          <w:szCs w:val="15"/>
          <w:color w:val="auto"/>
        </w:rPr>
        <w:t>®3</w:t>
      </w:r>
      <w:r>
        <w:rPr>
          <w:rFonts w:ascii="Arial" w:cs="Arial" w:eastAsia="Arial" w:hAnsi="Arial"/>
          <w:sz w:val="18"/>
          <w:szCs w:val="18"/>
          <w:color w:val="auto"/>
        </w:rPr>
        <w:t xml:space="preserve"> and Akili’s EndeavorRx</w:t>
      </w:r>
      <w:r>
        <w:rPr>
          <w:rFonts w:ascii="Arial" w:cs="Arial" w:eastAsia="Arial" w:hAnsi="Arial"/>
          <w:sz w:val="15"/>
          <w:szCs w:val="15"/>
          <w:color w:val="auto"/>
        </w:rPr>
        <w:t>®4</w:t>
      </w:r>
      <w:r>
        <w:rPr>
          <w:rFonts w:ascii="Arial" w:cs="Arial" w:eastAsia="Arial" w:hAnsi="Arial"/>
          <w:sz w:val="18"/>
          <w:szCs w:val="18"/>
          <w:color w:val="auto"/>
        </w:rPr>
        <w:t>. Thirteen of these therapeutic candidates are clinical stage and we look forward to multiple data readouts in the coming year, including data from Karuna’s Phase 3 EMERGENT-2 trial expected in mid-2022 as well data from Vor Bio’s Phase 1/2a clinical trial of VOR33, which is expected in the second half of 2022.</w:t>
      </w:r>
    </w:p>
    <w:p>
      <w:pPr>
        <w:sectPr>
          <w:pgSz w:w="11900" w:h="16838" w:orient="portrait"/>
          <w:cols w:equalWidth="0" w:num="1">
            <w:col w:w="11020"/>
          </w:cols>
          <w:pgMar w:left="440" w:top="121" w:right="439" w:bottom="1440" w:gutter="0" w:footer="0" w:header="0"/>
        </w:sectPr>
      </w:pPr>
    </w:p>
    <w:bookmarkStart w:id="4" w:name="page5"/>
    <w:bookmarkEnd w:id="4"/>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seven therapeutic candidates are being developed within our rapidly advancing and growing Wholly Owned Pipeline, which is curated around our focus on immunological, fibrotic and lymphatic system disorders and builds upon pharmacology that has been validated in humans where our key innovations enable potential unlocking of the broad potential of these therapies. Across our Wholly Owned Programs, we generated significant fundamental value and achieved a number of clinical and business milestones towards our mission of developing transformational medicines for millions of people who have long struggled to find effective treatments. In 2021 alone, we initiated five clinical studies, with four readouts thus far and one that is ongoing.</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“Importantly, we are in the fortunate position to be growing our business that is generating non-dilutive capital and we do not currently have to look at public equity markets to raise capital. As such, we have a strong financial position that will allow us to build on the momentum of 2021 and deliver on value driving milestones. In 2021, our consolidated business ended the year with a capital base of $465.7 million, helped by generating non-dilutive cash from the Founded Entities, whilst maintaining significant equity positions, royalty streams and milestones that position us to capture future value. Furthermore, our self-sustaining Founded Entities are set to continue an exciting period of strategic execution, having collectively raised an aggregate of $1.9 billion in recent years, 94% of which came from outside parties.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strong foundation we have built to support PureTech’s future growth, our Board and senior leadership team have been considering various approaches to drive additional value for our shareholders, including reviewing a capital allocation strategy that balances investment in the continued growth of our business with potential returns of capital to shareholders. As we evaluate our capital allocation strategy, we intend to engage with shareholders to understand preferences and market perspectives with respect to certain potential near term activities related to the implementation of this strategy.</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look to the coming months and years with excitement and optimism as we continue to create significant value from innovative science and develop therapeutics that we sincerely believe have the potential to significantly improve treatment outcomes for patients all over the world.”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advancement and growth of our Wholly Owned Programs</w:t>
      </w:r>
      <w:r>
        <w:rPr>
          <w:rFonts w:ascii="Arial" w:cs="Arial" w:eastAsia="Arial" w:hAnsi="Arial"/>
          <w:sz w:val="15"/>
          <w:szCs w:val="15"/>
          <w:b w:val="1"/>
          <w:bCs w:val="1"/>
          <w:color w:val="auto"/>
        </w:rPr>
        <w:t>5</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team, network and insights and expertise in immunology and therapeutic development have enabled the rapid advancement and growth of our Wholly Owned Programs. Focused on immunological, fibrotic and lymphatic system disorders, our Wholly Owned Pipeline builds upon validated biologic pathways and proven pharmacology, and currently consists of seven therapeutic candidates, including LYT-100 (deupirfenidone), a clinical therapeutic candidate that we are pursuing for the potential treatment of a range of conditions involving inflammation and fibrosis and disorders of lymphatic flow, LYT-200, a clinical immuno-oncology fully human monoclonal antibody candidate targeting a foundational immunosuppressive protein, galectin-9, that we are developing for the potential treatment of difficult-to-treat solid tumors, LYT-210, a preclinical immuno-oncology therapeutic candidate targeting immunomodulatory gamma delta-1 T cells that we are developing for a range of cancer indications, LYT-300 (oral allopregnanolone), a clinical therapeutic candidate that we are developing for a range of neurological and neuropsychological conditions, which was generated from our Glyph</w:t>
      </w:r>
      <w:r>
        <w:rPr>
          <w:rFonts w:ascii="Arial" w:cs="Arial" w:eastAsia="Arial" w:hAnsi="Arial"/>
          <w:sz w:val="14"/>
          <w:szCs w:val="14"/>
          <w:color w:val="auto"/>
        </w:rPr>
        <w:t>™</w:t>
      </w:r>
      <w:r>
        <w:rPr>
          <w:rFonts w:ascii="Arial" w:cs="Arial" w:eastAsia="Arial" w:hAnsi="Arial"/>
          <w:sz w:val="17"/>
          <w:szCs w:val="17"/>
          <w:color w:val="auto"/>
        </w:rPr>
        <w:t xml:space="preserve"> lymphatic targeting platform, and three therapeutic candidates generated from Alivio</w:t>
      </w:r>
      <w:r>
        <w:rPr>
          <w:rFonts w:ascii="Arial" w:cs="Arial" w:eastAsia="Arial" w:hAnsi="Arial"/>
          <w:sz w:val="14"/>
          <w:szCs w:val="14"/>
          <w:color w:val="auto"/>
        </w:rPr>
        <w:t>™</w:t>
      </w:r>
      <w:r>
        <w:rPr>
          <w:rFonts w:ascii="Arial" w:cs="Arial" w:eastAsia="Arial" w:hAnsi="Arial"/>
          <w:sz w:val="17"/>
          <w:szCs w:val="17"/>
          <w:color w:val="auto"/>
        </w:rPr>
        <w:t>, our technology platform that enables targeting of therapeutics locally to the sites of inflammation while minimizing systemic exposure, for the potential treatment of a range of chronic and acute inflammatory disorders: LYT-510 (oral immunosuppressant molecule), in development for the potential treatment of inflammatory bowel disease (IBD) and chronic pouchitis, LYT-500 (oral combination of two therapeutic agents), in development for IBD, and LYT-503/IMB-150, which is being advanced as a partnered program as a potential non-opioid treatment for interstitial cystitis or bladder pain syndrome (IC/BPS). In addition to these programs, we are advancing Orasome</w:t>
      </w:r>
      <w:r>
        <w:rPr>
          <w:rFonts w:ascii="Arial" w:cs="Arial" w:eastAsia="Arial" w:hAnsi="Arial"/>
          <w:sz w:val="14"/>
          <w:szCs w:val="14"/>
          <w:color w:val="auto"/>
        </w:rPr>
        <w:t>™</w:t>
      </w:r>
      <w:r>
        <w:rPr>
          <w:rFonts w:ascii="Arial" w:cs="Arial" w:eastAsia="Arial" w:hAnsi="Arial"/>
          <w:sz w:val="17"/>
          <w:szCs w:val="17"/>
          <w:color w:val="auto"/>
        </w:rPr>
        <w:t xml:space="preserve"> and other Technology Platforms for the oral administration of therapeutics. Finally, we are pursuing our meningeal lymphatics research program to develop potential treatments for neurodegenerative and neuroinflammatory diseases. In addition to programs originating from these innovative platforms to fuel our pipeline, we also continually identify external clinical-stage programs that are highly differentiated and complementary to the immuno-modulation focus of our Wholly Owned Pipeline. Key developments and progress include the following:</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Program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LYT-100</w:t>
      </w:r>
    </w:p>
    <w:p>
      <w:pPr>
        <w:spacing w:after="0" w:line="135" w:lineRule="exact"/>
        <w:rPr>
          <w:sz w:val="20"/>
          <w:szCs w:val="20"/>
          <w:color w:val="auto"/>
        </w:rPr>
      </w:pPr>
    </w:p>
    <w:p>
      <w:pPr>
        <w:ind w:left="960" w:hanging="424"/>
        <w:spacing w:after="0" w:line="255"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January 2022 post-period, we were pleased to announce results from a randomized, double-blind crossover study in healthy older adults demonstrating that approximately 50% fewer subjects treated with LYT-100 experienced gastrointestinal (GI)-related adverse events (AE) compared to subjects treated with pirfenidone (17.4% vs. 34.0%). Based on these results, additional data generated from our robust LYT-100 clinical program and recent regulatory feedback, we intend to advance LYT-100 into late-stage clinical development for the treatment of idiopathic pulmonary fibrosis (IPF), beginning with a dose-ranging study evaluating six months of treatment with LYT-100 with topline results expected by the end of 2023.</w:t>
      </w:r>
    </w:p>
    <w:p>
      <w:pPr>
        <w:spacing w:after="0" w:line="97" w:lineRule="exact"/>
        <w:rPr>
          <w:rFonts w:ascii="Arial" w:cs="Arial" w:eastAsia="Arial" w:hAnsi="Arial"/>
          <w:sz w:val="18"/>
          <w:szCs w:val="18"/>
          <w:color w:val="auto"/>
        </w:rPr>
      </w:pPr>
    </w:p>
    <w:p>
      <w:pPr>
        <w:ind w:left="960" w:right="20" w:hanging="424"/>
        <w:spacing w:after="0" w:line="25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2021, we progressed two Phase 2 clinical trials of LYT-100 including 1) a global, randomized, double-blind, placebo-controlled Phase 2 trial to evaluate the efficacy, safety and tolerability of LYT-100-COV in adults with Long COVID</w:t>
      </w:r>
      <w:r>
        <w:rPr>
          <w:rFonts w:ascii="Arial" w:cs="Arial" w:eastAsia="Arial" w:hAnsi="Arial"/>
          <w:sz w:val="15"/>
          <w:szCs w:val="15"/>
          <w:color w:val="auto"/>
        </w:rPr>
        <w:t>6</w:t>
      </w:r>
      <w:r>
        <w:rPr>
          <w:rFonts w:ascii="Arial" w:cs="Arial" w:eastAsia="Arial" w:hAnsi="Arial"/>
          <w:sz w:val="18"/>
          <w:szCs w:val="18"/>
          <w:color w:val="auto"/>
        </w:rPr>
        <w:t xml:space="preserve"> respiratory complications and related sequelae and 2) a Phase 2a proof-of-concept study of LYT-100-LYMPH in patients with breast cancer-related, upper limb secondary lymphedema. Topline results from the LYT-100-COV trial are expected in the first half of 2022, and topline results from the LYT-100-LYMPH trial are expected in 2022.</w:t>
      </w:r>
    </w:p>
    <w:p>
      <w:pPr>
        <w:spacing w:after="0" w:line="93" w:lineRule="exact"/>
        <w:rPr>
          <w:rFonts w:ascii="Arial" w:cs="Arial" w:eastAsia="Arial" w:hAnsi="Arial"/>
          <w:sz w:val="18"/>
          <w:szCs w:val="18"/>
          <w:color w:val="auto"/>
        </w:rPr>
      </w:pPr>
    </w:p>
    <w:p>
      <w:pPr>
        <w:ind w:left="960" w:right="60" w:hanging="424"/>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2021, we also initiated a three-month, open-label extension of the LYT-100-COV Phase 2 trial in adults with Long COVID respiratory complications and related sequelae who completed the first portion of the trial. The primary endpoint of the extension trial will measure change in distance walked on the six-minute walk test (6MWT), with secondary endpoints to assess the longer-term safety and tolerability of LYT-100- COV up to 182 days of treatment.</w:t>
      </w:r>
    </w:p>
    <w:p>
      <w:pPr>
        <w:spacing w:after="0" w:line="92" w:lineRule="exact"/>
        <w:rPr>
          <w:rFonts w:ascii="Arial" w:cs="Arial" w:eastAsia="Arial" w:hAnsi="Arial"/>
          <w:sz w:val="18"/>
          <w:szCs w:val="18"/>
          <w:color w:val="auto"/>
        </w:rPr>
      </w:pPr>
    </w:p>
    <w:p>
      <w:pPr>
        <w:ind w:left="960" w:right="20" w:hanging="424"/>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2021, we initiated additional clinical studies to further evaluate the pharmacokinetic (PK), dosing and tolerability of LYT-100 in healthy volunteers and healthy older adults to inform the clinical development of LYT-100 across multiple indications. Results from these studies demonstrated that LYT-100 was well-tolerated at 824mg TID dosing with low rates of GI AEs that were comparable to placebo. These results will further inform our dose-ranging study design in treatment-naïve IPF patients.</w:t>
      </w:r>
    </w:p>
    <w:p>
      <w:pPr>
        <w:spacing w:after="0" w:line="92" w:lineRule="exact"/>
        <w:rPr>
          <w:rFonts w:ascii="Arial" w:cs="Arial" w:eastAsia="Arial" w:hAnsi="Arial"/>
          <w:sz w:val="18"/>
          <w:szCs w:val="18"/>
          <w:color w:val="auto"/>
        </w:rPr>
      </w:pPr>
    </w:p>
    <w:p>
      <w:pPr>
        <w:ind w:left="960" w:right="20" w:hanging="424"/>
        <w:spacing w:after="0" w:line="25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2021, we formed a Clinical Advisory Board for IPF and other progressive fibrosing interstitial lung diseases (PF-ILDs). These physicians and researchers with deep expertise in the clinical development of novel therapies in PF-ILDs include Bill Bradford, M.D., Ph.D., biopharma advisor with broad expertise in drug development; Vincent Cottin, M.D., Professor of Respiratory Medicine at Université Claude Bernard Lyon and Coordinator of the National Coordinating Reference Center for Rare Pulmonary Diseases at Louis Pradel Hospital, Hospices Civils de Lyon, Lyon, France; Kevin Flaherty, M.D., Professor at the University of Michigan specializing in IPF and other ILDs; Toby Maher, M.D., Ph.D., Professor of Clinical Medicine and Director of Interstitial Lung Disease at Keck School of Medicine of the University of Southern California; Paul Noble, M.D., Chair of the Department of Medicine at Cedars-Sinai Medical Center and a noted researcher in lung inflammation and fibrosis; and Marlies Wijsenbeek, M.D., Ph.D., pulmonary physician at the Erasmus Medical Center.</w:t>
      </w:r>
    </w:p>
    <w:p>
      <w:pPr>
        <w:spacing w:after="0" w:line="101"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In August 2021, we presented the results of the Phase 1 multiple ascending dose and food effect study of LYT-100 at the virtual European Respiratory Society (ERS) International Congress. The results from the study were subsequently published in the journal </w:t>
      </w:r>
      <w:r>
        <w:rPr>
          <w:rFonts w:ascii="Arial" w:cs="Arial" w:eastAsia="Arial" w:hAnsi="Arial"/>
          <w:sz w:val="18"/>
          <w:szCs w:val="18"/>
          <w:i w:val="1"/>
          <w:iCs w:val="1"/>
          <w:color w:val="auto"/>
        </w:rPr>
        <w:t>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Pharmacology in Drug Development </w:t>
      </w:r>
      <w:r>
        <w:rPr>
          <w:rFonts w:ascii="Arial" w:cs="Arial" w:eastAsia="Arial" w:hAnsi="Arial"/>
          <w:sz w:val="18"/>
          <w:szCs w:val="18"/>
          <w:color w:val="auto"/>
        </w:rPr>
        <w:t>in November 2021.</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LYT-200</w:t>
      </w:r>
    </w:p>
    <w:p>
      <w:pPr>
        <w:spacing w:after="0" w:line="135" w:lineRule="exact"/>
        <w:rPr>
          <w:sz w:val="20"/>
          <w:szCs w:val="20"/>
          <w:color w:val="auto"/>
        </w:rPr>
      </w:pPr>
    </w:p>
    <w:p>
      <w:pPr>
        <w:ind w:left="960" w:hanging="424"/>
        <w:spacing w:after="0" w:line="289"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2021, we progressed the first stage of an adaptive Phase 1/2 clinical trial evaluating LYT-200 (anti-galectin-9 fully human monoclonal antibody) as a single agent for the potential treatment of difficult- to-treat solid tumors. In November 2021, we presented a scientific poster describing the trial at the Society for Immunotherapy of Cancer (SITC) 36th annual meeting. Topline results from the Phase 1 portion of the study are expected in the first half of 2022. Pending these results, we intend to initiate the Phase 2 expansion cohort portion of the trial, which is designed to evaluate LYT-200 both as a single agent and/or in combination with BeiGene’s tislelizumab, an anti-PD-1 monoclonal antibody, or chemotherapy. The Phase 2 portion of the study is currently planned to enroll patients with a range of solid tumor types, including pancreatic cancer and other GI solid tumors. Under the terms of the clinical trial and supply agreement we entered into with an affiliate of BeiGene, Ltd. in July 2021, we will maintain control of the LYT-200 program, including global R&amp;D and commercial rights, and BeiGene has agreed to supply tislelizumab for use in combination with LYT-200 for the planned Phase 2 study cohorts.</w:t>
      </w:r>
    </w:p>
    <w:p>
      <w:pPr>
        <w:spacing w:after="0" w:line="71" w:lineRule="exact"/>
        <w:rPr>
          <w:rFonts w:ascii="Arial" w:cs="Arial" w:eastAsia="Arial" w:hAnsi="Arial"/>
          <w:sz w:val="16"/>
          <w:szCs w:val="16"/>
          <w:color w:val="auto"/>
        </w:rPr>
      </w:pPr>
    </w:p>
    <w:p>
      <w:pPr>
        <w:ind w:left="960" w:right="80" w:hanging="424"/>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November 2021, the FDA granted orphan drug designation to LYT-200 for the treatment of pancreatic cancer. The FDA grants orphan drug designation to novel drug and biologic products for the treatment, diagnosis or prevention of conditions affecting fewer than 200,000 persons in the U.S. Orphan drug designation qualifies PureTech for incentives under the Orphan Drug Act, including tax credits for some clinical trials and eligibility for seven years of market exclusivity in the U.S. if the drug is approved, in addition to our broad intellectual property coverage which can extend the exclusivity into 2038.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LYT-210</w:t>
      </w:r>
    </w:p>
    <w:p>
      <w:pPr>
        <w:spacing w:after="0" w:line="135" w:lineRule="exact"/>
        <w:rPr>
          <w:sz w:val="20"/>
          <w:szCs w:val="20"/>
          <w:color w:val="auto"/>
        </w:rPr>
      </w:pPr>
    </w:p>
    <w:p>
      <w:pPr>
        <w:ind w:left="960" w:right="320" w:hanging="424"/>
        <w:spacing w:after="0" w:line="30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April 2021, we presented a scientific poster detailing promising preclinical results for LYT-210 (anti-gamma-delta-1 fully human monoclonal antibody) at the 2021 American Association for Cancer Research (AACR) Annual Virtual Meeting. The research demonstrated that LYT-210 is both highly specific and highly potent, rapidly inducing cell death of immunomodulatory gamma delta-1 cells, while sparing other T cells, such as cytotoxic gamma delta T cells, that play important roles in a healthy immune response.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LYT-300</w:t>
      </w:r>
    </w:p>
    <w:p>
      <w:pPr>
        <w:spacing w:after="0" w:line="135" w:lineRule="exact"/>
        <w:rPr>
          <w:sz w:val="20"/>
          <w:szCs w:val="20"/>
          <w:color w:val="auto"/>
        </w:rPr>
      </w:pPr>
    </w:p>
    <w:p>
      <w:pPr>
        <w:ind w:left="960" w:right="40" w:hanging="424"/>
        <w:spacing w:after="0" w:line="30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December 2021, we initiated a Phase 1 clinical study of LYT-300 (oral allopregnanolone), the first therapeutic candidate generated from our Glyph platform, for the potential treatment of neurological and neuropsychological conditions. Results from the study are expected in the second half of 2022 and will be used to inform the design of possible future studies evaluating LYT-300 in indications that could include depression, anxiety, sleep disorders, fragile X tremor-associated syndrome, essential tremor and epileptic disorders, among others.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Alivio Technology Platform</w:t>
      </w:r>
    </w:p>
    <w:p>
      <w:pPr>
        <w:spacing w:after="0" w:line="135" w:lineRule="exact"/>
        <w:rPr>
          <w:sz w:val="20"/>
          <w:szCs w:val="20"/>
          <w:color w:val="auto"/>
        </w:rPr>
      </w:pPr>
    </w:p>
    <w:p>
      <w:pPr>
        <w:ind w:left="960" w:right="360" w:hanging="424"/>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2021, we announced the acquisition of the remaining 22% of outstanding shares in our Founded Entity, Alivio Therapeutics (“Alivio”). Alivio’s therapeutic candidates, in development for inflammatory disorders including IBD, have been integrated into our Wholly Owned Pipeline, and the underlying Alivio technology platform has been added to our lymphatic and inflammation platforms.</w:t>
      </w:r>
    </w:p>
    <w:p>
      <w:pPr>
        <w:spacing w:after="0" w:line="54" w:lineRule="exact"/>
        <w:rPr>
          <w:rFonts w:ascii="Arial" w:cs="Arial" w:eastAsia="Arial" w:hAnsi="Arial"/>
          <w:sz w:val="16"/>
          <w:szCs w:val="16"/>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Alivio technology platform has generated three therapeutic candidates:</w:t>
      </w:r>
    </w:p>
    <w:p>
      <w:pPr>
        <w:spacing w:after="0" w:line="130" w:lineRule="exact"/>
        <w:rPr>
          <w:rFonts w:ascii="Arial" w:cs="Arial" w:eastAsia="Arial" w:hAnsi="Arial"/>
          <w:sz w:val="18"/>
          <w:szCs w:val="18"/>
          <w:color w:val="auto"/>
        </w:rPr>
      </w:pPr>
    </w:p>
    <w:p>
      <w:pPr>
        <w:ind w:left="2080" w:right="60" w:hanging="545"/>
        <w:spacing w:after="0" w:line="301" w:lineRule="auto"/>
        <w:tabs>
          <w:tab w:leader="none" w:pos="2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the 2022 post-period, we nominated a new therapeutic candidate, LYT-510, to our pipeline. LYT-510 is an orally-administered therapeutic candidate for the potential treatment of IBD and chronic pouchitis, which is a rare orphan disease. We intend to file for regulatory approval to initiate first-in-human studies at year end 2022 and initiate a clinical study evaluating LYT-510 as a single agent for the potential treatment of IBD and chronic pouchitis in early 2023.</w:t>
      </w:r>
    </w:p>
    <w:p>
      <w:pPr>
        <w:spacing w:after="0" w:line="62" w:lineRule="exact"/>
        <w:rPr>
          <w:rFonts w:ascii="Arial" w:cs="Arial" w:eastAsia="Arial" w:hAnsi="Arial"/>
          <w:sz w:val="16"/>
          <w:szCs w:val="16"/>
          <w:color w:val="auto"/>
        </w:rPr>
      </w:pPr>
    </w:p>
    <w:p>
      <w:pPr>
        <w:ind w:left="2080" w:right="56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LYT-500 is an orally administered combination of therapeutic agents in development for IBD. We expect preclinical proof-of-concept data for LYT-500 in the first half of 2022.</w:t>
      </w:r>
    </w:p>
    <w:p>
      <w:pPr>
        <w:sectPr>
          <w:pgSz w:w="11900" w:h="16838" w:orient="portrait"/>
          <w:cols w:equalWidth="0" w:num="1">
            <w:col w:w="11000"/>
          </w:cols>
          <w:pgMar w:left="440" w:top="270" w:right="459" w:bottom="1440" w:gutter="0" w:footer="0" w:header="0"/>
        </w:sectPr>
      </w:pPr>
    </w:p>
    <w:bookmarkStart w:id="7" w:name="page8"/>
    <w:bookmarkEnd w:id="7"/>
    <w:p>
      <w:pPr>
        <w:ind w:left="2080" w:right="140" w:hanging="545"/>
        <w:spacing w:after="0" w:line="342" w:lineRule="auto"/>
        <w:tabs>
          <w:tab w:leader="none" w:pos="208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LYT-503/ IMB-150 is a non-opioid pain candidate being developed as a partnered program for the potential treatment of IC/BPS. An Investigational New Drug (“IND”) application is expected to be filed for LYT-503/IMB-150 in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Glyph Technology Platform</w:t>
      </w:r>
    </w:p>
    <w:p>
      <w:pPr>
        <w:spacing w:after="0" w:line="135" w:lineRule="exact"/>
        <w:rPr>
          <w:sz w:val="20"/>
          <w:szCs w:val="20"/>
          <w:color w:val="auto"/>
        </w:rPr>
      </w:pPr>
    </w:p>
    <w:p>
      <w:pPr>
        <w:ind w:left="960" w:right="4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September 2021, preclinical proof-of-concept research supporting the Glyph technology platform, which showed for the first time that restoring normal function of the mesenteric lymphatics may reverse insulin resistance and modify obesity-associated metabolic disease, was published in </w:t>
      </w:r>
      <w:r>
        <w:rPr>
          <w:rFonts w:ascii="Arial" w:cs="Arial" w:eastAsia="Arial" w:hAnsi="Arial"/>
          <w:sz w:val="18"/>
          <w:szCs w:val="18"/>
          <w:i w:val="1"/>
          <w:iCs w:val="1"/>
          <w:color w:val="auto"/>
        </w:rPr>
        <w:t>Nature Metabolism</w:t>
      </w:r>
      <w:r>
        <w:rPr>
          <w:rFonts w:ascii="Arial" w:cs="Arial" w:eastAsia="Arial" w:hAnsi="Arial"/>
          <w:sz w:val="18"/>
          <w:szCs w:val="18"/>
          <w:color w:val="auto"/>
        </w:rPr>
        <w:t xml:space="preserve">. Preclinical proof-of-concept work published in the </w:t>
      </w:r>
      <w:r>
        <w:rPr>
          <w:rFonts w:ascii="Arial" w:cs="Arial" w:eastAsia="Arial" w:hAnsi="Arial"/>
          <w:sz w:val="18"/>
          <w:szCs w:val="18"/>
          <w:i w:val="1"/>
          <w:iCs w:val="1"/>
          <w:color w:val="auto"/>
        </w:rPr>
        <w:t>Journal of Controlled Release</w:t>
      </w:r>
      <w:r>
        <w:rPr>
          <w:rFonts w:ascii="Arial" w:cs="Arial" w:eastAsia="Arial" w:hAnsi="Arial"/>
          <w:sz w:val="18"/>
          <w:szCs w:val="18"/>
          <w:color w:val="auto"/>
        </w:rPr>
        <w:t xml:space="preserve"> in February 2021 also supported the platform’s ability to directly target the lymphatic system.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Orasome and Other Technology Platforms for Oral Administration of Therapeutics</w:t>
      </w:r>
    </w:p>
    <w:p>
      <w:pPr>
        <w:spacing w:after="0" w:line="135" w:lineRule="exact"/>
        <w:rPr>
          <w:sz w:val="20"/>
          <w:szCs w:val="20"/>
          <w:color w:val="auto"/>
        </w:rPr>
      </w:pPr>
    </w:p>
    <w:p>
      <w:pPr>
        <w:ind w:left="960" w:hanging="424"/>
        <w:spacing w:after="0" w:line="25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2021, we also progressed versatile and programmable oral biotherapeutics approaches, such as our Orasome platform, which is a novel programmable and scalable approach for the oral administration of nucleic acids and other biologics. We established preclinical proof-of-concept supporting the platform’s potential to achieve therapeutic levels of proteins in circulation following the oral administration of therapeutic protein expression systems. We expect to generate additional preclinical data, with Orasomes and other technologies, in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Meningeal Lymphatics Research Program</w:t>
      </w:r>
    </w:p>
    <w:p>
      <w:pPr>
        <w:spacing w:after="0" w:line="135" w:lineRule="exact"/>
        <w:rPr>
          <w:sz w:val="20"/>
          <w:szCs w:val="20"/>
          <w:color w:val="auto"/>
        </w:rPr>
      </w:pPr>
    </w:p>
    <w:p>
      <w:pPr>
        <w:ind w:left="960" w:right="120" w:hanging="424"/>
        <w:spacing w:after="0" w:line="293"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April 2021, preclinical work supporting our meningeal lymphatics research program was published in </w:t>
      </w:r>
      <w:r>
        <w:rPr>
          <w:rFonts w:ascii="Arial" w:cs="Arial" w:eastAsia="Arial" w:hAnsi="Arial"/>
          <w:sz w:val="16"/>
          <w:szCs w:val="16"/>
          <w:i w:val="1"/>
          <w:iCs w:val="1"/>
          <w:color w:val="auto"/>
        </w:rPr>
        <w:t>Nature</w:t>
      </w:r>
      <w:r>
        <w:rPr>
          <w:rFonts w:ascii="Arial" w:cs="Arial" w:eastAsia="Arial" w:hAnsi="Arial"/>
          <w:sz w:val="16"/>
          <w:szCs w:val="16"/>
          <w:color w:val="auto"/>
        </w:rPr>
        <w:t>. The research suggests that restoring lymphatic flow in the brain, either alone or in combination with passive immunotherapies such as antibodies directed at amyloid beta, has the potential to address a range of neurodegenerative diseases including Alzheimer’s and Parkinson’s diseases and the associated neuroinflammation. The work also uncovered a link between dysfunctional meningeal lymphatics and damaging microglia activation in Alzheimer’s disease, which potentially impairs the efficacy of passive immunotherapies such as amyloid-beta-targeting antibodies. This suggests another route by which restoring healthy drainage patterns could improve clinical outcomes.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35" w:lineRule="exact"/>
        <w:rPr>
          <w:sz w:val="20"/>
          <w:szCs w:val="20"/>
          <w:color w:val="auto"/>
        </w:rPr>
      </w:pPr>
    </w:p>
    <w:p>
      <w:pPr>
        <w:ind w:left="960" w:right="120" w:hanging="424"/>
        <w:spacing w:after="0" w:line="30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2021, we continued to build our clinical development team by bringing together seasoned experts focused on tackling diseases with significant unmet medical needs. Julie Krop, M.D., was appointed as Chief Medical Officer. Dr. Krop oversees all clinical development, regulatory, CMC and medical affairs for advancing our Wholly Owned Pipeline. Other additions to our team included Paul Ford, M.D., Ph.D., SVP of Clinical Development who is primarily overseeing the overall LYT-100 development program, including for IPF.</w:t>
      </w:r>
    </w:p>
    <w:p>
      <w:pPr>
        <w:spacing w:after="0" w:line="62" w:lineRule="exact"/>
        <w:rPr>
          <w:rFonts w:ascii="Arial" w:cs="Arial" w:eastAsia="Arial" w:hAnsi="Arial"/>
          <w:sz w:val="16"/>
          <w:szCs w:val="16"/>
          <w:color w:val="auto"/>
        </w:rPr>
      </w:pPr>
    </w:p>
    <w:p>
      <w:pPr>
        <w:ind w:left="960" w:right="20" w:hanging="424"/>
        <w:spacing w:after="0" w:line="29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March 2022 post-period, we appointed Sharon Barber-Lui to our board of directors as a non-executive director and as a member of the Audit Committee. She previously led U.S. Oncology Portfolio Strategy, Operations and Business Analytics at Merck &amp; Co. Inc.</w:t>
      </w:r>
    </w:p>
    <w:p>
      <w:pPr>
        <w:ind w:left="960"/>
        <w:spacing w:after="0" w:line="260" w:lineRule="auto"/>
        <w:rPr>
          <w:rFonts w:ascii="Arial" w:cs="Arial" w:eastAsia="Arial" w:hAnsi="Arial"/>
          <w:sz w:val="16"/>
          <w:szCs w:val="16"/>
          <w:color w:val="auto"/>
        </w:rPr>
      </w:pPr>
      <w:r>
        <w:rPr>
          <w:rFonts w:ascii="Arial" w:cs="Arial" w:eastAsia="Arial" w:hAnsi="Arial"/>
          <w:sz w:val="18"/>
          <w:szCs w:val="18"/>
          <w:color w:val="auto"/>
        </w:rPr>
        <w:t>Ms. Barber-Lui brings extensive experience in finance, operations, portfolio management and commercialization to our board of industry, business, and academic leaders.</w:t>
      </w:r>
    </w:p>
    <w:p>
      <w:pPr>
        <w:spacing w:after="0" w:line="90" w:lineRule="exact"/>
        <w:rPr>
          <w:rFonts w:ascii="Arial" w:cs="Arial" w:eastAsia="Arial" w:hAnsi="Arial"/>
          <w:sz w:val="16"/>
          <w:szCs w:val="16"/>
          <w:color w:val="auto"/>
        </w:rPr>
      </w:pPr>
    </w:p>
    <w:p>
      <w:pPr>
        <w:ind w:left="960" w:right="16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2021, we remained deeply committed to making progress in our Environmental, Social and Governance (ESG) program. The second edition of our ESG report has been published as part of the annual report and a new ESG webpage has been launched which can be accessed at </w:t>
      </w:r>
      <w:r>
        <w:rPr>
          <w:rFonts w:ascii="Arial" w:cs="Arial" w:eastAsia="Arial" w:hAnsi="Arial"/>
          <w:sz w:val="18"/>
          <w:szCs w:val="18"/>
          <w:u w:val="single" w:color="auto"/>
          <w:color w:val="auto"/>
        </w:rPr>
        <w:t>investors.puretechhealth.com.</w:t>
      </w:r>
    </w:p>
    <w:p>
      <w:pPr>
        <w:sectPr>
          <w:pgSz w:w="11900" w:h="16838" w:orient="portrait"/>
          <w:cols w:equalWidth="0" w:num="1">
            <w:col w:w="10880"/>
          </w:cols>
          <w:pgMar w:left="440" w:top="274" w:right="5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Allocation Strategy</w:t>
      </w:r>
    </w:p>
    <w:p>
      <w:pPr>
        <w:spacing w:after="0" w:line="135" w:lineRule="exact"/>
        <w:rPr>
          <w:sz w:val="20"/>
          <w:szCs w:val="20"/>
          <w:color w:val="auto"/>
        </w:rPr>
      </w:pPr>
    </w:p>
    <w:p>
      <w:pPr>
        <w:ind w:left="960" w:right="340" w:hanging="424"/>
        <w:spacing w:after="0" w:line="296"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strong foundation we have built to support PureTech’s future growth, our Board and senior leadership team have been considering various approaches to drive additional value for our shareholders, including reviewing a capital allocation strategy that balances investment in the continued growth of our business with potential returns of capital to shareholders. Our strategy includes the maintenance of a minimum of three years of cash on hand to fund the continued development and expansion of our Wholly Owned Pipeline and strategic investment in our Founded Entities. Our cash runway is expected into the first quarter of 2025.</w:t>
      </w:r>
    </w:p>
    <w:p>
      <w:pPr>
        <w:spacing w:after="0" w:line="66" w:lineRule="exact"/>
        <w:rPr>
          <w:rFonts w:ascii="Arial" w:cs="Arial" w:eastAsia="Arial" w:hAnsi="Arial"/>
          <w:sz w:val="16"/>
          <w:szCs w:val="16"/>
          <w:color w:val="auto"/>
        </w:rPr>
      </w:pPr>
    </w:p>
    <w:p>
      <w:pPr>
        <w:ind w:left="960" w:right="20" w:hanging="424"/>
        <w:spacing w:after="0" w:line="311"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future, when appropriate to do so, we will also aim to return a portion of the proceeds we may generate from either (1) the monetization of equity interests in our Founded Entities, (2) the receipt of potential royalty and sublicense income, and/or (3) other sources of proceeds such as strategic partnerships, to shareholders through various mechanisms, including share buybacks or special dividends.</w:t>
      </w:r>
    </w:p>
    <w:p>
      <w:pPr>
        <w:spacing w:after="0" w:line="54" w:lineRule="exact"/>
        <w:rPr>
          <w:rFonts w:ascii="Arial" w:cs="Arial" w:eastAsia="Arial" w:hAnsi="Arial"/>
          <w:sz w:val="16"/>
          <w:szCs w:val="16"/>
          <w:color w:val="auto"/>
        </w:rPr>
      </w:pPr>
    </w:p>
    <w:p>
      <w:pPr>
        <w:ind w:left="960" w:right="100" w:hanging="424"/>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augment this approach should opportunities arise to use available funds for strategic growth opportunities, such as in-licensing of therapeutic candidates or intellectual property, asset purchases, or strategic M&amp;A, to the extent such opportunities are aligned with our long-term strategic vision.</w:t>
      </w:r>
    </w:p>
    <w:p>
      <w:pPr>
        <w:spacing w:after="0" w:line="89" w:lineRule="exact"/>
        <w:rPr>
          <w:rFonts w:ascii="Arial" w:cs="Arial" w:eastAsia="Arial" w:hAnsi="Arial"/>
          <w:sz w:val="18"/>
          <w:szCs w:val="18"/>
          <w:color w:val="auto"/>
        </w:rPr>
      </w:pPr>
    </w:p>
    <w:p>
      <w:pPr>
        <w:ind w:left="960" w:right="240" w:hanging="424"/>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we evaluate our capital allocation strategy, we intend to engage with shareholders to understand preferences and market perspectives with respect to certain potential near-term activities related to the implementation of this capital allocation strategy. Any plan to return capital to shareholders will be subject to market and industry conditions at the time, the approval of our Board of Directors, restrictions under the law and other corporate considerations.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5" w:lineRule="exact"/>
        <w:rPr>
          <w:sz w:val="20"/>
          <w:szCs w:val="20"/>
          <w:color w:val="auto"/>
        </w:rPr>
      </w:pPr>
    </w:p>
    <w:p>
      <w:pPr>
        <w:ind w:left="960" w:right="22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2021, PureTech sold 1,750,000 shares of Karuna common stock for cash consideration of approximately $218 million in two separate transactions in February and November.</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PureTech Level Cash and Cash Equivalents were $418.9 million as of December 31, 2021</w:t>
      </w:r>
      <w:r>
        <w:rPr>
          <w:rFonts w:ascii="Arial" w:cs="Arial" w:eastAsia="Arial" w:hAnsi="Arial"/>
          <w:sz w:val="15"/>
          <w:szCs w:val="15"/>
          <w:color w:val="auto"/>
        </w:rPr>
        <w:t>1</w:t>
      </w:r>
      <w:r>
        <w:rPr>
          <w:rFonts w:ascii="Arial" w:cs="Arial" w:eastAsia="Arial" w:hAnsi="Arial"/>
          <w:sz w:val="18"/>
          <w:szCs w:val="18"/>
          <w:color w:val="auto"/>
        </w:rPr>
        <w:t>. We reiterated our cash runway guidance into the first quarter of 2025.</w:t>
      </w:r>
    </w:p>
    <w:p>
      <w:pPr>
        <w:spacing w:after="0" w:line="75" w:lineRule="exact"/>
        <w:rPr>
          <w:rFonts w:ascii="Arial" w:cs="Arial" w:eastAsia="Arial" w:hAnsi="Arial"/>
          <w:sz w:val="18"/>
          <w:szCs w:val="18"/>
          <w:color w:val="auto"/>
        </w:rPr>
      </w:pPr>
    </w:p>
    <w:p>
      <w:pPr>
        <w:ind w:left="960" w:right="112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cash and cash equivalents, which includes cash held at the PureTech level and at Controlled Founded Entities, were $465.7 million as of December 31, 2021</w:t>
      </w:r>
      <w:r>
        <w:rPr>
          <w:rFonts w:ascii="Arial" w:cs="Arial" w:eastAsia="Arial" w:hAnsi="Arial"/>
          <w:sz w:val="15"/>
          <w:szCs w:val="15"/>
          <w:color w:val="auto"/>
        </w:rPr>
        <w:t>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PureTech’s Founded Entities raised $731.9 million in 2021</w:t>
      </w:r>
      <w:r>
        <w:rPr>
          <w:rFonts w:ascii="Arial" w:cs="Arial" w:eastAsia="Arial" w:hAnsi="Arial"/>
          <w:sz w:val="15"/>
          <w:szCs w:val="15"/>
          <w:color w:val="auto"/>
        </w:rPr>
        <w:t>7</w:t>
      </w:r>
      <w:r>
        <w:rPr>
          <w:rFonts w:ascii="Arial" w:cs="Arial" w:eastAsia="Arial" w:hAnsi="Arial"/>
          <w:sz w:val="18"/>
          <w:szCs w:val="18"/>
          <w:color w:val="auto"/>
        </w:rPr>
        <w:t xml:space="preserve"> and approximately an additional $105 million in the 2022 post-period, almost all of which came from third parties.</w:t>
      </w:r>
    </w:p>
    <w:p>
      <w:pPr>
        <w:spacing w:after="0" w:line="75"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PureTech Level Cash and Cash Equivalents were $377.9 million, based on consolidated cash and cash equivalents of $413.2 million as of March 31, 2022</w:t>
      </w:r>
      <w:r>
        <w:rPr>
          <w:rFonts w:ascii="Arial" w:cs="Arial" w:eastAsia="Arial" w:hAnsi="Arial"/>
          <w:sz w:val="15"/>
          <w:szCs w:val="15"/>
          <w:color w:val="auto"/>
        </w:rPr>
        <w:t>8</w:t>
      </w:r>
      <w:r>
        <w:rPr>
          <w:rFonts w:ascii="Arial" w:cs="Arial" w:eastAsia="Arial" w:hAnsi="Arial"/>
          <w:sz w:val="18"/>
          <w:szCs w:val="18"/>
          <w:color w:val="auto"/>
        </w:rPr>
        <w:t>, with spend largely attributed to the successful progression of Wholly Owned Programs into more advanced stages of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PureTech’s Founded Entities matured over the year, with significant clinical and financial momentum</w:t>
      </w:r>
      <w:r>
        <w:rPr>
          <w:rFonts w:ascii="Arial" w:cs="Arial" w:eastAsia="Arial" w:hAnsi="Arial"/>
          <w:sz w:val="15"/>
          <w:szCs w:val="15"/>
          <w:b w:val="1"/>
          <w:bCs w:val="1"/>
          <w:color w:val="auto"/>
        </w:rPr>
        <w:t>9</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PureTech’s Founded Entities have made significant progress advancing 20 therapeutics and therapeutic candidates, of which two have been cleared for marketing by the FDA and granted marketing authorization in the European Economic Area and 13 are clinical stage. Key developments included the following:</w:t>
      </w:r>
    </w:p>
    <w:p>
      <w:pPr>
        <w:spacing w:after="0" w:line="89" w:lineRule="exact"/>
        <w:rPr>
          <w:sz w:val="20"/>
          <w:szCs w:val="20"/>
          <w:color w:val="auto"/>
        </w:rPr>
      </w:pPr>
    </w:p>
    <w:p>
      <w:pPr>
        <w:ind w:left="960" w:right="8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Karuna Therapeutics, Inc. (PureTech ownership as of February 15, 2022: 5.6%; We also are eligible to receive payments under our license agreement, including sublicense payments and royalties on net sales)</w:t>
      </w:r>
    </w:p>
    <w:p>
      <w:pPr>
        <w:spacing w:after="0" w:line="197" w:lineRule="exact"/>
        <w:rPr>
          <w:rFonts w:ascii="Arial" w:cs="Arial" w:eastAsia="Arial" w:hAnsi="Arial"/>
          <w:sz w:val="18"/>
          <w:szCs w:val="18"/>
          <w:color w:val="auto"/>
        </w:rPr>
      </w:pPr>
    </w:p>
    <w:p>
      <w:pPr>
        <w:ind w:left="2080" w:hanging="545"/>
        <w:spacing w:after="0" w:line="290" w:lineRule="auto"/>
        <w:tabs>
          <w:tab w:leader="none" w:pos="2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November 2021, Karuna announced further updates to the EMERGENT program’s four ongoing Phase 3 trials, including that topline data from EMERGENT-2, a five-week inpatient trial evaluating the efficacy and safety of KarXT compared to placebo in 246 adults with schizophrenia in the U.S., are expected in mid-2022. EMERGENT-3, a five-week inpatient trial evaluating the efficacy and safety of KarXT compared to placebo in 246 adults with schizophrenia in the U.S. and Ukraine, is underway. EMERGENT-4, a 52-week outpatient, open-label extension trial evaluating the long-term safety and tolerability of KarXT in 350 adults with schizophrenia who completed EMERGENT-2 or EMERGENT-3, and EMERGENT-5, a 52-week outpatient, open-label trial evaluating the long-term safety and tolerability of KarXT in adults with schizophrenia who were not enrolled in EMERGENT-2 or EMERGENT-3, are also underway.</w:t>
      </w:r>
    </w:p>
    <w:p>
      <w:pPr>
        <w:sectPr>
          <w:pgSz w:w="11900" w:h="16838" w:orient="portrait"/>
          <w:cols w:equalWidth="0" w:num="1">
            <w:col w:w="11000"/>
          </w:cols>
          <w:pgMar w:left="440" w:top="270" w:right="459" w:bottom="1440" w:gutter="0" w:footer="0" w:header="0"/>
        </w:sectPr>
      </w:pPr>
    </w:p>
    <w:bookmarkStart w:id="9" w:name="page10"/>
    <w:bookmarkEnd w:id="9"/>
    <w:p>
      <w:pPr>
        <w:ind w:left="1544" w:right="180" w:hanging="545"/>
        <w:spacing w:after="0" w:line="342" w:lineRule="auto"/>
        <w:tabs>
          <w:tab w:leader="none" w:pos="1544" w:val="left"/>
        </w:tabs>
        <w:numPr>
          <w:ilvl w:val="1"/>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2021, Karuna initiated the Phase 3 ARISE trial evaluating the safety and efficacy of KarXT compared to placebo as an adjunctive treatment in adults with schizophrenia who experience an inadequate response to current standard of care.</w:t>
      </w:r>
    </w:p>
    <w:p>
      <w:pPr>
        <w:spacing w:after="0" w:line="29" w:lineRule="exact"/>
        <w:rPr>
          <w:rFonts w:ascii="Arial" w:cs="Arial" w:eastAsia="Arial" w:hAnsi="Arial"/>
          <w:sz w:val="16"/>
          <w:szCs w:val="16"/>
          <w:color w:val="auto"/>
        </w:rPr>
      </w:pPr>
    </w:p>
    <w:p>
      <w:pPr>
        <w:ind w:left="1544" w:right="20" w:hanging="545"/>
        <w:spacing w:after="0" w:line="272" w:lineRule="auto"/>
        <w:tabs>
          <w:tab w:leader="none" w:pos="15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June 2021, Karuna announced data from its completed Phase 1b trial evaluating the safety and tolerability of KarXT in healthy elderly volunteers, which followed a preliminary analysis of data from the first two cohorts in the trial announced earlier this year. The results suggest that KarXT can be administered to elderly volunteers at doses which achieve xanomeline blood levels similar to those reported in the Phase 2 EMERGENT-1 trial in adults with schizophrenia while maintaining a favorable tolerability profile. Data from the trial also suggest that a lower dose ratio of trospium to xanomeline, compared to the ratios used in Phase 1 trials in healthy adult volunteers and in the Phase 2 EMERGENT-1 trial evaluating KarXT in adults with schizophrenia, was better tolerated by healthy elderly volunteers.</w:t>
      </w:r>
    </w:p>
    <w:p>
      <w:pPr>
        <w:spacing w:after="0" w:line="82" w:lineRule="exact"/>
        <w:rPr>
          <w:rFonts w:ascii="Arial" w:cs="Arial" w:eastAsia="Arial" w:hAnsi="Arial"/>
          <w:sz w:val="17"/>
          <w:szCs w:val="17"/>
          <w:color w:val="auto"/>
        </w:rPr>
      </w:pPr>
    </w:p>
    <w:p>
      <w:pPr>
        <w:ind w:left="1544" w:right="20" w:hanging="545"/>
        <w:spacing w:after="0" w:line="257"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November 2021, Karuna announced the evaluation of KarXT for the treatment of dementia-related psychosis (DRP) will initially focus on psychosis in Alzheimer’s disease, the most common subtype of DRP. The initial focus on the Alzheimer’s disease dementia subtype reflects various strategic development, regulatory and commercial considerations, and Karuna remains interested in exploring KarXT in other dementia subtypes in future development programs. Karuna plans to initiate a Phase 3 program in mid-2022.</w:t>
      </w:r>
    </w:p>
    <w:p>
      <w:pPr>
        <w:spacing w:after="0" w:line="93" w:lineRule="exact"/>
        <w:rPr>
          <w:rFonts w:ascii="Arial" w:cs="Arial" w:eastAsia="Arial" w:hAnsi="Arial"/>
          <w:sz w:val="18"/>
          <w:szCs w:val="18"/>
          <w:color w:val="auto"/>
        </w:rPr>
      </w:pPr>
    </w:p>
    <w:p>
      <w:pPr>
        <w:ind w:left="1544" w:right="120" w:hanging="545"/>
        <w:spacing w:after="0" w:line="286" w:lineRule="auto"/>
        <w:tabs>
          <w:tab w:leader="none" w:pos="15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late 2021, Karuna initiated a Phase 1 trial of an advanced formulation of KarXT as it continued to advance its earlier pipeline of muscarinic receptor targeted programs and novel formulations of KarXT. Karuna is also advancing its artificial intelligence-based target agnostic discovery program for treating psychiatric and neurological conditions.</w:t>
      </w:r>
    </w:p>
    <w:p>
      <w:pPr>
        <w:spacing w:after="0" w:line="70" w:lineRule="exact"/>
        <w:rPr>
          <w:rFonts w:ascii="Arial" w:cs="Arial" w:eastAsia="Arial" w:hAnsi="Arial"/>
          <w:sz w:val="17"/>
          <w:szCs w:val="17"/>
          <w:color w:val="auto"/>
        </w:rPr>
      </w:pPr>
    </w:p>
    <w:p>
      <w:pPr>
        <w:ind w:left="1544" w:hanging="545"/>
        <w:spacing w:after="0" w:line="257"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November 2021, Karuna announced its entry into an exclusive license agreement with Zai Lab (Shanghai) Co., Ltd. (Zai) for the development, manufacturing and commercialization of KarXT in Greater China, including mainland China, Hong Kong, Macau and Taiwan. Under the terms of the agreement, Karuna received a $35.0 million upfront payment and is eligible to receive certain development and regulatory milestone and sales milestone payments, as well as royalties based on annual net sales of KarXT in Greater China.</w:t>
      </w:r>
    </w:p>
    <w:p>
      <w:pPr>
        <w:spacing w:after="0" w:line="93" w:lineRule="exact"/>
        <w:rPr>
          <w:rFonts w:ascii="Arial" w:cs="Arial" w:eastAsia="Arial" w:hAnsi="Arial"/>
          <w:sz w:val="18"/>
          <w:szCs w:val="18"/>
          <w:color w:val="auto"/>
        </w:rPr>
      </w:pPr>
    </w:p>
    <w:p>
      <w:pPr>
        <w:ind w:left="1544" w:right="200" w:hanging="545"/>
        <w:spacing w:after="0" w:line="277"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 February 2021, Karuna announced that results from the EMERGENT-1 Phase 2 clinical trial evaluating KarXT for the treatment of schizophrenia were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(NEJM).</w:t>
      </w:r>
    </w:p>
    <w:p>
      <w:pPr>
        <w:spacing w:after="0" w:line="75" w:lineRule="exact"/>
        <w:rPr>
          <w:rFonts w:ascii="Arial" w:cs="Arial" w:eastAsia="Arial" w:hAnsi="Arial"/>
          <w:sz w:val="18"/>
          <w:szCs w:val="18"/>
          <w:color w:val="auto"/>
        </w:rPr>
      </w:pPr>
    </w:p>
    <w:p>
      <w:pPr>
        <w:ind w:left="1544" w:right="60" w:hanging="545"/>
        <w:spacing w:after="0" w:line="277"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March 2021, Karuna completed a follow-on public offering of its common stock, from which it received net proceeds of $270.0 million.</w:t>
      </w:r>
    </w:p>
    <w:p>
      <w:pPr>
        <w:spacing w:after="0" w:line="75" w:lineRule="exact"/>
        <w:rPr>
          <w:rFonts w:ascii="Arial" w:cs="Arial" w:eastAsia="Arial" w:hAnsi="Arial"/>
          <w:sz w:val="18"/>
          <w:szCs w:val="18"/>
          <w:color w:val="auto"/>
        </w:rPr>
      </w:pPr>
    </w:p>
    <w:p>
      <w:pPr>
        <w:ind w:left="1544" w:right="60" w:hanging="545"/>
        <w:spacing w:after="0" w:line="277"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2021, PureTech sold 1,750,000 shares of Karuna common stock for cash consideration of approximately $218 million in two separate transactions in February and November.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Akili Interactive Labs, Inc. (PureTech ownership as of December 31, 2021: 22.3%)</w:t>
      </w:r>
    </w:p>
    <w:p>
      <w:pPr>
        <w:spacing w:after="0" w:line="130" w:lineRule="exact"/>
        <w:rPr>
          <w:rFonts w:ascii="Arial" w:cs="Arial" w:eastAsia="Arial" w:hAnsi="Arial"/>
          <w:sz w:val="18"/>
          <w:szCs w:val="18"/>
          <w:color w:val="auto"/>
        </w:rPr>
      </w:pPr>
    </w:p>
    <w:p>
      <w:pPr>
        <w:ind w:left="1544" w:right="360" w:hanging="545"/>
        <w:spacing w:after="0" w:line="254"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January 2022 post-period, Akili entered into a definitive agreement to become publicly traded via a merger with Social Capital Suvretta Holdings Corp. I (“SCS”) (Nasdaq: DNAA), a special purpose acquisition company. The transaction is expected to close in mid-2022, after which Akili will be listed on the Nasdaq stock market under the new ticker symbol “AKLI”. The transaction implies a post-money equity value of the combined company of up to approximately $1 billion and is expected to deliver up to $412 million in gross cash proceeds to Akili, including the contribution of up to $250 million of cash held in SCS’s trust account and $162 million from PIPE investors at $10 per share.</w:t>
      </w:r>
    </w:p>
    <w:p>
      <w:pPr>
        <w:spacing w:after="0" w:line="100" w:lineRule="exact"/>
        <w:rPr>
          <w:rFonts w:ascii="Arial" w:cs="Arial" w:eastAsia="Arial" w:hAnsi="Arial"/>
          <w:sz w:val="18"/>
          <w:szCs w:val="18"/>
          <w:color w:val="auto"/>
        </w:rPr>
      </w:pPr>
    </w:p>
    <w:p>
      <w:pPr>
        <w:ind w:left="1544" w:right="40" w:hanging="545"/>
        <w:spacing w:after="0" w:line="259"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May 2021, Akili announced the closing of a $160 million combined equity and debt financing. With the completion of the oversubscribed Series D financing, the funding is expected to accelerate commercialization of EndeavorRx</w:t>
      </w:r>
      <w:r>
        <w:rPr>
          <w:rFonts w:ascii="Arial" w:cs="Arial" w:eastAsia="Arial" w:hAnsi="Arial"/>
          <w:sz w:val="15"/>
          <w:szCs w:val="15"/>
          <w:color w:val="auto"/>
        </w:rPr>
        <w:t>®4</w:t>
      </w:r>
      <w:r>
        <w:rPr>
          <w:rFonts w:ascii="Arial" w:cs="Arial" w:eastAsia="Arial" w:hAnsi="Arial"/>
          <w:sz w:val="18"/>
          <w:szCs w:val="18"/>
          <w:color w:val="auto"/>
        </w:rPr>
        <w:t>, enable expansion of core technologies to treat acute and chronic cognitive disorders and drive further research and development of potential new digital therapeutics.</w:t>
      </w:r>
    </w:p>
    <w:p>
      <w:pPr>
        <w:spacing w:after="0" w:line="92" w:lineRule="exact"/>
        <w:rPr>
          <w:rFonts w:ascii="Arial" w:cs="Arial" w:eastAsia="Arial" w:hAnsi="Arial"/>
          <w:sz w:val="18"/>
          <w:szCs w:val="18"/>
          <w:color w:val="auto"/>
        </w:rPr>
      </w:pPr>
    </w:p>
    <w:p>
      <w:pPr>
        <w:ind w:left="1544" w:right="100" w:hanging="545"/>
        <w:spacing w:after="0" w:line="257" w:lineRule="auto"/>
        <w:tabs>
          <w:tab w:leader="none" w:pos="15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 March 2021, the full data from a multi-site open-label study (the STARS Adjunct study) evaluating the impact of EndeavorRx (AKL-T01) on symptoms and functional impairments in children with attention-deficit/hyperactivity disorder (ADHD) was published in </w:t>
      </w:r>
      <w:r>
        <w:rPr>
          <w:rFonts w:ascii="Arial" w:cs="Arial" w:eastAsia="Arial" w:hAnsi="Arial"/>
          <w:sz w:val="18"/>
          <w:szCs w:val="18"/>
          <w:i w:val="1"/>
          <w:iCs w:val="1"/>
          <w:color w:val="auto"/>
        </w:rPr>
        <w:t>Nature Digital Medicine</w:t>
      </w:r>
      <w:r>
        <w:rPr>
          <w:rFonts w:ascii="Arial" w:cs="Arial" w:eastAsia="Arial" w:hAnsi="Arial"/>
          <w:sz w:val="18"/>
          <w:szCs w:val="18"/>
          <w:color w:val="auto"/>
        </w:rPr>
        <w:t>. Statistically significant improvement was demonstrated in all predetermined endpoints of the study, which included parent and clinician ratings of children’s ADHD symptoms and related impairments in daily life.</w:t>
      </w:r>
    </w:p>
    <w:p>
      <w:pPr>
        <w:sectPr>
          <w:pgSz w:w="11900" w:h="16838" w:orient="portrait"/>
          <w:cols w:equalWidth="0" w:num="1">
            <w:col w:w="10464"/>
          </w:cols>
          <w:pgMar w:left="976" w:top="274" w:right="459" w:bottom="1440" w:gutter="0" w:footer="0" w:header="0"/>
        </w:sectPr>
      </w:pPr>
    </w:p>
    <w:bookmarkStart w:id="10" w:name="page11"/>
    <w:bookmarkEnd w:id="10"/>
    <w:p>
      <w:pPr>
        <w:ind w:left="1544" w:right="160" w:hanging="545"/>
        <w:spacing w:after="0" w:line="273" w:lineRule="auto"/>
        <w:tabs>
          <w:tab w:leader="none" w:pos="1544" w:val="left"/>
        </w:tabs>
        <w:numPr>
          <w:ilvl w:val="1"/>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February 2022 post-period, Akili announced the publication of full data in the medical journal </w:t>
      </w:r>
      <w:r>
        <w:rPr>
          <w:rFonts w:ascii="Arial" w:cs="Arial" w:eastAsia="Arial" w:hAnsi="Arial"/>
          <w:sz w:val="17"/>
          <w:szCs w:val="17"/>
          <w:i w:val="1"/>
          <w:iCs w:val="1"/>
          <w:color w:val="auto"/>
        </w:rPr>
        <w:t>PLOS ONE</w:t>
      </w:r>
      <w:r>
        <w:rPr>
          <w:rFonts w:ascii="Arial" w:cs="Arial" w:eastAsia="Arial" w:hAnsi="Arial"/>
          <w:sz w:val="17"/>
          <w:szCs w:val="17"/>
          <w:color w:val="auto"/>
        </w:rPr>
        <w:t xml:space="preserve"> from a single arm, unblinded study conducted by Dr. Elysa Marco at Cortica Healthcare and Drs. Joaquin Anguera and Courtney Gallen at the University of California, San Francisco. The study measured electroencephalography (EEG) data alongside behavioral and clinical metrics of attention in children with ADHD using AKL-T01 (EndeavorRx). Data from the study show that EndeavorRx treatment resulted in increased brain activity related to attention function, as measured by EEG, which correlated with improvements in objective behavioral measures of attention.</w:t>
      </w:r>
    </w:p>
    <w:p>
      <w:pPr>
        <w:spacing w:after="0" w:line="83" w:lineRule="exact"/>
        <w:rPr>
          <w:rFonts w:ascii="Arial" w:cs="Arial" w:eastAsia="Arial" w:hAnsi="Arial"/>
          <w:sz w:val="17"/>
          <w:szCs w:val="17"/>
          <w:color w:val="auto"/>
        </w:rPr>
      </w:pPr>
    </w:p>
    <w:p>
      <w:pPr>
        <w:ind w:left="1544" w:right="180" w:hanging="545"/>
        <w:spacing w:after="0" w:line="273" w:lineRule="auto"/>
        <w:tabs>
          <w:tab w:leader="none" w:pos="15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September 2021, Akili announced topline results of a Phase 2 study of SDT-001 (Japanese version of AKL-T01), a digital therapeutic designed to improve measures of attention in children diagnosed with attention-deficit/hyperactivity disorder (ADHD). The study, conducted by Akili partner Shionogi &amp; Co., Ltd., was designed to evaluate the feasibility, safety and efficacy of the digital therapeutic in children with ADHD and to inform the design of a potential pivotal study. Results showed the treatment was well-received by patients and demonstrated improvements in ADHD inattention symptoms consistent with those seen across previous studies of AKL-T01.</w:t>
      </w:r>
    </w:p>
    <w:p>
      <w:pPr>
        <w:spacing w:after="0" w:line="83" w:lineRule="exact"/>
        <w:rPr>
          <w:rFonts w:ascii="Arial" w:cs="Arial" w:eastAsia="Arial" w:hAnsi="Arial"/>
          <w:sz w:val="17"/>
          <w:szCs w:val="17"/>
          <w:color w:val="auto"/>
        </w:rPr>
      </w:pPr>
    </w:p>
    <w:p>
      <w:pPr>
        <w:ind w:left="1544" w:right="80" w:hanging="545"/>
        <w:spacing w:after="0" w:line="263" w:lineRule="auto"/>
        <w:tabs>
          <w:tab w:leader="none" w:pos="15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In the March 2022 post-period, Akili announced it had been named to </w:t>
      </w:r>
      <w:r>
        <w:rPr>
          <w:rFonts w:ascii="Arial" w:cs="Arial" w:eastAsia="Arial" w:hAnsi="Arial"/>
          <w:sz w:val="18"/>
          <w:szCs w:val="18"/>
          <w:i w:val="1"/>
          <w:iCs w:val="1"/>
          <w:color w:val="auto"/>
        </w:rPr>
        <w:t>Fast Company</w:t>
      </w:r>
      <w:r>
        <w:rPr>
          <w:rFonts w:ascii="Arial" w:cs="Arial" w:eastAsia="Arial" w:hAnsi="Arial"/>
          <w:sz w:val="18"/>
          <w:szCs w:val="18"/>
          <w:color w:val="auto"/>
        </w:rPr>
        <w:t>’s prestigious list of the World’s Most Innovative Companies for 2022. This list honors businesses that are making the biggest impacts on their industries and culture as a whole and thriving in today’s ever-changing world.</w:t>
      </w:r>
    </w:p>
    <w:p>
      <w:pPr>
        <w:spacing w:after="0" w:line="89" w:lineRule="exact"/>
        <w:rPr>
          <w:rFonts w:ascii="Arial" w:cs="Arial" w:eastAsia="Arial" w:hAnsi="Arial"/>
          <w:sz w:val="18"/>
          <w:szCs w:val="18"/>
          <w:color w:val="auto"/>
        </w:rPr>
      </w:pPr>
    </w:p>
    <w:p>
      <w:pPr>
        <w:jc w:val="both"/>
        <w:ind w:left="1544" w:hanging="545"/>
        <w:spacing w:after="0" w:line="342" w:lineRule="auto"/>
        <w:tabs>
          <w:tab w:leader="none" w:pos="15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July 2021, Akili introduced new gaming features and functionalities to its EndeavorRx treatment. Akili is releasing these new gameplay features as it expands its pre-launch activities to bring EndeavorRx to families and healthcare professionals.</w:t>
      </w:r>
    </w:p>
    <w:p>
      <w:pPr>
        <w:spacing w:after="0" w:line="29" w:lineRule="exact"/>
        <w:rPr>
          <w:rFonts w:ascii="Arial" w:cs="Arial" w:eastAsia="Arial" w:hAnsi="Arial"/>
          <w:sz w:val="16"/>
          <w:szCs w:val="16"/>
          <w:color w:val="auto"/>
        </w:rPr>
      </w:pPr>
    </w:p>
    <w:p>
      <w:pPr>
        <w:ind w:left="1544" w:right="20" w:hanging="545"/>
        <w:spacing w:after="0" w:line="255" w:lineRule="auto"/>
        <w:tabs>
          <w:tab w:leader="none" w:pos="15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April 2021, Akili announced collaborations with Weill Cornell Medicine, New York-Presbyterian Hospital and Vanderbilt University Medical Center to evaluate Akili digital therapeutic AKL-T01 as a treatment for patients with cognitive dysfunction following COVID-19 (also known as “COVID fog”). Under each collaboration, Akili will work with research teams at each institution to conduct two separate randomized, controlled clinical studies evaluating AKL-T01’s ability to target and improve cognitive functioning in COVID-19 survivors who have exhibited a deficit in cognition. Akili expects data from the studies in COVID fog in the second half of 2022.</w:t>
      </w:r>
    </w:p>
    <w:p>
      <w:pPr>
        <w:spacing w:after="0" w:line="97" w:lineRule="exact"/>
        <w:rPr>
          <w:rFonts w:ascii="Arial" w:cs="Arial" w:eastAsia="Arial" w:hAnsi="Arial"/>
          <w:sz w:val="18"/>
          <w:szCs w:val="18"/>
          <w:color w:val="auto"/>
        </w:rPr>
      </w:pPr>
    </w:p>
    <w:p>
      <w:pPr>
        <w:ind w:left="1544" w:hanging="545"/>
        <w:spacing w:after="0" w:line="279" w:lineRule="auto"/>
        <w:tabs>
          <w:tab w:leader="none" w:pos="15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August 2021, Akili and Australian digital health company TALi</w:t>
      </w:r>
      <w:r>
        <w:rPr>
          <w:rFonts w:ascii="Arial" w:cs="Arial" w:eastAsia="Arial" w:hAnsi="Arial"/>
          <w:sz w:val="14"/>
          <w:szCs w:val="14"/>
          <w:color w:val="auto"/>
        </w:rPr>
        <w:t>®</w:t>
      </w:r>
      <w:r>
        <w:rPr>
          <w:rFonts w:ascii="Arial" w:cs="Arial" w:eastAsia="Arial" w:hAnsi="Arial"/>
          <w:sz w:val="17"/>
          <w:szCs w:val="17"/>
          <w:color w:val="auto"/>
        </w:rPr>
        <w:t xml:space="preserve"> (ASX:TD1), completed an agreement for Akili to license TALi’s technology designed to address early childhood attention impairments. The companies plan to work together to execute clinical trials of the TALi technology in pediatric ADHD in the U.S. and pursue FDA regulatory clearance. Under the terms of the agreement, Akili will lead potential U.S. commercialization and roll-out.</w:t>
      </w:r>
    </w:p>
    <w:p>
      <w:pPr>
        <w:spacing w:after="0" w:line="76" w:lineRule="exact"/>
        <w:rPr>
          <w:rFonts w:ascii="Arial" w:cs="Arial" w:eastAsia="Arial" w:hAnsi="Arial"/>
          <w:sz w:val="17"/>
          <w:szCs w:val="17"/>
          <w:color w:val="auto"/>
        </w:rPr>
      </w:pPr>
    </w:p>
    <w:p>
      <w:pPr>
        <w:ind w:left="1544" w:hanging="545"/>
        <w:spacing w:after="0" w:line="296" w:lineRule="auto"/>
        <w:tabs>
          <w:tab w:leader="none" w:pos="15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In the March 2022 post-period, Akili appointed Jon David as Chief Product Officer. A 20-year veteran of the games industry, Mr. David joins Akili to develop and execute the strategic vision of Akili’s future product pipeline after serving as Vice President and General Manager at Glu Mobile, acquired in 2021 by Electronic Arts, where he led the development of both new IP and hit franchises including </w:t>
      </w:r>
      <w:r>
        <w:rPr>
          <w:rFonts w:ascii="Arial" w:cs="Arial" w:eastAsia="Arial" w:hAnsi="Arial"/>
          <w:sz w:val="16"/>
          <w:szCs w:val="16"/>
          <w:i w:val="1"/>
          <w:iCs w:val="1"/>
          <w:color w:val="auto"/>
        </w:rPr>
        <w:t>Covet Fashion</w:t>
      </w:r>
      <w:r>
        <w:rPr>
          <w:rFonts w:ascii="Arial" w:cs="Arial" w:eastAsia="Arial" w:hAnsi="Arial"/>
          <w:sz w:val="16"/>
          <w:szCs w:val="16"/>
          <w:color w:val="auto"/>
        </w:rPr>
        <w:t xml:space="preserve"> and </w:t>
      </w:r>
      <w:r>
        <w:rPr>
          <w:rFonts w:ascii="Arial" w:cs="Arial" w:eastAsia="Arial" w:hAnsi="Arial"/>
          <w:sz w:val="16"/>
          <w:szCs w:val="16"/>
          <w:i w:val="1"/>
          <w:iCs w:val="1"/>
          <w:color w:val="auto"/>
        </w:rPr>
        <w:t>Diner Dash Adventures</w:t>
      </w:r>
      <w:r>
        <w:rPr>
          <w:rFonts w:ascii="Arial" w:cs="Arial" w:eastAsia="Arial" w:hAnsi="Arial"/>
          <w:sz w:val="16"/>
          <w:szCs w:val="16"/>
          <w:color w:val="auto"/>
        </w:rPr>
        <w:t xml:space="preserve">. Mr. David also guided the success of fan-favorite franchises and the launches of hit titles including </w:t>
      </w:r>
      <w:r>
        <w:rPr>
          <w:rFonts w:ascii="Arial" w:cs="Arial" w:eastAsia="Arial" w:hAnsi="Arial"/>
          <w:sz w:val="16"/>
          <w:szCs w:val="16"/>
          <w:i w:val="1"/>
          <w:iCs w:val="1"/>
          <w:color w:val="auto"/>
        </w:rPr>
        <w:t>Plants vs. Zombies 2</w:t>
      </w:r>
      <w:r>
        <w:rPr>
          <w:rFonts w:ascii="Arial" w:cs="Arial" w:eastAsia="Arial" w:hAnsi="Arial"/>
          <w:sz w:val="16"/>
          <w:szCs w:val="16"/>
          <w:color w:val="auto"/>
        </w:rPr>
        <w:t xml:space="preserve"> and </w:t>
      </w:r>
      <w:r>
        <w:rPr>
          <w:rFonts w:ascii="Arial" w:cs="Arial" w:eastAsia="Arial" w:hAnsi="Arial"/>
          <w:sz w:val="16"/>
          <w:szCs w:val="16"/>
          <w:i w:val="1"/>
          <w:iCs w:val="1"/>
          <w:color w:val="auto"/>
        </w:rPr>
        <w:t>Plants vs. Zombies Garden Warfare</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24" w:right="4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Gelesis Holdings, Inc. (PureTech ownership as of March 31, 2022: 23.5%; We also are eligible to receive payments under our license agreement, including sublicense payments and royalties on net sales)</w:t>
      </w:r>
    </w:p>
    <w:p>
      <w:pPr>
        <w:spacing w:after="0" w:line="75" w:lineRule="exact"/>
        <w:rPr>
          <w:rFonts w:ascii="Arial" w:cs="Arial" w:eastAsia="Arial" w:hAnsi="Arial"/>
          <w:sz w:val="18"/>
          <w:szCs w:val="18"/>
          <w:color w:val="auto"/>
        </w:rPr>
      </w:pPr>
    </w:p>
    <w:p>
      <w:pPr>
        <w:ind w:left="1544" w:right="520" w:hanging="545"/>
        <w:spacing w:after="0" w:line="277" w:lineRule="auto"/>
        <w:tabs>
          <w:tab w:leader="none" w:pos="15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December 2021, Gelesis announced that Plenity</w:t>
      </w:r>
      <w:r>
        <w:rPr>
          <w:rFonts w:ascii="Arial" w:cs="Arial" w:eastAsia="Arial" w:hAnsi="Arial"/>
          <w:sz w:val="15"/>
          <w:szCs w:val="15"/>
          <w:color w:val="auto"/>
        </w:rPr>
        <w:t>®</w:t>
      </w:r>
      <w:r>
        <w:rPr>
          <w:rFonts w:ascii="Arial" w:cs="Arial" w:eastAsia="Arial" w:hAnsi="Arial"/>
          <w:sz w:val="18"/>
          <w:szCs w:val="18"/>
          <w:color w:val="auto"/>
        </w:rPr>
        <w:t xml:space="preserve"> is now broadly available across the U.S. to adults who meet the prescription criteria.</w:t>
      </w:r>
    </w:p>
    <w:p>
      <w:pPr>
        <w:spacing w:after="0" w:line="75" w:lineRule="exact"/>
        <w:rPr>
          <w:rFonts w:ascii="Arial" w:cs="Arial" w:eastAsia="Arial" w:hAnsi="Arial"/>
          <w:sz w:val="18"/>
          <w:szCs w:val="18"/>
          <w:color w:val="auto"/>
        </w:rPr>
      </w:pPr>
    </w:p>
    <w:p>
      <w:pPr>
        <w:ind w:left="1544" w:right="500" w:hanging="545"/>
        <w:spacing w:after="0" w:line="277" w:lineRule="auto"/>
        <w:tabs>
          <w:tab w:leader="none" w:pos="15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January 2022 post-period, Gelesis announced the completion of its business combination with Capstar Special Purpose Acquisition Corp. (NYSE: CPSR) (“Capstar”).</w:t>
      </w:r>
    </w:p>
    <w:p>
      <w:pPr>
        <w:sectPr>
          <w:pgSz w:w="11900" w:h="16838" w:orient="portrait"/>
          <w:cols w:equalWidth="0" w:num="1">
            <w:col w:w="10444"/>
          </w:cols>
          <w:pgMar w:left="976" w:top="274" w:right="479" w:bottom="1440" w:gutter="0" w:footer="0" w:header="0"/>
        </w:sectPr>
      </w:pPr>
    </w:p>
    <w:bookmarkStart w:id="11" w:name="page12"/>
    <w:bookmarkEnd w:id="11"/>
    <w:p>
      <w:pPr>
        <w:ind w:left="14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Gelesis Holdings, Inc. began trading on the New York Stock Exchange under the ticker symbol “GLS” on January 14, 2022.</w:t>
      </w:r>
    </w:p>
    <w:p>
      <w:pPr>
        <w:spacing w:after="0" w:line="154" w:lineRule="exact"/>
        <w:rPr>
          <w:sz w:val="20"/>
          <w:szCs w:val="20"/>
          <w:color w:val="auto"/>
        </w:rPr>
      </w:pPr>
    </w:p>
    <w:p>
      <w:pPr>
        <w:ind w:left="1544" w:right="220" w:hanging="545"/>
        <w:spacing w:after="0" w:line="311" w:lineRule="auto"/>
        <w:tabs>
          <w:tab w:leader="none" w:pos="15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January 2022 post-period, Gelesis launched the “Who Said?” marketing campaign across the U.S., which challenges many long-held cultural and societal assumptions around weight loss. Plenity’s multichannel campaign encompasses TV, digital, social and Out of Home (OOH) to grow awareness of Plenity’s novel approach to weight management.</w:t>
      </w:r>
    </w:p>
    <w:p>
      <w:pPr>
        <w:spacing w:after="0" w:line="54" w:lineRule="exact"/>
        <w:rPr>
          <w:rFonts w:ascii="Arial" w:cs="Arial" w:eastAsia="Arial" w:hAnsi="Arial"/>
          <w:sz w:val="16"/>
          <w:szCs w:val="16"/>
          <w:color w:val="auto"/>
        </w:rPr>
      </w:pPr>
    </w:p>
    <w:p>
      <w:pPr>
        <w:jc w:val="both"/>
        <w:ind w:left="1544" w:right="260" w:hanging="545"/>
        <w:spacing w:after="0" w:line="286" w:lineRule="auto"/>
        <w:tabs>
          <w:tab w:leader="none" w:pos="1544"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the March 2022 post-period, Gelesis announced preliminary results from its broad awareness media campaign, noting that within the first three weeks, the company saw a 3-fold increase in web traffic and 3.5-fold increase in the number of individuals seeking a new prescription compared to previous months when supply was limited.</w:t>
      </w:r>
    </w:p>
    <w:p>
      <w:pPr>
        <w:spacing w:after="0" w:line="70" w:lineRule="exact"/>
        <w:rPr>
          <w:rFonts w:ascii="Arial" w:cs="Arial" w:eastAsia="Arial" w:hAnsi="Arial"/>
          <w:sz w:val="17"/>
          <w:szCs w:val="17"/>
          <w:color w:val="auto"/>
        </w:rPr>
      </w:pPr>
    </w:p>
    <w:p>
      <w:pPr>
        <w:ind w:left="1544" w:right="280" w:hanging="545"/>
        <w:spacing w:after="0" w:line="259" w:lineRule="auto"/>
        <w:tabs>
          <w:tab w:leader="none" w:pos="15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November 2021, Gelesis’ first commercial-scale manufacturing line was completed and validated, and the company announced that it had received a $30 million fully paid pre-order, in addition to the $10 million pre-order received in January 2021, for its first commercial product for weight management, Plenity, from Ro, a leading U.S. direct-to-patient healthcare company.</w:t>
      </w:r>
    </w:p>
    <w:p>
      <w:pPr>
        <w:spacing w:after="0" w:line="92" w:lineRule="exact"/>
        <w:rPr>
          <w:rFonts w:ascii="Arial" w:cs="Arial" w:eastAsia="Arial" w:hAnsi="Arial"/>
          <w:sz w:val="18"/>
          <w:szCs w:val="18"/>
          <w:color w:val="auto"/>
        </w:rPr>
      </w:pPr>
    </w:p>
    <w:p>
      <w:pPr>
        <w:ind w:left="1544" w:right="80" w:hanging="545"/>
        <w:spacing w:after="0" w:line="277" w:lineRule="auto"/>
        <w:tabs>
          <w:tab w:leader="none" w:pos="15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late 2021, both primary endpoints were achieved in the Gelesis LIGHT-UP study of GS200 in adults with overweight or obesity who also have prediabetes or type 2 diabetes.</w:t>
      </w:r>
    </w:p>
    <w:p>
      <w:pPr>
        <w:spacing w:after="0" w:line="75" w:lineRule="exact"/>
        <w:rPr>
          <w:rFonts w:ascii="Arial" w:cs="Arial" w:eastAsia="Arial" w:hAnsi="Arial"/>
          <w:sz w:val="18"/>
          <w:szCs w:val="18"/>
          <w:color w:val="auto"/>
        </w:rPr>
      </w:pPr>
    </w:p>
    <w:p>
      <w:pPr>
        <w:ind w:left="1544" w:right="80" w:hanging="545"/>
        <w:spacing w:after="0" w:line="301" w:lineRule="auto"/>
        <w:tabs>
          <w:tab w:leader="none" w:pos="15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In November 2021, Gelesis announced a publication in </w:t>
      </w:r>
      <w:r>
        <w:rPr>
          <w:rFonts w:ascii="Arial" w:cs="Arial" w:eastAsia="Arial" w:hAnsi="Arial"/>
          <w:sz w:val="16"/>
          <w:szCs w:val="16"/>
          <w:i w:val="1"/>
          <w:iCs w:val="1"/>
          <w:color w:val="auto"/>
        </w:rPr>
        <w:t>Nature’s Scientific Reports</w:t>
      </w:r>
      <w:r>
        <w:rPr>
          <w:rFonts w:ascii="Arial" w:cs="Arial" w:eastAsia="Arial" w:hAnsi="Arial"/>
          <w:sz w:val="16"/>
          <w:szCs w:val="16"/>
          <w:color w:val="auto"/>
        </w:rPr>
        <w:t xml:space="preserve"> describing the genesis of the underlying technology and engineering process for Gelesis’ non-systemic superabsorbent hydrogels. These new materials were designed to replicate compositional and mechanical properties of raw vegetables, and the paper describes their therapeutic approach for weight management as well as possible future solutions for other gut-related conditions.</w:t>
      </w:r>
    </w:p>
    <w:p>
      <w:pPr>
        <w:spacing w:after="0" w:line="62" w:lineRule="exact"/>
        <w:rPr>
          <w:rFonts w:ascii="Arial" w:cs="Arial" w:eastAsia="Arial" w:hAnsi="Arial"/>
          <w:sz w:val="16"/>
          <w:szCs w:val="16"/>
          <w:color w:val="auto"/>
        </w:rPr>
      </w:pPr>
    </w:p>
    <w:p>
      <w:pPr>
        <w:ind w:left="1544" w:right="260" w:hanging="545"/>
        <w:spacing w:after="0" w:line="263" w:lineRule="auto"/>
        <w:tabs>
          <w:tab w:leader="none" w:pos="15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May 2021, Gelesis presented a scientific poster at the American Association of Clinical Endocrinology (AACE) 2021 Annual Virtual Meeting. The post-hoc analysis showed that treatment for weight management with Plenity decreased a marker for liver fibrosis (the NAFLD fibrosis score) compared to placebo.</w:t>
      </w:r>
    </w:p>
    <w:p>
      <w:pPr>
        <w:spacing w:after="0" w:line="89" w:lineRule="exact"/>
        <w:rPr>
          <w:rFonts w:ascii="Arial" w:cs="Arial" w:eastAsia="Arial" w:hAnsi="Arial"/>
          <w:sz w:val="18"/>
          <w:szCs w:val="18"/>
          <w:color w:val="auto"/>
        </w:rPr>
      </w:pPr>
    </w:p>
    <w:p>
      <w:pPr>
        <w:ind w:left="1544" w:right="380" w:hanging="545"/>
        <w:spacing w:after="0" w:line="311" w:lineRule="auto"/>
        <w:tabs>
          <w:tab w:leader="none" w:pos="15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the January 2022 post-period, Gelesis appointed Inogen Co-Founder and former CFO, Ali Bauerlein, to its Board of Directors and Audit Committee. Ms. Bauerlein brings success in scaling to $300M+ revenue in a direct-to-consumer business model and public company execution as Gelesis plans to scale Plenity to meet growing consumer demand.</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Vor Bio Inc. (PureTech ownership as of March 4, 2022: 8.6%)</w:t>
      </w:r>
    </w:p>
    <w:p>
      <w:pPr>
        <w:spacing w:after="0" w:line="130" w:lineRule="exact"/>
        <w:rPr>
          <w:rFonts w:ascii="Arial" w:cs="Arial" w:eastAsia="Arial" w:hAnsi="Arial"/>
          <w:sz w:val="18"/>
          <w:szCs w:val="18"/>
          <w:color w:val="auto"/>
        </w:rPr>
      </w:pPr>
    </w:p>
    <w:p>
      <w:pPr>
        <w:ind w:left="1544" w:right="140" w:hanging="545"/>
        <w:spacing w:after="0" w:line="259" w:lineRule="auto"/>
        <w:tabs>
          <w:tab w:leader="none" w:pos="15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February 2021, Vor Bio announced the pricing of its initial public offering of common stock on the Nasdaq Global Market under the symbol “VOR”. The aggregate gross proceeds to Vor Bio from the offering were approximately $203.4 million, before deducting the underwriting discounts and commissions and other offering expenses payable by Vor Bio.</w:t>
      </w:r>
    </w:p>
    <w:p>
      <w:pPr>
        <w:spacing w:after="0" w:line="92" w:lineRule="exact"/>
        <w:rPr>
          <w:rFonts w:ascii="Arial" w:cs="Arial" w:eastAsia="Arial" w:hAnsi="Arial"/>
          <w:sz w:val="18"/>
          <w:szCs w:val="18"/>
          <w:color w:val="auto"/>
        </w:rPr>
      </w:pPr>
    </w:p>
    <w:p>
      <w:pPr>
        <w:ind w:left="1544" w:hanging="545"/>
        <w:spacing w:after="0" w:line="271" w:lineRule="auto"/>
        <w:tabs>
          <w:tab w:leader="none" w:pos="1544"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the March 2022 post-period, Vor Bio announced VCAR33 is now made up of two programs with different cell sources. The VCAR33 programs are chimeric antigen receptor T (CAR-T) cell therapy candidates designed to target CD33, a clinically-validated target for AML. VCAR33</w:t>
      </w:r>
      <w:r>
        <w:rPr>
          <w:rFonts w:ascii="Arial" w:cs="Arial" w:eastAsia="Arial" w:hAnsi="Arial"/>
          <w:sz w:val="14"/>
          <w:szCs w:val="14"/>
          <w:color w:val="auto"/>
        </w:rPr>
        <w:t>AUTO</w:t>
      </w:r>
      <w:r>
        <w:rPr>
          <w:rFonts w:ascii="Arial" w:cs="Arial" w:eastAsia="Arial" w:hAnsi="Arial"/>
          <w:sz w:val="17"/>
          <w:szCs w:val="17"/>
          <w:color w:val="auto"/>
        </w:rPr>
        <w:t xml:space="preserve"> uses autologous cells from each patient, and is being studied in an ongoing Phase 1/2 clinical trial sponsored by the National Marrow Donor Program (NMDP) in young adult and pediatric patients with relapsed/refractory AML in a bridge-to-transplant study. VCAR33</w:t>
      </w:r>
      <w:r>
        <w:rPr>
          <w:rFonts w:ascii="Arial" w:cs="Arial" w:eastAsia="Arial" w:hAnsi="Arial"/>
          <w:sz w:val="14"/>
          <w:szCs w:val="14"/>
          <w:color w:val="auto"/>
        </w:rPr>
        <w:t>ALLO</w:t>
      </w:r>
      <w:r>
        <w:rPr>
          <w:rFonts w:ascii="Arial" w:cs="Arial" w:eastAsia="Arial" w:hAnsi="Arial"/>
          <w:sz w:val="17"/>
          <w:szCs w:val="17"/>
          <w:color w:val="auto"/>
        </w:rPr>
        <w:t xml:space="preserve"> uses allogeneic healthy donor-derived cells. Vor Bio also announced it plans to collect initial data on VOR33 from the VBP101 clinical trial and initial clinical data from the VCAR33</w:t>
      </w:r>
      <w:r>
        <w:rPr>
          <w:rFonts w:ascii="Arial" w:cs="Arial" w:eastAsia="Arial" w:hAnsi="Arial"/>
          <w:sz w:val="14"/>
          <w:szCs w:val="14"/>
          <w:color w:val="auto"/>
        </w:rPr>
        <w:t>ALLO</w:t>
      </w:r>
      <w:r>
        <w:rPr>
          <w:rFonts w:ascii="Arial" w:cs="Arial" w:eastAsia="Arial" w:hAnsi="Arial"/>
          <w:sz w:val="17"/>
          <w:szCs w:val="17"/>
          <w:color w:val="auto"/>
        </w:rPr>
        <w:t xml:space="preserve"> program prior to IND submission for the Treatment System following ongoing discussions with the FDA and alongside improved scientific understanding of the differences in T-cell sources.</w:t>
      </w:r>
    </w:p>
    <w:p>
      <w:pPr>
        <w:spacing w:after="0" w:line="83" w:lineRule="exact"/>
        <w:rPr>
          <w:rFonts w:ascii="Arial" w:cs="Arial" w:eastAsia="Arial" w:hAnsi="Arial"/>
          <w:sz w:val="17"/>
          <w:szCs w:val="17"/>
          <w:color w:val="auto"/>
        </w:rPr>
      </w:pPr>
    </w:p>
    <w:p>
      <w:pPr>
        <w:ind w:left="1544" w:right="80" w:hanging="545"/>
        <w:spacing w:after="0" w:line="277" w:lineRule="auto"/>
        <w:tabs>
          <w:tab w:leader="none" w:pos="15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September 2021, the FDA granted Fast Track designation to VOR33, Vor Bio’s lead engineered hematopoietic stem cell (eHSC) therapeutic candidate for the treatment of acute myeloid leukemia (AML).</w:t>
      </w:r>
    </w:p>
    <w:p>
      <w:pPr>
        <w:sectPr>
          <w:pgSz w:w="11900" w:h="16838" w:orient="portrait"/>
          <w:cols w:equalWidth="0" w:num="1">
            <w:col w:w="10464"/>
          </w:cols>
          <w:pgMar w:left="976" w:top="274" w:right="459" w:bottom="1440" w:gutter="0" w:footer="0" w:header="0"/>
        </w:sectPr>
      </w:pPr>
    </w:p>
    <w:bookmarkStart w:id="12" w:name="page13"/>
    <w:bookmarkEnd w:id="12"/>
    <w:p>
      <w:pPr>
        <w:ind w:left="1544" w:right="360" w:hanging="545"/>
        <w:spacing w:after="0" w:line="277" w:lineRule="auto"/>
        <w:tabs>
          <w:tab w:leader="none" w:pos="1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Vor Bio initiated VBP101, a Phase 1/2a clinical trial of VOR33 for AML patients who currently have limited treatment options and expects to report VOR33’s initial clinical data in the first half of 2022.</w:t>
      </w:r>
    </w:p>
    <w:p>
      <w:pPr>
        <w:spacing w:after="0" w:line="75" w:lineRule="exact"/>
        <w:rPr>
          <w:rFonts w:ascii="Arial" w:cs="Arial" w:eastAsia="Arial" w:hAnsi="Arial"/>
          <w:sz w:val="18"/>
          <w:szCs w:val="18"/>
          <w:color w:val="auto"/>
        </w:rPr>
      </w:pPr>
    </w:p>
    <w:p>
      <w:pPr>
        <w:ind w:left="1544" w:right="40" w:hanging="545"/>
        <w:spacing w:after="0" w:line="263" w:lineRule="auto"/>
        <w:tabs>
          <w:tab w:leader="none" w:pos="1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November 2021, Vor Bio announced its first multi-targeted treatment system comprising VOR33-CLL1 multiplex-edited eHSC therapy and VCAR33-CLL1 multi-specific CAR-T therapy. Vor Bio continues to make progress on editing multiple antigens with its eHSC platform.</w:t>
      </w:r>
    </w:p>
    <w:p>
      <w:pPr>
        <w:spacing w:after="0" w:line="89" w:lineRule="exact"/>
        <w:rPr>
          <w:rFonts w:ascii="Arial" w:cs="Arial" w:eastAsia="Arial" w:hAnsi="Arial"/>
          <w:sz w:val="18"/>
          <w:szCs w:val="18"/>
          <w:color w:val="auto"/>
        </w:rPr>
      </w:pPr>
    </w:p>
    <w:p>
      <w:pPr>
        <w:ind w:left="1544" w:hanging="545"/>
        <w:spacing w:after="0" w:line="259" w:lineRule="auto"/>
        <w:tabs>
          <w:tab w:leader="none" w:pos="1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June 2021, Vor Bio announced the build-out of an in-house clinical manufacturing facility in Cambridge, Massachusetts in the same premises as Vor Bio’s current headquarters, to support flexible manufacturing for the company’s eHSC and CAR-T product candidate pipeline for patients with blood cancers. Vor Bio anticipates that the facility will be operational in 2022.</w:t>
      </w:r>
    </w:p>
    <w:p>
      <w:pPr>
        <w:spacing w:after="0" w:line="92" w:lineRule="exact"/>
        <w:rPr>
          <w:rFonts w:ascii="Arial" w:cs="Arial" w:eastAsia="Arial" w:hAnsi="Arial"/>
          <w:sz w:val="18"/>
          <w:szCs w:val="18"/>
          <w:color w:val="auto"/>
        </w:rPr>
      </w:pPr>
    </w:p>
    <w:p>
      <w:pPr>
        <w:ind w:left="1544" w:right="40" w:hanging="545"/>
        <w:spacing w:after="0" w:line="255" w:lineRule="auto"/>
        <w:tabs>
          <w:tab w:leader="none" w:pos="1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July 2021, Vor Bio announced the formation of a collaboration with Janssen Biotech, Inc. (Janssen), one of the Janssen Pharmaceutical Companies of Johnson &amp; Johnson. The agreement was facilitated by Johnson &amp; Johnson Innovation. Under the terms of the collaboration, Vor Bio will investigate the combination of these two technologies into a treatment solution, pairing Vor Bio’s “invisible” eHSC transplant platform with one of Janssen’s bi-specific antibodies in development for AML. The collaboration agreement provides that each company retains all rights and ownership to their respective programs and platforms.</w:t>
      </w:r>
    </w:p>
    <w:p>
      <w:pPr>
        <w:spacing w:after="0" w:line="97" w:lineRule="exact"/>
        <w:rPr>
          <w:rFonts w:ascii="Arial" w:cs="Arial" w:eastAsia="Arial" w:hAnsi="Arial"/>
          <w:sz w:val="18"/>
          <w:szCs w:val="18"/>
          <w:color w:val="auto"/>
        </w:rPr>
      </w:pPr>
    </w:p>
    <w:p>
      <w:pPr>
        <w:jc w:val="both"/>
        <w:ind w:left="1544" w:right="120" w:hanging="545"/>
        <w:spacing w:after="0" w:line="311" w:lineRule="auto"/>
        <w:tabs>
          <w:tab w:leader="none" w:pos="1544"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June 2021, Vor Bio entered into a multi-year strategic collaboration and license agreement with Abound Bio to research both single- and multi-targeted CAR-T treatments to be used in combination with Vor Bio’s eHSC platform, with the goal of generating novel treatment systems for patients fighting AML and other devastating forms of blood cancer.</w:t>
      </w:r>
    </w:p>
    <w:p>
      <w:pPr>
        <w:spacing w:after="0" w:line="54" w:lineRule="exact"/>
        <w:rPr>
          <w:rFonts w:ascii="Arial" w:cs="Arial" w:eastAsia="Arial" w:hAnsi="Arial"/>
          <w:sz w:val="16"/>
          <w:szCs w:val="16"/>
          <w:color w:val="auto"/>
        </w:rPr>
      </w:pPr>
    </w:p>
    <w:p>
      <w:pPr>
        <w:ind w:left="1544" w:right="120" w:hanging="545"/>
        <w:spacing w:after="0" w:line="342" w:lineRule="auto"/>
        <w:tabs>
          <w:tab w:leader="none" w:pos="1544"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January 2021, Vor Bio announced that the FDA had accepted the company’s IND application for VOR33. In May 2021, Vor Bio announced that it received the Canadian clinical trial application clearance for VOR33 from Health Canada.</w:t>
      </w:r>
    </w:p>
    <w:p>
      <w:pPr>
        <w:spacing w:after="0" w:line="29" w:lineRule="exact"/>
        <w:rPr>
          <w:rFonts w:ascii="Arial" w:cs="Arial" w:eastAsia="Arial" w:hAnsi="Arial"/>
          <w:sz w:val="16"/>
          <w:szCs w:val="16"/>
          <w:color w:val="auto"/>
        </w:rPr>
      </w:pPr>
    </w:p>
    <w:p>
      <w:pPr>
        <w:ind w:left="1544" w:hanging="545"/>
        <w:spacing w:after="0"/>
        <w:tabs>
          <w:tab w:leader="none" w:pos="1544"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 June 2021, Vor Bio announced the appointment of Matthew R. Patterson as Chairman of its Board of Directors.</w:t>
      </w:r>
    </w:p>
    <w:p>
      <w:pPr>
        <w:spacing w:after="0" w:line="34" w:lineRule="exact"/>
        <w:rPr>
          <w:rFonts w:ascii="Arial" w:cs="Arial" w:eastAsia="Arial" w:hAnsi="Arial"/>
          <w:sz w:val="17"/>
          <w:szCs w:val="17"/>
          <w:color w:val="auto"/>
        </w:rPr>
      </w:pPr>
    </w:p>
    <w:p>
      <w:pPr>
        <w:jc w:val="both"/>
        <w:ind w:left="1544" w:right="60"/>
        <w:spacing w:after="0" w:line="302" w:lineRule="auto"/>
        <w:rPr>
          <w:rFonts w:ascii="Arial" w:cs="Arial" w:eastAsia="Arial" w:hAnsi="Arial"/>
          <w:sz w:val="17"/>
          <w:szCs w:val="17"/>
          <w:color w:val="auto"/>
        </w:rPr>
      </w:pPr>
      <w:r>
        <w:rPr>
          <w:rFonts w:ascii="Arial" w:cs="Arial" w:eastAsia="Arial" w:hAnsi="Arial"/>
          <w:sz w:val="16"/>
          <w:szCs w:val="16"/>
          <w:color w:val="auto"/>
        </w:rPr>
        <w:t>Mr. Patterson brings nearly 30 years of senior leadership experience in the research, development and commercialization of innovative therapeutics, most recently at Audentes Therapeutics, Inc., which he co-founded and led as the company’s Chief Executive Officer from its inception in 2012 through its acquisition by Astellas Pharma Inc. in January 2020.</w:t>
      </w:r>
    </w:p>
    <w:p>
      <w:pPr>
        <w:spacing w:after="0" w:line="60" w:lineRule="exact"/>
        <w:rPr>
          <w:rFonts w:ascii="Arial" w:cs="Arial" w:eastAsia="Arial" w:hAnsi="Arial"/>
          <w:sz w:val="17"/>
          <w:szCs w:val="17"/>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Vedanta Biosciences, Inc. (PureTech ownership as of December 31, 2021: 41.4%)</w:t>
      </w:r>
    </w:p>
    <w:p>
      <w:pPr>
        <w:spacing w:after="0" w:line="130" w:lineRule="exact"/>
        <w:rPr>
          <w:rFonts w:ascii="Arial" w:cs="Arial" w:eastAsia="Arial" w:hAnsi="Arial"/>
          <w:sz w:val="18"/>
          <w:szCs w:val="18"/>
          <w:color w:val="auto"/>
        </w:rPr>
      </w:pPr>
    </w:p>
    <w:p>
      <w:pPr>
        <w:ind w:left="1544" w:right="80" w:hanging="545"/>
        <w:spacing w:after="0" w:line="269" w:lineRule="auto"/>
        <w:tabs>
          <w:tab w:leader="none" w:pos="1544"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In October 2021, Vedanta announced that its Phase 2 clinical trial of VE303, an orally administered investigational live biotherapeutic product (LBP) in development for the prevention of recurrent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(CDI) in high-risk patients, met its primary endpoint of preventing disease recurrence through Week 8. VE303 achieved a 31.7% absolute risk reduction in rate of recurrence when compared with placebo, representing a greater than 80% reduction in the odds of a recurrence. This is believed to be the most advanced clinical trial of an investigational drug based on a rationally defined bacterial consortium, a microbiome-based therapeutic approach that delivers orally administered candidates of precisely known composition that can be manufactured with pharmaceutical-grade consistency. Based on the Phase 2 data, the Biomedical Advanced Research and Development Authority (BARDA) exercised its first contract option for additional funding of $23.8 million, pursuant to its existing 2020 contract with Vedanta, to support a planned Phase 3 clinical trial of VE303.</w:t>
      </w:r>
    </w:p>
    <w:p>
      <w:pPr>
        <w:spacing w:after="0" w:line="90" w:lineRule="exact"/>
        <w:rPr>
          <w:rFonts w:ascii="Arial" w:cs="Arial" w:eastAsia="Arial" w:hAnsi="Arial"/>
          <w:sz w:val="17"/>
          <w:szCs w:val="17"/>
          <w:color w:val="auto"/>
        </w:rPr>
      </w:pPr>
    </w:p>
    <w:p>
      <w:pPr>
        <w:ind w:left="1544" w:right="120" w:hanging="545"/>
        <w:spacing w:after="0" w:line="257" w:lineRule="auto"/>
        <w:tabs>
          <w:tab w:leader="none" w:pos="1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January 2021, Vedanta announced a $25 million investment from Pfizer, as part of the Pfizer Breakthrough Growth Initiative. Vedanta will retain control of all of its programs and has granted Pfizer a right of first negotiation on VE202, Vedanta’s 16-strain defined bacterial consortium candidate. As part of the investment, Michael Vincent, M.D., Ph.D., Senior Vice President and Chief Scientific Officer, Inflammation &amp; Immunology Research Unit at Pfizer, joined Vedanta’s Scientific Advisory Board.</w:t>
      </w:r>
    </w:p>
    <w:p>
      <w:pPr>
        <w:sectPr>
          <w:pgSz w:w="11900" w:h="16838" w:orient="portrait"/>
          <w:cols w:equalWidth="0" w:num="1">
            <w:col w:w="10484"/>
          </w:cols>
          <w:pgMar w:left="976" w:top="274" w:right="439" w:bottom="1440" w:gutter="0" w:footer="0" w:header="0"/>
        </w:sectPr>
      </w:pPr>
    </w:p>
    <w:bookmarkStart w:id="13" w:name="page14"/>
    <w:bookmarkEnd w:id="13"/>
    <w:p>
      <w:pPr>
        <w:ind w:left="1080" w:right="100" w:hanging="545"/>
        <w:spacing w:after="0" w:line="27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late 2021, Vedanta also completed the build-out of its Phase 3 and commercial launch CGMP manufacturing facility for supply of VE303.</w:t>
      </w:r>
    </w:p>
    <w:p>
      <w:pPr>
        <w:spacing w:after="0" w:line="75" w:lineRule="exact"/>
        <w:rPr>
          <w:rFonts w:ascii="Arial" w:cs="Arial" w:eastAsia="Arial" w:hAnsi="Arial"/>
          <w:sz w:val="18"/>
          <w:szCs w:val="18"/>
          <w:color w:val="auto"/>
        </w:rPr>
      </w:pPr>
    </w:p>
    <w:p>
      <w:pPr>
        <w:ind w:left="1080" w:hanging="545"/>
        <w:spacing w:after="0"/>
        <w:tabs>
          <w:tab w:leader="none" w:pos="10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June 2021, Vedanta presented additional results from a Phase 1 study in healthy volunteers of VE202, Vedanta’s</w:t>
      </w:r>
    </w:p>
    <w:p>
      <w:pPr>
        <w:spacing w:after="0" w:line="34" w:lineRule="exact"/>
        <w:rPr>
          <w:rFonts w:ascii="Arial" w:cs="Arial" w:eastAsia="Arial" w:hAnsi="Arial"/>
          <w:sz w:val="17"/>
          <w:szCs w:val="17"/>
          <w:color w:val="auto"/>
        </w:rPr>
      </w:pPr>
    </w:p>
    <w:p>
      <w:pPr>
        <w:ind w:left="1080" w:right="180"/>
        <w:spacing w:after="0" w:line="253" w:lineRule="auto"/>
        <w:rPr>
          <w:rFonts w:ascii="Arial" w:cs="Arial" w:eastAsia="Arial" w:hAnsi="Arial"/>
          <w:sz w:val="17"/>
          <w:szCs w:val="17"/>
          <w:color w:val="auto"/>
        </w:rPr>
      </w:pPr>
      <w:r>
        <w:rPr>
          <w:rFonts w:ascii="Arial" w:cs="Arial" w:eastAsia="Arial" w:hAnsi="Arial"/>
          <w:sz w:val="18"/>
          <w:szCs w:val="18"/>
          <w:color w:val="auto"/>
        </w:rPr>
        <w:t>16-strain defined bacterial consortium candidate for IBD, at the International Human Microbiome Consortium Congress 2021 (IHMC). The data summarized the long-term safety and colonization dynamics of the 16-strain version of VE202 in 31 healthy volunteers. Vedanta plans to initiate a Phase 2 clinical trial of VE202 in mild to moderate ulcerative colitis patients.</w:t>
      </w:r>
    </w:p>
    <w:p>
      <w:pPr>
        <w:spacing w:after="0" w:line="98" w:lineRule="exact"/>
        <w:rPr>
          <w:rFonts w:ascii="Arial" w:cs="Arial" w:eastAsia="Arial" w:hAnsi="Arial"/>
          <w:sz w:val="17"/>
          <w:szCs w:val="17"/>
          <w:color w:val="auto"/>
        </w:rPr>
      </w:pPr>
    </w:p>
    <w:p>
      <w:pPr>
        <w:ind w:left="1080" w:hanging="545"/>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2021, Vedanta’s ongoing Phase 1/2 clinical trial of VE416 for food allergy continued to progress.</w:t>
      </w:r>
    </w:p>
    <w:p>
      <w:pPr>
        <w:spacing w:after="0" w:line="130" w:lineRule="exact"/>
        <w:rPr>
          <w:rFonts w:ascii="Arial" w:cs="Arial" w:eastAsia="Arial" w:hAnsi="Arial"/>
          <w:sz w:val="18"/>
          <w:szCs w:val="18"/>
          <w:color w:val="auto"/>
        </w:rPr>
      </w:pPr>
    </w:p>
    <w:p>
      <w:pPr>
        <w:ind w:left="1080" w:hanging="545"/>
        <w:spacing w:after="0" w:line="271" w:lineRule="auto"/>
        <w:tabs>
          <w:tab w:leader="none" w:pos="10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July 2021, Vedanta announced results from the Phase 1 study evaluating the safety and initial clinical activity of VE800, an immuno-oncology therapeutic candidate, in combination with Bristol Myers Squibb’s Opdivo</w:t>
      </w:r>
      <w:r>
        <w:rPr>
          <w:rFonts w:ascii="Arial" w:cs="Arial" w:eastAsia="Arial" w:hAnsi="Arial"/>
          <w:sz w:val="14"/>
          <w:szCs w:val="14"/>
          <w:color w:val="auto"/>
        </w:rPr>
        <w:t>®</w:t>
      </w:r>
      <w:r>
        <w:rPr>
          <w:rFonts w:ascii="Arial" w:cs="Arial" w:eastAsia="Arial" w:hAnsi="Arial"/>
          <w:sz w:val="17"/>
          <w:szCs w:val="17"/>
          <w:color w:val="auto"/>
        </w:rPr>
        <w:t xml:space="preserve"> (nivolumab) in 54 patients across select types of advanced or metastatic cancers. VE800 demonstrated an acceptable safety and tolerability profile, though the observed response rates did not meet the prespecified criteria to advance into the next stage of the study. Vedanta is analyzing blood, stool and tumor samples from patients in whom response or disease control was observed in order to profile patient subtypes that might benefit from microbiome manipulation. Vedanta plans to present the results at a future medical conference and will continue work to identify cancer settings and patient populations that might benefit from microbiome manipulation with its defined bacterial consortia.</w:t>
      </w:r>
    </w:p>
    <w:p>
      <w:pPr>
        <w:spacing w:after="0" w:line="83" w:lineRule="exact"/>
        <w:rPr>
          <w:rFonts w:ascii="Arial" w:cs="Arial" w:eastAsia="Arial" w:hAnsi="Arial"/>
          <w:sz w:val="17"/>
          <w:szCs w:val="17"/>
          <w:color w:val="auto"/>
        </w:rPr>
      </w:pPr>
    </w:p>
    <w:p>
      <w:pPr>
        <w:ind w:left="1080" w:right="100" w:hanging="545"/>
        <w:spacing w:after="0" w:line="25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July 2021, Vedanta closed a $68 million financing, which included the $25 million investment from Pfizer as part of the Pfizer Breakthrough Growth Initiative announced in January 2021. Vedanta plans to use the proceeds to advance its pipeline of defined bacterial consortia, including progressing VE303 into a Phase 3 clinical trial in patients at high risk for recurrent CDI, initiating a Phase 2 clinical trial of VE202 in mild to moderate ulcerative colitis and continuing to advance programs in additional indications.</w:t>
      </w:r>
    </w:p>
    <w:p>
      <w:pPr>
        <w:spacing w:after="0" w:line="93" w:lineRule="exact"/>
        <w:rPr>
          <w:rFonts w:ascii="Arial" w:cs="Arial" w:eastAsia="Arial" w:hAnsi="Arial"/>
          <w:sz w:val="18"/>
          <w:szCs w:val="18"/>
          <w:color w:val="auto"/>
        </w:rPr>
      </w:pPr>
    </w:p>
    <w:p>
      <w:pPr>
        <w:ind w:left="1080" w:right="60" w:hanging="545"/>
        <w:spacing w:after="0" w:line="263"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February 2021, Vedanta appointed Mark Mullikin as Chief Financial Officer. Mr. Mullikin brings 25 years of experience raising and deploying capital for life sciences companies, and most recently held leadership roles in finance and investor relations at publicly-traded companies such as Editas Medicine and Novartis.</w:t>
      </w:r>
    </w:p>
    <w:p>
      <w:pPr>
        <w:spacing w:after="0" w:line="89" w:lineRule="exact"/>
        <w:rPr>
          <w:rFonts w:ascii="Arial" w:cs="Arial" w:eastAsia="Arial" w:hAnsi="Arial"/>
          <w:sz w:val="18"/>
          <w:szCs w:val="18"/>
          <w:color w:val="auto"/>
        </w:rPr>
      </w:pPr>
    </w:p>
    <w:p>
      <w:pPr>
        <w:ind w:left="1080" w:hanging="545"/>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October 2021, Vedanta announced the appointment of Simona Levi, Ph.D., J.D., as Chief Legal Officer and Corporate Secretary. Dr. Levi brings over 25 years of U.S. and international legal experience with private and public companies across the life sciences industry focusing on complex transactions, intellectual property law and litigation as well as corporate governance.</w:t>
      </w:r>
    </w:p>
    <w:p>
      <w:pPr>
        <w:spacing w:after="0" w:line="92" w:lineRule="exact"/>
        <w:rPr>
          <w:rFonts w:ascii="Arial" w:cs="Arial" w:eastAsia="Arial" w:hAnsi="Arial"/>
          <w:sz w:val="18"/>
          <w:szCs w:val="18"/>
          <w:color w:val="auto"/>
        </w:rPr>
      </w:pPr>
    </w:p>
    <w:p>
      <w:pPr>
        <w:ind w:left="420" w:right="360" w:hanging="331"/>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Follica, Incorporated (PureTech ownership as of December 31, 2021: 76.0%. We also are eligible to receive payments under our license agreement, including sublicense payments and royalties on net sales)</w:t>
      </w:r>
    </w:p>
    <w:p>
      <w:pPr>
        <w:spacing w:after="0" w:line="75" w:lineRule="exact"/>
        <w:rPr>
          <w:rFonts w:ascii="Arial" w:cs="Arial" w:eastAsia="Arial" w:hAnsi="Arial"/>
          <w:sz w:val="18"/>
          <w:szCs w:val="18"/>
          <w:color w:val="auto"/>
        </w:rPr>
      </w:pPr>
    </w:p>
    <w:p>
      <w:pPr>
        <w:ind w:left="1080" w:right="140" w:hanging="545"/>
        <w:spacing w:after="0" w:line="25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January 2021, Follica announced the appointment of two leaders in aesthetic medicine and dermatology to its Board of Directors. Tom Wiggans, former Chief Executive Officer of Dermira, joined as Executive Chairman with over 30 years of experience leading biopharmaceutical companies from the start-up stage to global commercialization, and Michael Davin, former Chief Executive Officer of Cynosure, joined as an Independent Director with over 30 years of experience in the medical device industry.</w:t>
      </w:r>
    </w:p>
    <w:p>
      <w:pPr>
        <w:spacing w:after="0" w:line="93"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Preparations are underway for the registration clinical program in male androgenetic alopecia and initiation is anticipated in 2022.</w:t>
      </w:r>
    </w:p>
    <w:p>
      <w:pPr>
        <w:sectPr>
          <w:pgSz w:w="11900" w:h="16838" w:orient="portrait"/>
          <w:cols w:equalWidth="0" w:num="1">
            <w:col w:w="10000"/>
          </w:cols>
          <w:pgMar w:left="1440" w:top="274" w:right="459" w:bottom="1440" w:gutter="0" w:footer="0" w:header="0"/>
        </w:sectPr>
      </w:pPr>
    </w:p>
    <w:bookmarkStart w:id="14" w:name="page15"/>
    <w:bookmarkEnd w:id="14"/>
    <w:p>
      <w:pPr>
        <w:ind w:left="1420" w:hanging="331"/>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Sonde Health, Inc. (PureTech ownership: 44.6%)</w:t>
      </w:r>
    </w:p>
    <w:p>
      <w:pPr>
        <w:spacing w:after="0" w:line="130" w:lineRule="exact"/>
        <w:rPr>
          <w:rFonts w:ascii="Arial" w:cs="Arial" w:eastAsia="Arial" w:hAnsi="Arial"/>
          <w:sz w:val="18"/>
          <w:szCs w:val="18"/>
          <w:color w:val="auto"/>
        </w:rPr>
      </w:pPr>
    </w:p>
    <w:p>
      <w:pPr>
        <w:ind w:left="2080" w:right="140" w:hanging="545"/>
        <w:spacing w:after="0" w:line="25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October 2021, Sonde launched Sonde Mental Fitness, a voice-enabled mental health detection and monitoring technology that uses a brief voice sample to evaluate mental well-being. Sonde Mental Fitness is currently available through its API platform for integration into third-party apps. It’s also available as a standalone app for iOS and Android, mobile devices to serve as a proof-of-concept for health systems, employers and wellness services interested in testing out the API’s capabilities.</w:t>
      </w:r>
    </w:p>
    <w:p>
      <w:pPr>
        <w:spacing w:after="0" w:line="93" w:lineRule="exact"/>
        <w:rPr>
          <w:rFonts w:ascii="Arial" w:cs="Arial" w:eastAsia="Arial" w:hAnsi="Arial"/>
          <w:sz w:val="18"/>
          <w:szCs w:val="18"/>
          <w:color w:val="auto"/>
        </w:rPr>
      </w:pPr>
    </w:p>
    <w:p>
      <w:pPr>
        <w:ind w:left="2080" w:right="40" w:hanging="545"/>
        <w:spacing w:after="0" w:line="25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January 2022 post-period, Sonde announced the signing of a multi-year strategic partnership with GN Group to research and develop commercial vocal biomarkers for mild cognitive impairment. The research will serve as the backbone for new voice-based tools to help at-risk individuals gain timely and accurate health insights using GN Group’s device technologies and, ultimately, to enable early detection and management of life-threatening diseases for the millions of people living with hearing loss.</w:t>
      </w:r>
    </w:p>
    <w:p>
      <w:pPr>
        <w:spacing w:after="0" w:line="93" w:lineRule="exact"/>
        <w:rPr>
          <w:rFonts w:ascii="Arial" w:cs="Arial" w:eastAsia="Arial" w:hAnsi="Arial"/>
          <w:sz w:val="18"/>
          <w:szCs w:val="18"/>
          <w:color w:val="auto"/>
        </w:rPr>
      </w:pPr>
    </w:p>
    <w:p>
      <w:pPr>
        <w:ind w:left="2080" w:right="160" w:hanging="545"/>
        <w:spacing w:after="0" w:line="296" w:lineRule="auto"/>
        <w:tabs>
          <w:tab w:leader="none" w:pos="2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 July 2021, Sonde announced a strategic collaboration with leading chipmaker Qualcomm Technologies, Inc. (Qualcomm) to embed Sonde’s vocal biomarker technology into its flagship and high-tier Qualcomm</w:t>
      </w:r>
      <w:r>
        <w:rPr>
          <w:rFonts w:ascii="Arial" w:cs="Arial" w:eastAsia="Arial" w:hAnsi="Arial"/>
          <w:sz w:val="13"/>
          <w:szCs w:val="13"/>
          <w:color w:val="auto"/>
        </w:rPr>
        <w:t>®</w:t>
      </w:r>
      <w:r>
        <w:rPr>
          <w:rFonts w:ascii="Arial" w:cs="Arial" w:eastAsia="Arial" w:hAnsi="Arial"/>
          <w:sz w:val="16"/>
          <w:szCs w:val="16"/>
          <w:color w:val="auto"/>
        </w:rPr>
        <w:t xml:space="preserve"> Snapdragon</w:t>
      </w:r>
      <w:r>
        <w:rPr>
          <w:rFonts w:ascii="Arial" w:cs="Arial" w:eastAsia="Arial" w:hAnsi="Arial"/>
          <w:sz w:val="13"/>
          <w:szCs w:val="13"/>
          <w:color w:val="auto"/>
        </w:rPr>
        <w:t>™</w:t>
      </w:r>
      <w:r>
        <w:rPr>
          <w:rFonts w:ascii="Arial" w:cs="Arial" w:eastAsia="Arial" w:hAnsi="Arial"/>
          <w:sz w:val="16"/>
          <w:szCs w:val="16"/>
          <w:color w:val="auto"/>
        </w:rPr>
        <w:t xml:space="preserve"> 888 and 778G 5G Mobile Platforms to help bring native, machine learning-driven vocal biomarker capabilities to mobile and IoT devices globally. The optimization has the potential to unlock several native health screening and monitoring applications on up to the hundreds of millions of mobile devices that use these Snapdragon mobile platforms.</w:t>
      </w:r>
    </w:p>
    <w:p>
      <w:pPr>
        <w:spacing w:after="0" w:line="66" w:lineRule="exact"/>
        <w:rPr>
          <w:rFonts w:ascii="Arial" w:cs="Arial" w:eastAsia="Arial" w:hAnsi="Arial"/>
          <w:sz w:val="16"/>
          <w:szCs w:val="16"/>
          <w:color w:val="auto"/>
        </w:rPr>
      </w:pPr>
    </w:p>
    <w:p>
      <w:pPr>
        <w:ind w:left="1420" w:hanging="331"/>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Entrega, Inc. (PureTech ownership as of December 31, 2021: 74.3%)</w:t>
      </w:r>
    </w:p>
    <w:p>
      <w:pPr>
        <w:spacing w:after="0" w:line="130" w:lineRule="exact"/>
        <w:rPr>
          <w:rFonts w:ascii="Arial" w:cs="Arial" w:eastAsia="Arial" w:hAnsi="Arial"/>
          <w:sz w:val="18"/>
          <w:szCs w:val="18"/>
          <w:color w:val="auto"/>
        </w:rPr>
      </w:pPr>
    </w:p>
    <w:p>
      <w:pPr>
        <w:ind w:left="2080" w:right="260" w:hanging="545"/>
        <w:spacing w:after="0" w:line="259"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Entrega continued to advance its platform for the oral administration of biologics, vaccines and other drugs that are otherwise not efficiently absorbed when taken orally. As part of its collaboration with Eli Lilly, Entrega has continued to investigate the application of its peptide administration technology to certain Eli Lilly therapeutic candidates. The partnership has been extended into 2022.</w:t>
      </w:r>
    </w:p>
    <w:p>
      <w:pPr>
        <w:spacing w:after="0" w:line="92" w:lineRule="exact"/>
        <w:rPr>
          <w:rFonts w:ascii="Arial" w:cs="Arial" w:eastAsia="Arial" w:hAnsi="Arial"/>
          <w:sz w:val="18"/>
          <w:szCs w:val="18"/>
          <w:color w:val="auto"/>
        </w:rPr>
      </w:pPr>
    </w:p>
    <w:p>
      <w:pPr>
        <w:ind w:left="2080" w:right="380" w:hanging="545"/>
        <w:spacing w:after="0" w:line="27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Entrega has also continued advancement of its ENT-100 platform for the oral administration of biologics, vaccines and other drugs that are otherwise not efficiently absorbed when taken orally.</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PureTech Health today released its Annual Report for the year ended December 31, 2021. In compliance with the Financial Conduct Authority’s Listing Rule 9.6.3, the following documents have today been submitted to the National Storage Mechanism and will shortly be available for inspection at </w:t>
      </w:r>
      <w:r>
        <w:rPr>
          <w:rFonts w:ascii="Arial" w:cs="Arial" w:eastAsia="Arial" w:hAnsi="Arial"/>
          <w:sz w:val="18"/>
          <w:szCs w:val="18"/>
          <w:u w:val="single" w:color="auto"/>
          <w:color w:val="auto"/>
        </w:rPr>
        <w:t>https://data.fca.org.uk/#/nsm/nationalstoragemechanism</w:t>
      </w:r>
      <w:r>
        <w:rPr>
          <w:rFonts w:ascii="Arial" w:cs="Arial" w:eastAsia="Arial" w:hAnsi="Arial"/>
          <w:sz w:val="18"/>
          <w:szCs w:val="18"/>
          <w:color w:val="auto"/>
        </w:rPr>
        <w:t>.</w:t>
      </w:r>
    </w:p>
    <w:p>
      <w:pPr>
        <w:spacing w:after="0" w:line="211" w:lineRule="exact"/>
        <w:rPr>
          <w:sz w:val="20"/>
          <w:szCs w:val="20"/>
          <w:color w:val="auto"/>
        </w:rPr>
      </w:pPr>
    </w:p>
    <w:p>
      <w:pPr>
        <w:ind w:left="1420" w:hanging="331"/>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Report and Accounts for the year ended December 31, 2021;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Notice of 2022 Annual General Meeting.</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 xml:space="preserve">Printed copies of these documents together with the Form of Proxy will be posted to shareholders. Copies are also available electronically on the Investor Relations section of the Company’s website at </w:t>
      </w:r>
      <w:r>
        <w:rPr>
          <w:rFonts w:ascii="Arial" w:cs="Arial" w:eastAsia="Arial" w:hAnsi="Arial"/>
          <w:sz w:val="17"/>
          <w:szCs w:val="17"/>
          <w:u w:val="single" w:color="auto"/>
          <w:color w:val="auto"/>
        </w:rPr>
        <w:t>https://investors.puretechhealth.com/financials-filings/reports</w:t>
      </w:r>
      <w:r>
        <w:rPr>
          <w:rFonts w:ascii="Arial" w:cs="Arial" w:eastAsia="Arial" w:hAnsi="Arial"/>
          <w:sz w:val="17"/>
          <w:szCs w:val="17"/>
          <w:color w:val="auto"/>
        </w:rPr>
        <w:t>.</w:t>
      </w:r>
    </w:p>
    <w:p>
      <w:pPr>
        <w:spacing w:after="0" w:line="14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PureTech’s 2021 Annual General Meeting (AGM) will be held on June 15, 2022 at 11:00am EDT / 4:00pm BST at PureTech’s headquarters, which is located at 6 Tide Street, Boston, Massachusetts, United States. Please note that in order to protect the health and wellbeing of our people and our shareholders we continue to monitor developments relating to COVID-19 and, in light of increased circulation of new variants in different regions and potentially disruptive travel limitations, the Company has decided to hold the AGM in the United States where most of the Directors are resident.</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While the Company’s preference had been to welcome shareholders in person to the 2022 AGM in the United Kingdom, we considered the conditions at hand and are proposing to hold the AGM at our Boston office in the United States. Shareholders are strongly encouraged to submit a proxy vote in advance of the meeting and to appoint the Chair of the meeting to act as their proxy. If a shareholder wishes to attend the meeting person, we ask that the shareholder notify the Company by email to </w:t>
      </w:r>
      <w:r>
        <w:rPr>
          <w:rFonts w:ascii="Arial" w:cs="Arial" w:eastAsia="Arial" w:hAnsi="Arial"/>
          <w:sz w:val="16"/>
          <w:szCs w:val="16"/>
          <w:u w:val="single" w:color="auto"/>
          <w:color w:val="auto"/>
        </w:rPr>
        <w:t>ir@puretechhealth.com</w:t>
      </w:r>
      <w:r>
        <w:rPr>
          <w:rFonts w:ascii="Arial" w:cs="Arial" w:eastAsia="Arial" w:hAnsi="Arial"/>
          <w:sz w:val="16"/>
          <w:szCs w:val="16"/>
          <w:color w:val="auto"/>
        </w:rPr>
        <w:t xml:space="preserve"> to assist us in planning and implementing arrangements for this year’s AGM. The health and welfare of the Company’s shareholders, as well as its employees and partners, is the number one priority.</w:t>
      </w:r>
    </w:p>
    <w:p>
      <w:pPr>
        <w:sectPr>
          <w:pgSz w:w="11900" w:h="16838" w:orient="portrait"/>
          <w:cols w:equalWidth="0" w:num="1">
            <w:col w:w="11000"/>
          </w:cols>
          <w:pgMar w:left="440" w:top="274" w:right="459" w:bottom="1440" w:gutter="0" w:footer="0" w:header="0"/>
        </w:sectPr>
      </w:pPr>
    </w:p>
    <w:bookmarkStart w:id="15" w:name="page16"/>
    <w:bookmarkEnd w:id="15"/>
    <w:p>
      <w:pPr>
        <w:ind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appreciates that a number of its shareholders are not resident or located in the United States and asks shareholders to participate in the AGM by submitting any questions in advance and voting via proxy rather than attending in person. As such, any specific questions on the business of the AGM and resolutions can be submitted ahead of meeting by e-mail to </w:t>
      </w:r>
      <w:r>
        <w:rPr>
          <w:rFonts w:ascii="Arial" w:cs="Arial" w:eastAsia="Arial" w:hAnsi="Arial"/>
          <w:sz w:val="16"/>
          <w:szCs w:val="16"/>
          <w:u w:val="single" w:color="auto"/>
          <w:color w:val="auto"/>
        </w:rPr>
        <w:t>ir@puretechhealth.com</w:t>
      </w:r>
      <w:r>
        <w:rPr>
          <w:rFonts w:ascii="Arial" w:cs="Arial" w:eastAsia="Arial" w:hAnsi="Arial"/>
          <w:sz w:val="16"/>
          <w:szCs w:val="16"/>
          <w:color w:val="auto"/>
        </w:rPr>
        <w:t xml:space="preserve"> (marked for the attention of Dr. Bharatt Chowrira).</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Shareholders are encouraged to complete and return their votes by proxy, and to do so no later than 4:00 pm (BST) on June 13, 2022. This will appoint the chair of the meeting as proxy and will ensure that votes will be counted even though attendance at the meeting is restricted and you are unable to attend in person. Details of how to appoint a proxy are set out in the notice of AGM.</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PureTech will keep shareholders updated of any changes it may decide to make to the current plans for the AGM. Please visit the Company’s website at www.puretechhealth.com for the most up to date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pipeline, which is being advanced both internally and through PureTech’s Founded Entities, is comprised of 27 therapeutics and therapeutic candidates, including two that have received both U.S. FDA clearance and European marketing authorization, as of the date of PureTech’s most recently filed Annual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PureTech’s future prospects, development plans and strategies, the progress and timing of clinical trials and data readouts, the timing of potential IND applications, the sufficiency of cash and cash equivalents and expected cash runway, and PureTech’s potential implementation of a capital deployment strategy and plans to return capital to shareholders..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w:t>
      </w:r>
    </w:p>
    <w:p>
      <w:pPr>
        <w:sectPr>
          <w:pgSz w:w="11900" w:h="16838" w:orient="portrait"/>
          <w:cols w:equalWidth="0" w:num="1">
            <w:col w:w="11000"/>
          </w:cols>
          <w:pgMar w:left="440" w:top="274" w:right="45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clinical development; our ability to obtain regulatory approval for and commercialize our therapeutic candidates; our ability to realize the benefits of our collaborations, licenses and other arrangements;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including health epidemics or pandemics like the COVID-19 pandemic, and conflicts such as the Russia-Ukraine conflict; and the those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IR@puretechhealth.com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ben.atwell@FTIconsulting.com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Nichole Sarkis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+1 774 278 8273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nichole@tenbridgecommunications.com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ind w:left="960" w:hanging="532"/>
        <w:spacing w:after="0" w:line="286"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Cash and cash equivalents held at PureTech Health plc and only wholly-owned subsidiaries (please refer to Note 1 to our consolidated financial statements for further information with respect to our wholly-owned subsidiaries) as of Dec 31, 2021. This represents a non-IFRS number. For a reconciliation of this number to IFRS, please see below under the heading “Financial Review.”</w:t>
      </w:r>
    </w:p>
    <w:p>
      <w:pPr>
        <w:spacing w:after="0" w:line="71" w:lineRule="exact"/>
        <w:rPr>
          <w:sz w:val="20"/>
          <w:szCs w:val="20"/>
          <w:color w:val="auto"/>
        </w:rPr>
      </w:pPr>
    </w:p>
    <w:p>
      <w:pPr>
        <w:ind w:left="960" w:right="180" w:hanging="532"/>
        <w:spacing w:after="0" w:line="308"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and cash equivalents held at PureTech Health plc and consolidated subsidiaries (please refer to Note 1 to our consolidated financial statements for further information with respect to our consolidated subsidiaries) as of December 31, 2021.</w:t>
      </w:r>
    </w:p>
    <w:p>
      <w:pPr>
        <w:spacing w:after="0" w:line="52"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Important Safety Information about Plenity</w:t>
      </w:r>
      <w:r>
        <w:rPr>
          <w:rFonts w:ascii="Arial" w:cs="Arial" w:eastAsia="Arial" w:hAnsi="Arial"/>
          <w:sz w:val="13"/>
          <w:szCs w:val="13"/>
          <w:color w:val="auto"/>
        </w:rPr>
        <w:t>®</w:t>
      </w:r>
      <w:r>
        <w:rPr>
          <w:rFonts w:ascii="Arial" w:cs="Arial" w:eastAsia="Arial" w:hAnsi="Arial"/>
          <w:sz w:val="16"/>
          <w:szCs w:val="16"/>
          <w:color w:val="auto"/>
        </w:rPr>
        <w:t>: Patients who are pregnant or are allergic to cellulose, citric acid, sodium stearyl fumarate,</w:t>
      </w:r>
    </w:p>
    <w:p>
      <w:pPr>
        <w:spacing w:after="0" w:line="46" w:lineRule="exact"/>
        <w:rPr>
          <w:rFonts w:ascii="Arial" w:cs="Arial" w:eastAsia="Arial" w:hAnsi="Arial"/>
          <w:sz w:val="16"/>
          <w:szCs w:val="16"/>
          <w:color w:val="auto"/>
        </w:rPr>
      </w:pPr>
    </w:p>
    <w:p>
      <w:pPr>
        <w:ind w:left="960" w:right="20"/>
        <w:spacing w:after="0" w:line="269" w:lineRule="auto"/>
        <w:rPr>
          <w:rFonts w:ascii="Arial" w:cs="Arial" w:eastAsia="Arial" w:hAnsi="Arial"/>
          <w:sz w:val="16"/>
          <w:szCs w:val="16"/>
          <w:color w:val="auto"/>
        </w:rPr>
      </w:pPr>
      <w:r>
        <w:rPr>
          <w:rFonts w:ascii="Arial" w:cs="Arial" w:eastAsia="Arial" w:hAnsi="Arial"/>
          <w:sz w:val="17"/>
          <w:szCs w:val="17"/>
          <w:color w:val="auto"/>
        </w:rPr>
        <w:t>gelatin, or titanium dioxide should not take Plenity. To avoid impact on the absorption of medications: For all medications that should be taken with food, take them after starting a meal. For all medications that should be taken without food (on an empty stomach), continue taking on an empty stomach or as recommended by your physician. The overall incidence of side effects with Plenity was no different than placebo. The most common side effects were diarrhea, distended abdomen, infrequent bowel movements, and flatulence. Contact a doctor right away if problems occur. If you have a severe allergic reaction, severe stomach pain, or severe diarrhea, stop using Plenity until you can speak to your doctor. Rx Only. For the safe and proper use of Plenity or more information, talk to a healthcare professional, read the Patient Instructions for Use, or call 1-844-PLENITY.</w:t>
      </w:r>
    </w:p>
    <w:p>
      <w:pPr>
        <w:sectPr>
          <w:pgSz w:w="11900" w:h="16838" w:orient="portrait"/>
          <w:cols w:equalWidth="0" w:num="1">
            <w:col w:w="10980"/>
          </w:cols>
          <w:pgMar w:left="440" w:top="274" w:right="479" w:bottom="1440" w:gutter="0" w:footer="0" w:header="0"/>
        </w:sectPr>
      </w:pPr>
    </w:p>
    <w:bookmarkStart w:id="17" w:name="page18"/>
    <w:bookmarkEnd w:id="17"/>
    <w:p>
      <w:pPr>
        <w:ind w:left="960" w:hanging="532"/>
        <w:spacing w:after="0" w:line="271"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EndeavorRx</w:t>
      </w:r>
      <w:r>
        <w:rPr>
          <w:rFonts w:ascii="Arial" w:cs="Arial" w:eastAsia="Arial" w:hAnsi="Arial"/>
          <w:sz w:val="14"/>
          <w:szCs w:val="14"/>
          <w:color w:val="auto"/>
        </w:rPr>
        <w:t>®</w:t>
      </w:r>
      <w:r>
        <w:rPr>
          <w:rFonts w:ascii="Arial" w:cs="Arial" w:eastAsia="Arial" w:hAnsi="Arial"/>
          <w:sz w:val="17"/>
          <w:szCs w:val="17"/>
          <w:color w:val="auto"/>
        </w:rPr>
        <w:t xml:space="preserve"> is a digital therapeutic indicated to improve attention function as measured by computer-based testing in children ages 8-12 years old with primarily inattentive or combined-type ADHD, who have a demonstrated attention issue. Patients who engage with EndeavorRx demonstrate improvements in a digitally assessed measure, Test of Variables of Attention (TOVA</w:t>
      </w:r>
      <w:r>
        <w:rPr>
          <w:rFonts w:ascii="Arial" w:cs="Arial" w:eastAsia="Arial" w:hAnsi="Arial"/>
          <w:sz w:val="14"/>
          <w:szCs w:val="14"/>
          <w:color w:val="auto"/>
        </w:rPr>
        <w:t>®</w:t>
      </w:r>
      <w:r>
        <w:rPr>
          <w:rFonts w:ascii="Arial" w:cs="Arial" w:eastAsia="Arial" w:hAnsi="Arial"/>
          <w:sz w:val="17"/>
          <w:szCs w:val="17"/>
          <w:color w:val="auto"/>
        </w:rPr>
        <w:t>)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There were no serious adverse events; 9.3% of subjects experienced side effects, including frustration, headache, dizziness, emotional reaction, nausea or aggression. EndeavorRx is only available to your patients through a prescription, and is not intended as a stand-alone therapeutic or a substitute for your patient’s medication.</w:t>
      </w:r>
    </w:p>
    <w:p>
      <w:pPr>
        <w:spacing w:after="0" w:line="84" w:lineRule="exact"/>
        <w:rPr>
          <w:sz w:val="20"/>
          <w:szCs w:val="20"/>
          <w:color w:val="auto"/>
        </w:rPr>
      </w:pPr>
    </w:p>
    <w:p>
      <w:pPr>
        <w:ind w:left="960" w:right="80" w:hanging="532"/>
        <w:spacing w:after="0" w:line="296"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References in this report to “Wholly Owned Programs” refer to the Company’s seven therapeutic candidates (LYT-100, LYT-200, LYT-210, LYT-300, LYT-510, LYT-500 and LYT- 503/IMB-150), four lymphatic and inflammation platforms and potential future therapeutic candidates and platforms that the Company may develop or obtain. References to “Wholly Owned Pipeline” refer to LYT-100, LYT-200, LYT-210, LYT-300, LYT-510, LYT-500 and LYT-503/IMB-150. On July 23, 2021, Imbrium Therapeutics exercised its option to license LYT-503/IMB-150 pursuant to which it is responsible for all future development activities and funding for LYT-503/IMB-150.</w:t>
      </w:r>
    </w:p>
    <w:p>
      <w:pPr>
        <w:spacing w:after="0" w:line="67" w:lineRule="exact"/>
        <w:rPr>
          <w:sz w:val="20"/>
          <w:szCs w:val="20"/>
          <w:color w:val="auto"/>
        </w:rPr>
      </w:pPr>
    </w:p>
    <w:p>
      <w:pPr>
        <w:ind w:left="960" w:right="10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 COVID is a term being used to describe the emerging and persistent complications following the resolution of COVID-19 infection, also known as post-acute COVID-19 syndrome (PACS).</w:t>
      </w:r>
    </w:p>
    <w:p>
      <w:pPr>
        <w:spacing w:after="0" w:line="76" w:lineRule="exact"/>
        <w:rPr>
          <w:sz w:val="20"/>
          <w:szCs w:val="20"/>
          <w:color w:val="auto"/>
        </w:rPr>
      </w:pPr>
    </w:p>
    <w:p>
      <w:pPr>
        <w:ind w:left="960" w:right="200" w:hanging="532"/>
        <w:spacing w:after="0" w:line="26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Funding figure includes private equity financings, loans and promissory notes, public offerings or grant awards. Funding figure excludes future milestone considerations received in conjunction with partnerships and collaborations. Funding figure does not include Gelesis’ gross proceeds of $105.0 million from its January 2022 post-period SPAC merger.</w:t>
      </w:r>
    </w:p>
    <w:p>
      <w:pPr>
        <w:spacing w:after="0" w:line="89" w:lineRule="exact"/>
        <w:rPr>
          <w:sz w:val="20"/>
          <w:szCs w:val="20"/>
          <w:color w:val="auto"/>
        </w:rPr>
      </w:pPr>
    </w:p>
    <w:p>
      <w:pPr>
        <w:jc w:val="both"/>
        <w:ind w:left="960" w:right="220" w:hanging="532"/>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and cash equivalents held at PureTech Health plc and only wholly-owned subsidiaries as of March 31, 2022. The measure includes cash outflows and inflows for the first quarter of 2022. This represents a non-IFRS number. For a reconciliation of this number to IFRS, please see below under the heading “Financial Review.”</w:t>
      </w:r>
    </w:p>
    <w:p>
      <w:pPr>
        <w:spacing w:after="0" w:line="89" w:lineRule="exact"/>
        <w:rPr>
          <w:sz w:val="20"/>
          <w:szCs w:val="20"/>
          <w:color w:val="auto"/>
        </w:rPr>
      </w:pPr>
    </w:p>
    <w:p>
      <w:pPr>
        <w:ind w:left="960" w:hanging="532"/>
        <w:spacing w:after="0" w:line="271"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While PureTech maintains ownership of equity interests in its Founded Entities, the Company does not, in all cases, maintain control over these entities (by virtue of (i) majority voting control and (ii) the right to elect representation to the entities’ board of directors) or direct the management and development efforts for these entities. Consequently, not all such entities are consolidated in the financial statements. Where PureTech maintains control, the entity is referred to as a Controlled Founded Entity in this report and is consolidated in the financial statements. Where PureTech does not maintain control, the entity is referred to as a Non-Controlled Founded Entity in this report and is not consolidated in the financial statements. As of December 31, 2021, Controlled Founded Entities include Follica Incorporated, Vedanta Biosciences, Inc., Sonde Health, Inc. and Entrega, Inc., and Non-Controlled Founded Entities include Gelesis Holdings, Inc., Karuna Therapeutics, Inc., Akili Interactive Labs, Inc., Vor Bio Inc.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Framework</w:t>
      </w:r>
    </w:p>
    <w:p>
      <w:pPr>
        <w:spacing w:after="0" w:line="121"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90 to 93 and in the Additional Information section from pages 217 to 252, our actual results could differ materially from the results described in or implied by these forward-looking statements.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audited Consolidated Financial Statements as of December 31, 2021 and 2020, and for the years ended December 31, 2021, 2020 and 2019, have been prepared in accordance with UK-adopted International Financial Reporting Standards (IFRS). The Consolidated Financial Statements also comply fully with IFRSs as issued by the International Accounting Standards Board (IASB).</w:t>
      </w:r>
    </w:p>
    <w:p>
      <w:pPr>
        <w:sectPr>
          <w:pgSz w:w="11900" w:h="16838" w:orient="portrait"/>
          <w:cols w:equalWidth="0" w:num="1">
            <w:col w:w="11000"/>
          </w:cols>
          <w:pgMar w:left="440" w:top="274" w:right="459" w:bottom="1440" w:gutter="0" w:footer="0" w:header="0"/>
        </w:sectPr>
      </w:pPr>
    </w:p>
    <w:bookmarkStart w:id="18" w:name="page19"/>
    <w:bookmarkEnd w:id="1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discussion contains references to the Consolidated Financial Statements of PureTech Health plc, or the Company, and its consolidated subsidiaries, together the Group. These financial statements consolidate the Company’s subsidiaries and include the Company’s interest in associates and investments held at fair value. Subsidiaries are those entities over which the Company maintains control. Associates are those entities in which the Company does not have control for financial accounting purposes but maintains significant influence over financial and operating policies. Where the Company has neither control nor significant influence for financial accounting purposes, we recognize our holding in such entity as an investment at fair value. For purposes of our Consolidated Financial Statements, each of our Founded Entities are considered to be either a “subsidiary”, an “associate” or an “investment held at fair value” depending on whether PureTech Health plc controls or maintains significant influence over the financial and operating policies of the respective entity at the respective period end date. For additional information regarding the accounting treatment of these entities, see Note 1 to our Consolidated Financial Statements included in this report. For additional information regarding our operating structure, see “—Basis of Presentation and Consolidation” below. Fair value of Investments held at fair value, does not take into consideration contribution from milestones that occurred after December 31, 2021, the value of our interests in our consolidated Founded Entities (Vedanta, Follica, Sonde, and Entrega), our Wholly Owned Programs, or our cash.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Background and Results Overview</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business background is discussed from pages 1 to 72, which describe in detail the business development of our Wholly Owned Programs and Founded Entities.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ability to generate product revenue sufficient to achieve profitability will depend heavily on the successful development and eventual commercialization of one or more of our wholly-owned or Controlled Founded Entities’ therapeutics candidates, which may or may not occur. Our Founded Entities, Gelesis, Inc. (“Gelesis”), and Akili Interactive Labs, Inc. (“Akili”), which we have not controlled since 2019 and 2018, respectively, have products cleared for sale, but our Wholly Owned Programs and our Controlled Founded Entities have not yet generated any meaningful revenue from product sales.</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deconsolidated a number of our Founded Entities, specifically Karuna Therapeutics, Inc. (“Karuna”), Vor Biopharma Inc. (“Vor”), and Gelesis during 2019. We expect this trend to continue into the foreseeable future as our Controlled Founded Entities raise additional funding that reduces our ownership interest. Any deconsolidation affects our financials in the following manner:</w:t>
      </w:r>
    </w:p>
    <w:p>
      <w:pPr>
        <w:spacing w:after="0" w:line="89" w:lineRule="exact"/>
        <w:rPr>
          <w:sz w:val="20"/>
          <w:szCs w:val="20"/>
          <w:color w:val="auto"/>
        </w:rPr>
      </w:pPr>
    </w:p>
    <w:p>
      <w:pPr>
        <w:ind w:left="420" w:hanging="3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ownership interest does not provide us with a controlling financial interest;</w:t>
      </w:r>
    </w:p>
    <w:p>
      <w:pPr>
        <w:spacing w:after="0" w:line="130" w:lineRule="exact"/>
        <w:rPr>
          <w:rFonts w:ascii="Arial" w:cs="Arial" w:eastAsia="Arial" w:hAnsi="Arial"/>
          <w:sz w:val="18"/>
          <w:szCs w:val="18"/>
          <w:color w:val="auto"/>
        </w:rPr>
      </w:pPr>
    </w:p>
    <w:p>
      <w:pPr>
        <w:ind w:left="420" w:right="200" w:hanging="316"/>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no longer control the Founded Entity’s assets and liabilities and as a result we derecognize the assets, liabilities and non-controlling interests related to the Founded Entity from our Consolidated Statements of Financial Position;</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record our non-controlling financial interest in the Founded Entity at fair value;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resulting amount of any gain or loss is recognized in our Consolidated Statements of Comprehensive Income/(Loss).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anticipate our expenses to continue to increase proportionally in connection with our ongoing development activities related mostly due to the advancement into late-stage studies of the clinical programs within our Wholly Owned Pipeline and Controlled Founded Entities. In addition, having completed our U.S. listing in November 2020, we have, and will continue, to incur additional costs associated with operating as a public company in the U.S. We also expect that our expenses and capital requirements will increase substantially in the near to mid-term as we:</w:t>
      </w:r>
    </w:p>
    <w:p>
      <w:pPr>
        <w:spacing w:after="0" w:line="77" w:lineRule="exact"/>
        <w:rPr>
          <w:sz w:val="20"/>
          <w:szCs w:val="20"/>
          <w:color w:val="auto"/>
        </w:rPr>
      </w:pPr>
    </w:p>
    <w:p>
      <w:pPr>
        <w:ind w:left="420" w:hanging="3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 our research and development efforts;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regulatory approvals for any therapeutic candidates that successfully complete clinical trials;</w:t>
      </w:r>
    </w:p>
    <w:p>
      <w:pPr>
        <w:spacing w:after="0" w:line="130"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therapeutic development and potential future commercialization claims;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as a U.S. public company.</w:t>
      </w:r>
    </w:p>
    <w:p>
      <w:pPr>
        <w:sectPr>
          <w:pgSz w:w="11900" w:h="16838" w:orient="portrait"/>
          <w:cols w:equalWidth="0" w:num="1">
            <w:col w:w="11000"/>
          </w:cols>
          <w:pgMar w:left="440" w:top="274" w:right="459" w:bottom="1440" w:gutter="0" w:footer="0" w:header="0"/>
        </w:sectPr>
      </w:pPr>
    </w:p>
    <w:bookmarkStart w:id="19" w:name="page20"/>
    <w:bookmarkEnd w:id="1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our internal research and development spend will increase in the foreseeable future as we may initiate additional clinical studies for LYT-100, LYT-200 and LYT-300, and advance LYT-210, LYT-510 and LYT-500 into the clinic and continue to progress our Glyph</w:t>
      </w:r>
      <w:r>
        <w:rPr>
          <w:rFonts w:ascii="Arial" w:cs="Arial" w:eastAsia="Arial" w:hAnsi="Arial"/>
          <w:sz w:val="15"/>
          <w:szCs w:val="15"/>
          <w:color w:val="auto"/>
        </w:rPr>
        <w:t>TM</w:t>
      </w:r>
      <w:r>
        <w:rPr>
          <w:rFonts w:ascii="Arial" w:cs="Arial" w:eastAsia="Arial" w:hAnsi="Arial"/>
          <w:sz w:val="18"/>
          <w:szCs w:val="18"/>
          <w:color w:val="auto"/>
        </w:rPr>
        <w:t>, Orasome</w:t>
      </w:r>
      <w:r>
        <w:rPr>
          <w:rFonts w:ascii="Arial" w:cs="Arial" w:eastAsia="Arial" w:hAnsi="Arial"/>
          <w:sz w:val="15"/>
          <w:szCs w:val="15"/>
          <w:color w:val="auto"/>
        </w:rPr>
        <w:t>TM</w:t>
      </w:r>
      <w:r>
        <w:rPr>
          <w:rFonts w:ascii="Arial" w:cs="Arial" w:eastAsia="Arial" w:hAnsi="Arial"/>
          <w:sz w:val="18"/>
          <w:szCs w:val="18"/>
          <w:color w:val="auto"/>
        </w:rPr>
        <w:t xml:space="preserve"> and Alivio</w:t>
      </w:r>
      <w:r>
        <w:rPr>
          <w:rFonts w:ascii="Arial" w:cs="Arial" w:eastAsia="Arial" w:hAnsi="Arial"/>
          <w:sz w:val="15"/>
          <w:szCs w:val="15"/>
          <w:color w:val="auto"/>
        </w:rPr>
        <w:t>TM</w:t>
      </w:r>
      <w:r>
        <w:rPr>
          <w:rFonts w:ascii="Arial" w:cs="Arial" w:eastAsia="Arial" w:hAnsi="Arial"/>
          <w:sz w:val="18"/>
          <w:szCs w:val="18"/>
          <w:color w:val="auto"/>
        </w:rPr>
        <w:t xml:space="preserve"> technology platforms as well as our meningeal lymphatics research program.</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In addition, with respect to our Founded Entities’ programs, we anticipate that we will continue to fund a small portion of development costs by strategically participating in such companies’ financings when it is in the best interests of our shareholders. The form of any such participation may include investment in public or private financings, collaboration and partnership arrangements and licensing arrangements, among others. Our management and strategic decision makers consider the future funding needs of our Founded Entities and evaluate the needs and opportunities for returns with respect to each of these Founded Entities routinely and on a case-by-case basis.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we may need substantial additional funding in the future, following the assessment period described above, to support our continuing operations and pursue our growth strategy until such time as we can generate sufficient revenue from product sales to support our operations, if ever. Until such time we expect to finance our operations through a combination of monetization of our interests in our Founded Entities, collaborations with third parties and also potentially from public or private equity or debt financings or other sources. We may be unable to raise additional funds or enter into such other agreements or arrangements when needed on favorable terms, or at all. If we are unable to raise capital or enter into such agreements as, and when needed, we may have to delay, scale back or discontinue the development and commercialization of one or more of our wholly-owned therapeutic candidates.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Performance</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Financial Review discusses our operating and financial performance, our cash flows and liquidity as well as our financial position and our resources. The results for each year are compared primarily with the results of the preceding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Reported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Reported performance considers all factors that have affected the results of our business, as reflected in our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Performance</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Core performance measures are alternative performance measures (APM) which are adjusted and non-IFRS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results and should not be considered superior to results presented in accordance with IFRS.</w:t>
      </w:r>
    </w:p>
    <w:p>
      <w:pPr>
        <w:sectPr>
          <w:pgSz w:w="11900" w:h="16838" w:orient="portrait"/>
          <w:cols w:equalWidth="0" w:num="1">
            <w:col w:w="10980"/>
          </w:cols>
          <w:pgMar w:left="440" w:top="274"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flow and liquidity</w:t>
      </w:r>
    </w:p>
    <w:p>
      <w:pPr>
        <w:spacing w:after="0" w:line="2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PureTech Level Cash and Cash Equivalents</w:t>
      </w:r>
      <w:r>
        <w:rPr>
          <w:sz w:val="20"/>
          <w:szCs w:val="20"/>
          <w:color w:val="auto"/>
        </w:rPr>
        <w:tab/>
      </w:r>
      <w:r>
        <w:rPr>
          <w:rFonts w:ascii="Arial" w:cs="Arial" w:eastAsia="Arial" w:hAnsi="Arial"/>
          <w:sz w:val="16"/>
          <w:szCs w:val="16"/>
          <w:b w:val="1"/>
          <w:bCs w:val="1"/>
          <w:color w:val="auto"/>
        </w:rPr>
        <w:t xml:space="preserve">Measure type: </w:t>
      </w:r>
      <w:r>
        <w:rPr>
          <w:rFonts w:ascii="Arial" w:cs="Arial" w:eastAsia="Arial" w:hAnsi="Arial"/>
          <w:sz w:val="16"/>
          <w:szCs w:val="16"/>
          <w:color w:val="auto"/>
        </w:rPr>
        <w:t>Core performance.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Definition: </w:t>
      </w:r>
      <w:r>
        <w:rPr>
          <w:rFonts w:ascii="Arial" w:cs="Arial" w:eastAsia="Arial" w:hAnsi="Arial"/>
          <w:sz w:val="16"/>
          <w:szCs w:val="16"/>
          <w:color w:val="auto"/>
        </w:rPr>
        <w:t>Cash and cash equivalents held at PureTech Health plc and</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only wholly-owned subsidiaries as noted (PureTech LYT, PureTech</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LYT-100, PureTech Management, Inc., PureTech Health LLC,and other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inactive entities in which we have no current operations. During the year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ended December 31, 2021, the Company acquired the non controlling</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interest in Alivio Therapeutics, Inc. and since then Alivio Therapeutics,</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Inc. is wholly owned by the Company and the related cash and cash</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equivalents are included in the PureTech Level Cash and Cash</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Equivalents as of December 31, 2021. The cash and cash equivalents of</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Alivio Therapeutics, Inc. were not included in the PureTech Level Cash</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and Cash Equivalents as of December 31, 2020 as during that period,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subsidiary was not wholly owned by the Company.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Why we use it: </w:t>
      </w:r>
      <w:r>
        <w:rPr>
          <w:rFonts w:ascii="Arial" w:cs="Arial" w:eastAsia="Arial" w:hAnsi="Arial"/>
          <w:sz w:val="16"/>
          <w:szCs w:val="16"/>
          <w:color w:val="auto"/>
        </w:rPr>
        <w:t>PureTech Level Cash and Cash Equivalents is a measure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that provides valuable additional information with respect to cash and</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cash equivalents available to fund the Wholly Owned Programs and</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make certain investments in Founded Entities.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no longer presents in the reported periods Consolidated Cash Reserves or PureTech Level Cash Reserves as the Company does not have short-term investments in addition to its cash and cash equivalents in all reported periods.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2020, the World Health Organization declared the COVID-19 outbreak a pandemic. The pandemic has since caused widespread and significant disruption to daily life and the global economy as governments have taken actions, including the issuance of stay-at-home orders and social distancing guidelines, and businesses have adjusted their activities. While our business, operations and financial condition and results have not been significantly impacted in 2020 or 2021, as a result of the COVID-19 pandemic, we have taken swift action to ensure the safety of our employees and other stakeholders. We continue to monitor the latest developments regarding the COVID-19 pandemic on our business, operations, and financial condition and results and cannot predict the impact, including as a result of variations of the virus, that the pandemic may have on our business, operations, and financial condition and results.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(subsequent to December 31, 2021)</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13, 2022 Gelesis completed its business combination with Capstar Special Purpose Acquisition Corp (“Capstar”). As part of the business combination all shares held in Gelesis, common and preferred, were exchanged for common shares of the merged entity. In addition, PureTech invested $15.0 million in the class A common shares of Capstar as part of the PIPE transaction that took place immediately prior to the closing of the business combination and an additional approximately $5.0 million, as part of the Backstop agreement signed with Capstar on December 30, 2021. Pursuant to the business combination, Gelesis became a wholly-owned subsidiary of Capstar and Capstar changed its name to Gelesis Holdings, Inc., which began trading on the New York Stock Exchange under the ticker symbol “GLS” on January 14, 2022. Following the closing of the business combination, PureTech holds 16,727,582 shares of Gelesis Holdings Inc. common stock, which is equal to approximately 23.2% of Gelesis Holdings Inc’s outstanding common shares.</w:t>
      </w:r>
    </w:p>
    <w:p>
      <w:pPr>
        <w:spacing w:after="0" w:line="19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January 26, 2022 Akili Interactive and Social Capital Suvretta Holdings Corp a special purpose acquisition company announced they had entered into a definitive business combination agreement. Upon completion of the transaction, the combined company’s securities are expected to be traded on the Nasdaq Stock Market under the ticker symbol “AKLI”. The transaction is expected to close in mid-2022. As part of this transaction the Akili Interactive shares held by the Company will be exchanged for the combined company’s securities and the Company’s interest in the combined public entity is expected to decrease from its current voting interest in Akili of 26.4%.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Following is the reconciliation of the amounts appearing in our Statement of Financial Position to the Alternative Performance Measure described above:</w:t>
      </w:r>
    </w:p>
    <w:p>
      <w:pPr>
        <w:sectPr>
          <w:pgSz w:w="11900" w:h="16838" w:orient="portrait"/>
          <w:cols w:equalWidth="0" w:num="1">
            <w:col w:w="11020"/>
          </w:cols>
          <w:pgMar w:left="440" w:top="270" w:right="439" w:bottom="1440" w:gutter="0" w:footer="0" w:header="0"/>
        </w:sectPr>
      </w:pPr>
    </w:p>
    <w:bookmarkStart w:id="21" w:name="page22"/>
    <w:bookmarkEnd w:id="21"/>
    <w:tbl>
      <w:tblPr>
        <w:tblLayout w:type="fixed"/>
        <w:tblInd w:w="88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color w:val="auto"/>
              </w:rPr>
              <w:t>As of:</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8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March 31, 2022*</w:t>
            </w:r>
          </w:p>
        </w:tc>
        <w:tc>
          <w:tcPr>
            <w:tcW w:w="1320" w:type="dxa"/>
            <w:vAlign w:val="bottom"/>
            <w:gridSpan w:val="3"/>
          </w:tcPr>
          <w:p>
            <w:pPr>
              <w:jc w:val="right"/>
              <w:ind w:right="280"/>
              <w:spacing w:after="0" w:line="123"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00" w:type="dxa"/>
            <w:vAlign w:val="bottom"/>
            <w:gridSpan w:val="4"/>
            <w:vMerge w:val="continue"/>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4"/>
                <w:szCs w:val="14"/>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413,217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Less: Cash and cash equivalents held at non-wholly owned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b w:val="1"/>
                <w:bCs w:val="1"/>
                <w:color w:val="auto"/>
              </w:rPr>
              <w:t>subsidiaries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(35,303)</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(46,856)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(54,473)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PureTech Level Cash and Cash Equivalents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377,914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418,851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349,407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24" w:right="240" w:hanging="224"/>
        <w:spacing w:after="0" w:line="277" w:lineRule="auto"/>
        <w:tabs>
          <w:tab w:leader="none" w:pos="2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as of March 31, 2022 is not included in PureTech Health plc’s Annual Report and Accounts 2021 and is included here for quantitative reconciliation purposes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ind w:left="4" w:right="460"/>
        <w:spacing w:after="0" w:line="308" w:lineRule="auto"/>
        <w:rPr>
          <w:sz w:val="20"/>
          <w:szCs w:val="20"/>
          <w:color w:val="auto"/>
        </w:rPr>
      </w:pPr>
      <w:r>
        <w:rPr>
          <w:rFonts w:ascii="Arial" w:cs="Arial" w:eastAsia="Arial" w:hAnsi="Arial"/>
          <w:sz w:val="17"/>
          <w:szCs w:val="17"/>
          <w:color w:val="auto"/>
        </w:rPr>
        <w:t>Our Consolidated Financial Information consolidates the financial information of PureTech Health plc, as well as its subsidiaries, and includes our interest in associates and investments held at fair value, and is reported in four operating segments as described below.</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Basis for Segmentation</w:t>
      </w:r>
    </w:p>
    <w:p>
      <w:pPr>
        <w:spacing w:after="0" w:line="121"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Our Directors are our strategic decision-makers. Our operating segments are based on the financial information provided to our Directors periodically for the purposes of allocating resources and assessing performance. We have determined that each Founded Entity is representative of a single operating segment as our Directors monitor the financial results at this level. When identifying the reportable segments we have determined that it is appropriate to aggregate multiple operating segments into a single reportable segment given the high level of operational and financial similarities across the entities. We have identified multiple reportable segments which are outlined below. Substantially all of our revenue and profit generating activities are generated within the United States and, accordingly, no geographical disclosures are provided.</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There was no change to reportable segments in 2021, except the change in the composition of the segments with respect to Alivio, as explained below.</w:t>
      </w:r>
    </w:p>
    <w:p>
      <w:pPr>
        <w:spacing w:after="0" w:line="248"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During the year ended December 31, 2021, the Company acquired the non controlling interest in Alivio and since then Alivio is wholly owned by the Company and is managed within the Internal segment. The Company has revised in this report the prior period segment financial information to conform to the presentation as of and for the period ending December 31, 2021. This change in segments reflects how the Company’s Board of Directors reviews the Group’s results, allocates resources and assesses performance of the Group at this time.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Following is the description of our reportable segments: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Internal</w:t>
      </w:r>
    </w:p>
    <w:p>
      <w:pPr>
        <w:spacing w:after="0" w:line="121"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The Internal segment is advancing Wholly Owned Programs, which is focused on immunological, fibrotic and lymphatic system disorders and builds upon validated biologic pathways and proven pharmacology. The Internal segment is comprised of the technologies that are wholly owned and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December 31, 2021, this segment included PureTech LYT, Inc. (formerly Ariya Therapeutics Inc.), PureTech LYT-100, Inc and Alivio Therapeutics, Inc.</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Controlled Founded Entities</w:t>
      </w:r>
    </w:p>
    <w:p>
      <w:pPr>
        <w:spacing w:after="0" w:line="121"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The Controlled Founded Entities segment is comprised of our subsidiaries that are currently consolidated operational subsidiaries that either have, or have plans to hire, independent management teams and have previously raised, or are currently in the process of raising, third-party dilutive capital. These subsidiaries have active research and development programs and either have entered into or plan to seek a strategic partnership with an equity or debt investment partner, who will provide additional industry knowledge and access to networks, as well as additional funding to continue the pursued growth of the company. As of December 31, 2021, this segment included Entrega, Inc., Follica, Incorporated, Sonde Health, Inc. and Vedanta Biosciences, Inc.</w:t>
      </w:r>
    </w:p>
    <w:p>
      <w:pPr>
        <w:sectPr>
          <w:pgSz w:w="11900" w:h="16838" w:orient="portrait"/>
          <w:cols w:equalWidth="0" w:num="1">
            <w:col w:w="11004"/>
          </w:cols>
          <w:pgMar w:left="436" w:top="269"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Non-Controlled Founded Entities</w:t>
      </w:r>
    </w:p>
    <w:p>
      <w:pPr>
        <w:spacing w:after="0" w:line="121"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Non-Controlled Founded Entities segment is comprised of the entities in respect of which PureTech Health (i) no longer holds majority voting control as a shareholder and (ii) no longer has the right to elect a majority of the members of the entity’s Board of Directors. Upon deconsolidation of an entity the segment disclosure is restated to reflect the change on a retrospective basis, as this constitutes a change in the composition of its reportable segments. The Non-Controlled Founded Entities segment included Akili Interactive Labs, Inc. (“Akili”), Vor Biopharma, Inc. (“Vor”), Karuna Therapeutics, Inc. (“Karuna”), and Gelesis, Inc. (“Gelesis”).</w:t>
      </w:r>
    </w:p>
    <w:p>
      <w:pPr>
        <w:spacing w:after="0" w:line="188" w:lineRule="exact"/>
        <w:rPr>
          <w:sz w:val="20"/>
          <w:szCs w:val="20"/>
          <w:color w:val="auto"/>
        </w:rPr>
      </w:pPr>
    </w:p>
    <w:p>
      <w:pPr>
        <w:ind w:left="4" w:right="560"/>
        <w:spacing w:after="0" w:line="259" w:lineRule="auto"/>
        <w:rPr>
          <w:sz w:val="20"/>
          <w:szCs w:val="20"/>
          <w:color w:val="auto"/>
        </w:rPr>
      </w:pPr>
      <w:r>
        <w:rPr>
          <w:rFonts w:ascii="Arial" w:cs="Arial" w:eastAsia="Arial" w:hAnsi="Arial"/>
          <w:sz w:val="18"/>
          <w:szCs w:val="18"/>
          <w:color w:val="auto"/>
        </w:rPr>
        <w:t>The Non-Controlled Founded Entities segment incorporates the operational results of the aforementioned entities to the date of deconsolidation. Following the date of deconsolidation, we account for our investment in each entity at the parent level, and therefore the results associated with investment activity following the date of deconsolidation is included in the Parent Company and Other segment (the “Parent Company and Other segment”).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Parent Company and Other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Parent Company and Other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Parent Company and Other also captures the accounting for our holdings in entities for which control has been lost, which is inclusive of the following items: gain on deconsolidation, gain or loss on investments held at fair value, gain on loss of significant influence, and the share of net loss of associates accounted for using the equity method. As of December 31, 2021, this segment included PureTech Health plc, PureTech Health LLC, PureTech Management, Inc., PureTech Securities Corp., and PureTech Securities II Corp. as well as certain other dormant, inactive and shell entities.</w:t>
      </w:r>
    </w:p>
    <w:p>
      <w:pPr>
        <w:spacing w:after="0" w:line="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table below summarizes the entities that comprised each of our segments as of December 31, 2021:</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Internal Segment</w:t>
            </w:r>
          </w:p>
        </w:tc>
        <w:tc>
          <w:tcPr>
            <w:tcW w:w="27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PureTech LYT</w:t>
            </w:r>
          </w:p>
        </w:tc>
        <w:tc>
          <w:tcPr>
            <w:tcW w:w="27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PureTech LYT-100, Inc.</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Alivio Therapeutics, Inc.</w:t>
            </w:r>
          </w:p>
        </w:tc>
        <w:tc>
          <w:tcPr>
            <w:tcW w:w="27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Controlled Founded Entities</w:t>
            </w:r>
          </w:p>
        </w:tc>
        <w:tc>
          <w:tcPr>
            <w:tcW w:w="27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Entrega, Inc.</w:t>
            </w:r>
          </w:p>
        </w:tc>
        <w:tc>
          <w:tcPr>
            <w:tcW w:w="276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Follica, Incorporated</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Sonde Health, Inc.</w:t>
            </w:r>
          </w:p>
        </w:tc>
        <w:tc>
          <w:tcPr>
            <w:tcW w:w="27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Vedanta Biosciences, Inc.</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Non-Controlled Founded Entities</w:t>
            </w:r>
          </w:p>
        </w:tc>
        <w:tc>
          <w:tcPr>
            <w:tcW w:w="27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Akili Interactive Labs, Inc.</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Gelesis, Inc.</w:t>
            </w:r>
          </w:p>
        </w:tc>
        <w:tc>
          <w:tcPr>
            <w:tcW w:w="27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Karuna Therapeutics, Inc.</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Vor Biopharma Inc.</w:t>
            </w:r>
          </w:p>
        </w:tc>
        <w:tc>
          <w:tcPr>
            <w:tcW w:w="2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Segment</w:t>
            </w:r>
            <w:r>
              <w:rPr>
                <w:rFonts w:ascii="Arial" w:cs="Arial" w:eastAsia="Arial" w:hAnsi="Arial"/>
                <w:sz w:val="15"/>
                <w:szCs w:val="15"/>
                <w:b w:val="1"/>
                <w:bCs w:val="1"/>
                <w:color w:val="auto"/>
              </w:rPr>
              <w:t>1</w:t>
            </w:r>
          </w:p>
        </w:tc>
        <w:tc>
          <w:tcPr>
            <w:tcW w:w="27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Puretech Health plc</w:t>
            </w:r>
          </w:p>
        </w:tc>
        <w:tc>
          <w:tcPr>
            <w:tcW w:w="27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PureTech Health LLC</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PureTech Securities Corporation</w:t>
            </w:r>
          </w:p>
        </w:tc>
        <w:tc>
          <w:tcPr>
            <w:tcW w:w="27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PureTech Securities II Corporation</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PureTech Management, Inc.</w:t>
            </w:r>
          </w:p>
        </w:tc>
        <w:tc>
          <w:tcPr>
            <w:tcW w:w="276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14"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dormant, inactive and shell entities that are not listed here.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To date, we have not generated any meaningful revenue from product sales and we do not expect to generate any meaningful revenue from product sales for the near term future. We derive our revenue from the following:</w:t>
      </w:r>
    </w:p>
    <w:p>
      <w:pPr>
        <w:sectPr>
          <w:pgSz w:w="11900" w:h="16838" w:orient="portrait"/>
          <w:cols w:equalWidth="0" w:num="1">
            <w:col w:w="11004"/>
          </w:cols>
          <w:pgMar w:left="436" w:top="270"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revenue</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collaborations. We expect that any revenue we generate will fluctuate from period to period as a result of the timing and amount of license, research and development services and milestone and other payments.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Grant revenue is derived from grant awards we receive from governmental agencies and non-profit organizations for certain qualified research and development expenses. We recognize grants from governmental agencies as grant income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w:t>
      </w:r>
    </w:p>
    <w:p>
      <w:pPr>
        <w:spacing w:after="0" w:line="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proceeds from sale of our investments held at fair value, please see our Consolidated Cash flow Statements, Net cash provided by investing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wholly-owned and our Controlled Founded Entities’ therapeutic candidates, which include:</w:t>
      </w:r>
    </w:p>
    <w:p>
      <w:pPr>
        <w:spacing w:after="0" w:line="76" w:lineRule="exact"/>
        <w:rPr>
          <w:sz w:val="20"/>
          <w:szCs w:val="20"/>
          <w:color w:val="auto"/>
        </w:rPr>
      </w:pPr>
    </w:p>
    <w:p>
      <w:pPr>
        <w:ind w:left="420" w:hanging="3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equity-based compensation;</w:t>
      </w:r>
    </w:p>
    <w:p>
      <w:pPr>
        <w:spacing w:after="0" w:line="130" w:lineRule="exact"/>
        <w:rPr>
          <w:rFonts w:ascii="Arial" w:cs="Arial" w:eastAsia="Arial" w:hAnsi="Arial"/>
          <w:sz w:val="18"/>
          <w:szCs w:val="18"/>
          <w:color w:val="auto"/>
        </w:rPr>
      </w:pPr>
    </w:p>
    <w:p>
      <w:pPr>
        <w:ind w:left="420" w:right="640" w:hanging="316"/>
        <w:spacing w:after="0" w:line="277"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of our wholly-owned and our Founded Entities’ therapeutic candidates, including our agreements with contract research organizations, or CROs;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who supplement our internal capabilities;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and clinical trial materials;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 Costs for certain development activities are recognized based on an evaluation of the progress to completion of specific tasks using information and data provided to us by our vendors and third-party service providers.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Research and development activities are central to our business model. 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in connection with our planned preclinical and clinical development activities in the near term and in the future. The successful development of our wholly-owned and our Founded Entities’ therapeutic candidates is highly uncertain. As such, at this time, we cannot reasonably estimate or know the nature, timing and estimated costs of the efforts that will be necessary to complete the remainder of the development of these therapeutic candidates. We are also unable to predict when, if ever, material net cash inflows will commence from our wholly-owned or our Founded Entities’ therapeutic candidates. This is due to the numerous risks and uncertainties associated with developing therapeutics, including the uncertainty of:</w:t>
      </w:r>
    </w:p>
    <w:p>
      <w:pPr>
        <w:sectPr>
          <w:pgSz w:w="11900" w:h="16838" w:orient="portrait"/>
          <w:cols w:equalWidth="0" w:num="1">
            <w:col w:w="11000"/>
          </w:cols>
          <w:pgMar w:left="440" w:top="270" w:right="459" w:bottom="1440" w:gutter="0" w:footer="0" w:header="0"/>
        </w:sectPr>
      </w:pPr>
    </w:p>
    <w:bookmarkStart w:id="24" w:name="page25"/>
    <w:bookmarkEnd w:id="24"/>
    <w:p>
      <w:pPr>
        <w:ind w:left="420" w:right="100" w:hanging="316"/>
        <w:spacing w:after="0" w:line="311"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progressing research and development of our Wholly Owned Pipeline, including LYT-100, LYT-200, LYT-210, LYT-300, LYT-510, LYT-500 and continue to progress our Glyph</w:t>
      </w:r>
      <w:r>
        <w:rPr>
          <w:rFonts w:ascii="Arial" w:cs="Arial" w:eastAsia="Arial" w:hAnsi="Arial"/>
          <w:sz w:val="13"/>
          <w:szCs w:val="13"/>
          <w:color w:val="auto"/>
        </w:rPr>
        <w:t>TM</w:t>
      </w:r>
      <w:r>
        <w:rPr>
          <w:rFonts w:ascii="Arial" w:cs="Arial" w:eastAsia="Arial" w:hAnsi="Arial"/>
          <w:sz w:val="16"/>
          <w:szCs w:val="16"/>
          <w:color w:val="auto"/>
        </w:rPr>
        <w:t>, Orasome</w:t>
      </w:r>
      <w:r>
        <w:rPr>
          <w:rFonts w:ascii="Arial" w:cs="Arial" w:eastAsia="Arial" w:hAnsi="Arial"/>
          <w:sz w:val="13"/>
          <w:szCs w:val="13"/>
          <w:color w:val="auto"/>
        </w:rPr>
        <w:t>TM</w:t>
      </w:r>
      <w:r>
        <w:rPr>
          <w:rFonts w:ascii="Arial" w:cs="Arial" w:eastAsia="Arial" w:hAnsi="Arial"/>
          <w:sz w:val="16"/>
          <w:szCs w:val="16"/>
          <w:color w:val="auto"/>
        </w:rPr>
        <w:t xml:space="preserve"> and Alivio</w:t>
      </w:r>
      <w:r>
        <w:rPr>
          <w:rFonts w:ascii="Arial" w:cs="Arial" w:eastAsia="Arial" w:hAnsi="Arial"/>
          <w:sz w:val="13"/>
          <w:szCs w:val="13"/>
          <w:color w:val="auto"/>
        </w:rPr>
        <w:t>TM</w:t>
      </w:r>
      <w:r>
        <w:rPr>
          <w:rFonts w:ascii="Arial" w:cs="Arial" w:eastAsia="Arial" w:hAnsi="Arial"/>
          <w:sz w:val="16"/>
          <w:szCs w:val="16"/>
          <w:color w:val="auto"/>
        </w:rPr>
        <w:t xml:space="preserve"> technology platforms as well as our meningeal lymphatics research program and other potential therapeutic candidates based on previous human efficacy and clinically validated biology within our Wholly Owned Programs;</w:t>
      </w:r>
    </w:p>
    <w:p>
      <w:pPr>
        <w:spacing w:after="0" w:line="54" w:lineRule="exact"/>
        <w:rPr>
          <w:rFonts w:ascii="Arial" w:cs="Arial" w:eastAsia="Arial" w:hAnsi="Arial"/>
          <w:sz w:val="16"/>
          <w:szCs w:val="16"/>
          <w:color w:val="auto"/>
        </w:rPr>
      </w:pPr>
    </w:p>
    <w:p>
      <w:pPr>
        <w:ind w:left="420" w:right="440" w:hanging="316"/>
        <w:spacing w:after="0" w:line="277"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investigational new drug application enabling studies to advance our preclinical programs into clinical development;</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Founded Entities and their need for additional capital;</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new therapeutic candidates to add to our Wholly Owned Pipeline;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enrollment in, and the initiation and completion of, clinical trials;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commercializing our wholly-owned and our Founded Entities’ therapeutic candidates, if approved, whether alone or in collaboration with others;</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as well as any changes in governmental regulations;</w:t>
      </w:r>
    </w:p>
    <w:p>
      <w:pPr>
        <w:spacing w:after="0" w:line="130"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75" w:lineRule="exact"/>
        <w:rPr>
          <w:rFonts w:ascii="Arial" w:cs="Arial" w:eastAsia="Arial" w:hAnsi="Arial"/>
          <w:sz w:val="18"/>
          <w:szCs w:val="18"/>
          <w:color w:val="auto"/>
        </w:rPr>
      </w:pPr>
    </w:p>
    <w:p>
      <w:pPr>
        <w:ind w:left="420" w:right="480" w:hanging="316"/>
        <w:spacing w:after="0" w:line="308" w:lineRule="auto"/>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as well as obtaining and maintaining regulatory exclusivity for our wholly-owned and our Founded Entities’ therapeutic candidates;</w:t>
      </w:r>
    </w:p>
    <w:p>
      <w:pPr>
        <w:spacing w:after="0" w:line="51" w:lineRule="exact"/>
        <w:rPr>
          <w:rFonts w:ascii="Arial" w:cs="Arial" w:eastAsia="Arial" w:hAnsi="Arial"/>
          <w:sz w:val="17"/>
          <w:szCs w:val="17"/>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acceptable safety profile of our therapeutics, if any, following approval;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change in the outcome of any of these variables with respect to the development of a therapeutic candidate could mean a significant change in the costs and timing associated with the development of that therapeutic candidate. For example, the FDA, the EMA, or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wholly-owned and our Founded Entities’ therapeutic candidates, if approved, may not achieve commercial success.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ectPr>
          <w:pgSz w:w="11900" w:h="16838" w:orient="portrait"/>
          <w:cols w:equalWidth="0" w:num="1">
            <w:col w:w="11000"/>
          </w:cols>
          <w:pgMar w:left="440" w:top="274" w:right="459" w:bottom="1440" w:gutter="0" w:footer="0" w:header="0"/>
        </w:sectPr>
      </w:pPr>
    </w:p>
    <w:bookmarkStart w:id="25" w:name="page26"/>
    <w:bookmarkEnd w:id="25"/>
    <w:p>
      <w:pPr>
        <w:jc w:val="both"/>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expect that our general and administrative expenses will increase in the future as we increase our general and administrative headcount to support our continued research and development and potential commercialization of our portfolio of therapeutic candidates. We also expect to incur increased expenses associated with being a public company in the United States, including costs of accounting, audit, information systems, legal, regulatory and tax compliance services, director and officer insurance costs and investor and public relations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Deconsolidation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Upon losing control of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Statements of Comprehensive Income/(Loss).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Gain/(Loss) on Investments Held at Fair Value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Investments held at fair value include both unlisted and listed securities held by us, which include investments in Akili, Gelesis, Karuna, Vor and certain insignificant investments. Our ownership in Akili is in preferred shares. Our ownership in Vor was in preferred shares until February 2021 at which time the preferred shares were converted into common shares as part of Vor Initial Public Offering. Preferred shares form part of our ownership in Gelesis and such preferred shares investment is accounted for as Investments Held at Fair value while the investment in common stock is accounted for under the equity method. When the investment in common stock is reduced to zero by equity method losses, subsequent equity method losses are applied to the preferred share investment, which is considered to be a Long-term Interest. Our ownership in Karuna was in preferred shares until its IPO in June 2019 when such shares were converted into common shares. When Karuna’s preferred shares converted into common shares, our equity interest in Karuna investment was removed from Investments Held at Fair Value and accounted for under the equity method as we still retained significant influence in Karuna at such time. On December 2, 2019 we lost significant influence in Karuna and, beginning on that date, we accounted for our investment in Karuna in accordance with IFRS 9 as an Investment Held at Fair Value. We account for investments in preferred shares of our associates in accordance with IFRS 9 as Investments Held at Fair Value when the preferred shares do not provide access to returns underlying ownership interests.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Realized on Investments Held at Fair Value</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Loss realized on investments held at fair value relates to realized differences in the per share disposal price of a listed security as compared to the per share exchange quoted price at the time of disposal. The difference is attributable to a block sale discount, attributable to a variety of market factors, primarily the number of shares being transacted was significantly larger than the daily trading volume of a given security.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Loss of Significant Influence</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Gain on loss of significant influence relates to the assessment related to the loss of our ability to exert significant influence over an investment in a Non-Controlled Founded Entity that is accounted for under the equity method. For the year ended December 31, 2019, we recognized gain on loss of significant influence in Karuna.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consists primarily of gains and losses related to the sale of an asset and certain investments as well as sub-lease income.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Costs/Income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Finance costs consist of loan interest expense and the changes in the fair value of certain liabilities associated with financing transactions, mainly preferred share liabilities in respect of preferred shares issued by our non wholly owned subsidiaries to third parties. Finance income consists of interest income on funds invested in money market funds and U.S. treasuries.</w:t>
      </w:r>
    </w:p>
    <w:p>
      <w:pPr>
        <w:sectPr>
          <w:pgSz w:w="11900" w:h="16838" w:orient="portrait"/>
          <w:cols w:equalWidth="0" w:num="1">
            <w:col w:w="10980"/>
          </w:cols>
          <w:pgMar w:left="440" w:top="274"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of Net Gain (Loss) of Associates Accounted for Using the Equity Method, and Impairment of Investment in Associate</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the share of losses exceeds the net investment in the investee, including the investment in preferred shares that are considered Long-term Interests, the carrying amount is reduced to nil and recognition of further losses is discontinued except to the extent that we have incurred legal or constructive obligations or made payments on behalf of an investee.</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compare the recoverable amount of the investment to its carrying amount on a go-forward basis and determine the need for impairment. We recorded an impairment in the common stock investment in Gelesis in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must make certain estimates and judgments in determining income tax expense for financial statement purposes. 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table, which has been derived from our audited financial statements for the years ended December 31, 2021, 2020 and 2019, included herein, summarizes our results of operations for the periods indicated, together with the changes in those items in dollars: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5"/>
              </w:rPr>
              <w:t>Year Ended December 31,</w:t>
            </w: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42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660"/>
              <w:spacing w:after="0" w:line="123" w:lineRule="exact"/>
              <w:rPr>
                <w:sz w:val="20"/>
                <w:szCs w:val="20"/>
                <w:color w:val="auto"/>
              </w:rPr>
            </w:pPr>
            <w:r>
              <w:rPr>
                <w:rFonts w:ascii="Arial" w:cs="Arial" w:eastAsia="Arial" w:hAnsi="Arial"/>
                <w:sz w:val="14"/>
                <w:szCs w:val="14"/>
                <w:color w:val="auto"/>
              </w:rPr>
              <w:t>Change</w:t>
            </w:r>
          </w:p>
        </w:tc>
        <w:tc>
          <w:tcPr>
            <w:tcW w:w="80" w:type="dxa"/>
            <w:vAlign w:val="bottom"/>
          </w:tcPr>
          <w:p>
            <w:pPr>
              <w:spacing w:after="0"/>
              <w:rPr>
                <w:sz w:val="10"/>
                <w:szCs w:val="10"/>
                <w:color w:val="auto"/>
              </w:rPr>
            </w:pPr>
          </w:p>
        </w:tc>
        <w:tc>
          <w:tcPr>
            <w:tcW w:w="800" w:type="dxa"/>
            <w:vAlign w:val="bottom"/>
          </w:tcPr>
          <w:p>
            <w:pPr>
              <w:jc w:val="right"/>
              <w:ind w:right="131"/>
              <w:spacing w:after="0" w:line="123" w:lineRule="exact"/>
              <w:rPr>
                <w:sz w:val="20"/>
                <w:szCs w:val="20"/>
                <w:color w:val="auto"/>
              </w:rPr>
            </w:pPr>
            <w:r>
              <w:rPr>
                <w:rFonts w:ascii="Arial" w:cs="Arial" w:eastAsia="Arial" w:hAnsi="Arial"/>
                <w:sz w:val="14"/>
                <w:szCs w:val="14"/>
                <w:color w:val="auto"/>
              </w:rPr>
              <w:t>Change</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ind w:right="131"/>
              <w:spacing w:after="0" w:line="154"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51"/>
              <w:spacing w:after="0" w:line="154" w:lineRule="exact"/>
              <w:rPr>
                <w:sz w:val="20"/>
                <w:szCs w:val="20"/>
                <w:color w:val="auto"/>
              </w:rPr>
            </w:pPr>
            <w:r>
              <w:rPr>
                <w:rFonts w:ascii="Arial" w:cs="Arial" w:eastAsia="Arial" w:hAnsi="Arial"/>
                <w:sz w:val="14"/>
                <w:szCs w:val="14"/>
                <w:color w:val="auto"/>
              </w:rPr>
              <w:t>2019</w:t>
            </w:r>
          </w:p>
        </w:tc>
        <w:tc>
          <w:tcPr>
            <w:tcW w:w="440" w:type="dxa"/>
            <w:vAlign w:val="bottom"/>
          </w:tcPr>
          <w:p>
            <w:pPr>
              <w:spacing w:after="0"/>
              <w:rPr>
                <w:sz w:val="15"/>
                <w:szCs w:val="15"/>
                <w:color w:val="auto"/>
              </w:rPr>
            </w:pPr>
          </w:p>
        </w:tc>
        <w:tc>
          <w:tcPr>
            <w:tcW w:w="1300" w:type="dxa"/>
            <w:vAlign w:val="bottom"/>
            <w:gridSpan w:val="3"/>
          </w:tcPr>
          <w:p>
            <w:pPr>
              <w:spacing w:after="0" w:line="154" w:lineRule="exact"/>
              <w:rPr>
                <w:sz w:val="20"/>
                <w:szCs w:val="20"/>
                <w:color w:val="auto"/>
              </w:rPr>
            </w:pPr>
            <w:r>
              <w:rPr>
                <w:rFonts w:ascii="Arial" w:cs="Arial" w:eastAsia="Arial" w:hAnsi="Arial"/>
                <w:sz w:val="14"/>
                <w:szCs w:val="14"/>
                <w:color w:val="auto"/>
              </w:rPr>
              <w:t>(2020 to 2021)</w:t>
            </w:r>
          </w:p>
        </w:tc>
        <w:tc>
          <w:tcPr>
            <w:tcW w:w="1000" w:type="dxa"/>
            <w:vAlign w:val="bottom"/>
            <w:gridSpan w:val="4"/>
          </w:tcPr>
          <w:p>
            <w:pPr>
              <w:ind w:left="20"/>
              <w:spacing w:after="0" w:line="154" w:lineRule="exact"/>
              <w:rPr>
                <w:sz w:val="20"/>
                <w:szCs w:val="20"/>
                <w:color w:val="auto"/>
              </w:rPr>
            </w:pPr>
            <w:r>
              <w:rPr>
                <w:rFonts w:ascii="Arial" w:cs="Arial" w:eastAsia="Arial" w:hAnsi="Arial"/>
                <w:sz w:val="14"/>
                <w:szCs w:val="14"/>
                <w:color w:val="auto"/>
              </w:rPr>
              <w:t>(2019 to 2020)</w:t>
            </w: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Contract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9,979</w:t>
            </w: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8,341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8,688</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1,638</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Grant revenue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7,409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3,982</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17,388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(57,199)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(59,358)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(7,760)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(110,471)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(81,859)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(85,848)</w:t>
            </w: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(28,612)</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5"/>
              </w:rPr>
              <w:t>(150,282)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(135,399)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deconsolidation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264,409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(264,409)</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Gain/(loss) on investments held at fair value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179,316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232,674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(37,863)</w:t>
            </w: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(53,358)</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270,537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realized on sale of investment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(20,925)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34,051</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(54,976)</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Gain/(loss) on disposal of assets</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loss of significant influence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445,582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(445,582)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Other income/(expenses)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1,592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159,983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672,167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(18,749)</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(493,434)</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finance income/(costs)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5,050</w:t>
            </w: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(46,147)</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 of net gain/(loss) of associates accounted for using the</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(73,703)</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(34,117)</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30,791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(39,587)</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(64,908)</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Impairment of investment in associate</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(42,938)</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Income/(loss) before 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(58,953)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478,474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(77,922)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(459,504)</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Taxation</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(14,401)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(112,409)</w:t>
            </w: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10,645</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income/(loss) including non-controlling interest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(62,709)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366,065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(67,277)</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(361,497)</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(loss)/income attributable to the Company</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(60,558)</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421,144</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$(66,543)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(415,159)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2"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43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2"/>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gridSpan w:val="3"/>
            <w:vMerge w:val="continue"/>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2"/>
              <w:spacing w:after="0" w:line="129" w:lineRule="exact"/>
              <w:rPr>
                <w:sz w:val="20"/>
                <w:szCs w:val="20"/>
                <w:color w:val="auto"/>
              </w:rPr>
            </w:pPr>
            <w:r>
              <w:rPr>
                <w:rFonts w:ascii="Arial" w:cs="Arial" w:eastAsia="Arial" w:hAnsi="Arial"/>
                <w:sz w:val="14"/>
                <w:szCs w:val="14"/>
                <w:color w:val="auto"/>
              </w:rPr>
              <w:t>2020</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7"/>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 Revenue:</w:t>
            </w: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8,129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5,297</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(1,819)</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Total Contract Revenue</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Revenue: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1,253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1,563</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Total Grant Revenue</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$17,388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$11,768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total revenue was $17.4 million for the year ended December 31, 2021, an increase of $5.6 million, or 47.8 percent compared to the year ended December 31, 2020. The increase was primarily attributable to an increase of $2.8 million in contract revenue in the Internal segment, which was primarily driven by a $6.5 million increase in revenue due to payment from Imbrium Therapeutics, Inc. following the exercise of the option to acquire an exclusive license for the Initial Product Candidate. The increase was partially offset by a decrease in contract revenue of $3.7 million recognized under IFRS 15 due to the completion of development activities related to revenues associated with multiple collaborations in the year ended December 31, 2021. The increase was also driven by an increase of $4.3 million in grant revenue in the Controlled Founded Entities segment for the year ended December 31, 2021, which was driven primarily by Vedanta’s grant revenue earned pursuant to its CARB-X and BARDA agreements. The aforementioned increases were partially offset by the a non-recurrent milestone payment of $2.0 million received from Karuna (and included in Parent Company and Other) in the year ended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2"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6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Year Ended December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820" w:type="dxa"/>
            <w:vAlign w:val="bottom"/>
            <w:gridSpan w:val="2"/>
          </w:tcPr>
          <w:p>
            <w:pPr>
              <w:jc w:val="right"/>
              <w:ind w:right="90"/>
              <w:spacing w:after="0" w:line="129" w:lineRule="exact"/>
              <w:rPr>
                <w:sz w:val="20"/>
                <w:szCs w:val="20"/>
                <w:color w:val="auto"/>
              </w:rPr>
            </w:pPr>
            <w:r>
              <w:rPr>
                <w:rFonts w:ascii="Arial" w:cs="Arial" w:eastAsia="Arial" w:hAnsi="Arial"/>
                <w:sz w:val="14"/>
                <w:szCs w:val="14"/>
                <w:color w:val="auto"/>
              </w:rPr>
              <w:t>2020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(65,444)</w:t>
            </w:r>
          </w:p>
        </w:tc>
        <w:tc>
          <w:tcPr>
            <w:tcW w:w="1180" w:type="dxa"/>
            <w:vAlign w:val="bottom"/>
            <w:gridSpan w:val="3"/>
          </w:tcPr>
          <w:p>
            <w:pPr>
              <w:jc w:val="right"/>
              <w:ind w:right="221"/>
              <w:spacing w:after="0"/>
              <w:rPr>
                <w:sz w:val="20"/>
                <w:szCs w:val="20"/>
                <w:color w:val="auto"/>
              </w:rPr>
            </w:pPr>
            <w:r>
              <w:rPr>
                <w:rFonts w:ascii="Arial" w:cs="Arial" w:eastAsia="Arial" w:hAnsi="Arial"/>
                <w:sz w:val="18"/>
                <w:szCs w:val="18"/>
                <w:color w:val="auto"/>
              </w:rPr>
              <w:t>$(45,346)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$20,098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(43,783)</w:t>
            </w:r>
          </w:p>
        </w:tc>
        <w:tc>
          <w:tcPr>
            <w:tcW w:w="118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(36,279)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(1,244)</w:t>
            </w:r>
          </w:p>
        </w:tc>
        <w:tc>
          <w:tcPr>
            <w:tcW w:w="118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(234)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(110,471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(81,859</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research and development expenses were $110.5 million for the year ended December 31, 2021, an increase of $28.6 million, or 35.0 percent compared to the year ended December 31, 2020. The change was primarily attributable to an increase of $20.1 million in research and development expenses incurred by the Internal segment due to the advancement of programs in clinical testing. This was primarily driven by an increase in clinical trial and clinical research organization expenditures of $14.0 million, an increase in research and development related consulting and professional fees of $2.5 million and an increase in research and development related salaries and stock compensation of $2.6 million. We progressed our ongoing clinical trials of LYT-100 and LYT- 200 in multiple indications and initiated clinical trials with respect to LYT 300, as well as advanced pre-clinical studies and research related to multiple candidates and research platforms. The increase was further attributable to an increase of $7.5 million in research and development expenses incurred by the Controlled Founded Entities segment, primarily attributable to Vedanta as they progressed their therapeutic candidates VE202, VE303, VE416 and VE800 towards meaningful milestones.</w:t>
      </w:r>
    </w:p>
    <w:p>
      <w:pPr>
        <w:sectPr>
          <w:pgSz w:w="11900" w:h="16838" w:orient="portrait"/>
          <w:cols w:equalWidth="0" w:num="1">
            <w:col w:w="10980"/>
          </w:cols>
          <w:pgMar w:left="440" w:top="274"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and Administrative Expenses</w:t>
      </w:r>
    </w:p>
    <w:p>
      <w:pPr>
        <w:spacing w:after="0" w:line="252"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6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4"/>
                <w:szCs w:val="14"/>
                <w:color w:val="auto"/>
              </w:rPr>
              <w:t>2020</w:t>
            </w:r>
          </w:p>
        </w:tc>
        <w:tc>
          <w:tcPr>
            <w:tcW w:w="380" w:type="dxa"/>
            <w:vAlign w:val="bottom"/>
          </w:tcPr>
          <w:p>
            <w:pPr>
              <w:spacing w:after="0"/>
              <w:rPr>
                <w:sz w:val="12"/>
                <w:szCs w:val="12"/>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w w:val="97"/>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(8,673)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(3,482)</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89"/>
              </w:rPr>
              <w:t>(20,729)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9"/>
              </w:rPr>
              <w:t>(13,691)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89"/>
              </w:rPr>
              <w:t>(27,797)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9"/>
              </w:rPr>
              <w:t>(32,267)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(57,199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(49,440</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general and administrative expenses were $57.2 million for the year ended December 31, 2021, an increase of $7.8 million, or 15.7 percent compared to the year ended December 31, 2020. The increase was primarily attributable to an increase of $7.0 million in the Controlled Founded Entities segment, which was primarily driven by non-cash increases of $2.9 million in stock based compensation expense, $1.4 million increase in payroll-related costs due to increased personnel, an increase in professional fees of $1.1 million, and an increase in legal fees of $0.9 million. The increase was further attributable to an increase of $5.2 million in the Internal segment, which was primarily driven by an increase in the management fee charged by the Parent company of $6.2 million which was partially offset by a decrease in depreciation expense of $0.5 million for the year ended December 31, 2021. The decrease in the Parent Company and other of $4.5 million was primarily attributable to the allocation of management fee charged to other segments of $7.0 million which was partially offset by an increase in professional and recruiting fees of $0.9 million and an increase in business insurance of $1.7 million for the year ended December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(Loss)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Total other income was $160.0 million for the year ended December 31, 2021, a decrease of $18.7 million, compared to the year ended December 31, 2020. The decline in other income was primarily attributable to a decrease in gains from investments held at fair value of $53.4 million, primarily driven by the change in the fair value of the investment in Karuna. These gains from investments held at fair value were partially offset by losses realized on sale of certain investments held at fair value, as a result of the block sale discount included in the sale. The losses realized on sale of certain investments held at fair value for the year ended December 31, 2021 decreased $34.1 million compared to the year ended 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Finance Income (Costs)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finance Income was $5.0 million for the year ended December 31, 2021, a change of $11.2 million, compared to net finance cost of $6.1 million for the year ended December 31, 2020. The change was primarily attributable to a $14.0 million change leading to increased income in respect of the change in the fair value of our preferred shares, warrant and convertible note liabilities held by third parties, partially offset by a $1.8 million increase in contractual finance costs, mainly in our controlled founded entity, Vedanta, and a $1.0 million decline in interest income from financial assets for the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of Net Gain (Loss) in Associates Accounted for Using the Equity Method</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year ended December 31, 2021, the share in net loss of associates reported under the equity method was $73.7 million as compared to the share of net loss of $34.1 million for the year ended December 31, 2020. The change was primarily attributable to an increase in Gelesis losses reported under IFRS for the year ended December 31, 2021 as compared to the losses reported for the year ended December 31, 2020, due to an increase in the fair value of Gelesis financial instrument liabilities that are accounted for at Fair Value Through Profit and Loss (FVTPL).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was $3.8 million for the year ended December 31, 2021, as compared to income tax expense of $14.4 million for the year ended December 31, 2020. The decrease in income tax expense was primarily attributable to the decrease in profit before tax in entities in the U.S. Federal and Massachusetts consolidated return groups of the Company. For information on the change in the tax rate, see Note 25 in the consolidated financial statements.</w:t>
      </w:r>
    </w:p>
    <w:p>
      <w:pPr>
        <w:sectPr>
          <w:pgSz w:w="11900" w:h="16838" w:orient="portrait"/>
          <w:cols w:equalWidth="0" w:num="1">
            <w:col w:w="10980"/>
          </w:cols>
          <w:pgMar w:left="440" w:top="270"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Years Ended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46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8"/>
          </w:tcPr>
          <w:p>
            <w:pPr>
              <w:jc w:val="right"/>
              <w:ind w:right="441"/>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28"/>
        </w:trPr>
        <w:tc>
          <w:tcPr>
            <w:tcW w:w="462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2020</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w w:val="89"/>
              </w:rPr>
              <w:t>2019</w:t>
            </w: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7"/>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 Revenue:</w:t>
            </w:r>
          </w:p>
        </w:tc>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7,077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Total Contract Revenue</w:t>
            </w:r>
          </w:p>
        </w:tc>
        <w:tc>
          <w:tcPr>
            <w:tcW w:w="22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3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8,688</w:t>
            </w:r>
          </w:p>
        </w:tc>
        <w:tc>
          <w:tcPr>
            <w:tcW w:w="3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Revenue:</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Total Grant Revenue</w:t>
            </w:r>
          </w:p>
        </w:tc>
        <w:tc>
          <w:tcPr>
            <w:tcW w:w="2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1,119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total revenue was $11.8 million for the year ended December 31, 2020, an increase of $2.0 million, or 20.0 percent compared to the year ended December 31, 2019. The increase was primarily attributable to an increase of $2.3 million in grant revenue in the Controlled Founded Entities segment for the year ended December 31, 2020, which was driven primarily by Vedanta’s grant revenue earned pursuant to its CARB-X and BARDA agreements. The increase was further attributable to an increase of $1.9 million in contract revenue in the Parent segment for the year ended December 31, 2020, which was primarily driven by a $2.0 million milestone payment received from Karuna for initiation of its KarXT Phase 3 clinical study pursuant to the Exclusive Patent License Agreement between PureTech and Karuna. The increases were partially offset by a decline of</w:t>
      </w:r>
    </w:p>
    <w:p>
      <w:pPr>
        <w:spacing w:after="0" w:line="4"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$1.8 million in contract revenue in the Internal segment, which was primarily drive by the Orasome collaboration and license agreement with Roche, which concluded during the year ended December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5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9"/>
              <w:spacing w:after="0" w:line="129" w:lineRule="exact"/>
              <w:rPr>
                <w:sz w:val="20"/>
                <w:szCs w:val="20"/>
                <w:color w:val="auto"/>
              </w:rPr>
            </w:pPr>
            <w:r>
              <w:rPr>
                <w:rFonts w:ascii="Arial" w:cs="Arial" w:eastAsia="Arial" w:hAnsi="Arial"/>
                <w:sz w:val="14"/>
                <w:szCs w:val="14"/>
                <w:color w:val="auto"/>
              </w:rPr>
              <w:t>2020</w:t>
            </w:r>
          </w:p>
        </w:tc>
        <w:tc>
          <w:tcPr>
            <w:tcW w:w="220" w:type="dxa"/>
            <w:vAlign w:val="bottom"/>
          </w:tcPr>
          <w:p>
            <w:pPr>
              <w:spacing w:after="0"/>
              <w:rPr>
                <w:sz w:val="12"/>
                <w:szCs w:val="12"/>
                <w:color w:val="auto"/>
              </w:rPr>
            </w:pPr>
          </w:p>
        </w:tc>
        <w:tc>
          <w:tcPr>
            <w:tcW w:w="820" w:type="dxa"/>
            <w:vAlign w:val="bottom"/>
            <w:gridSpan w:val="2"/>
          </w:tcPr>
          <w:p>
            <w:pPr>
              <w:jc w:val="right"/>
              <w:ind w:right="90"/>
              <w:spacing w:after="0" w:line="129" w:lineRule="exact"/>
              <w:rPr>
                <w:sz w:val="20"/>
                <w:szCs w:val="20"/>
                <w:color w:val="auto"/>
              </w:rPr>
            </w:pPr>
            <w:r>
              <w:rPr>
                <w:rFonts w:ascii="Arial" w:cs="Arial" w:eastAsia="Arial" w:hAnsi="Arial"/>
                <w:sz w:val="14"/>
                <w:szCs w:val="14"/>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3"/>
              <w:spacing w:after="0" w:line="129" w:lineRule="exact"/>
              <w:rPr>
                <w:sz w:val="20"/>
                <w:szCs w:val="20"/>
                <w:color w:val="auto"/>
              </w:rPr>
            </w:pPr>
            <w:r>
              <w:rPr>
                <w:rFonts w:ascii="Arial" w:cs="Arial" w:eastAsia="Arial" w:hAnsi="Arial"/>
                <w:sz w:val="14"/>
                <w:szCs w:val="14"/>
                <w:color w:val="auto"/>
                <w:w w:val="85"/>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880" w:type="dxa"/>
            <w:vAlign w:val="bottom"/>
            <w:gridSpan w:val="3"/>
          </w:tcPr>
          <w:p>
            <w:pPr>
              <w:jc w:val="right"/>
              <w:ind w:right="81"/>
              <w:spacing w:after="0"/>
              <w:rPr>
                <w:sz w:val="20"/>
                <w:szCs w:val="20"/>
                <w:color w:val="auto"/>
              </w:rPr>
            </w:pPr>
            <w:r>
              <w:rPr>
                <w:rFonts w:ascii="Arial" w:cs="Arial" w:eastAsia="Arial" w:hAnsi="Arial"/>
                <w:sz w:val="18"/>
                <w:szCs w:val="18"/>
                <w:color w:val="auto"/>
                <w:w w:val="90"/>
              </w:rPr>
              <w:t>$(45,346)</w:t>
            </w: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$(28,874)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8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(36,279)</w:t>
            </w:r>
          </w:p>
        </w:tc>
        <w:tc>
          <w:tcPr>
            <w:tcW w:w="10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(39,883)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(15,555)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(15,555)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8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(234)</w:t>
            </w:r>
          </w:p>
        </w:tc>
        <w:tc>
          <w:tcPr>
            <w:tcW w:w="10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(1,536)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(81,859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(85,848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expenses were $81.9 million$81.9 million for the year ended December 31, 2020, a decline of $4.0 million, or</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4.6 percent compared to the year ended December 31, 2019. The change was attributable to a decline of $15.6 million in the Non-Controlled Founded Entities segment owing to the deconsolidation of Vor, Karuna and Gelesis during year ended December 31, 2019. The decline was further attributable to declines of $3.6 million in the Controlled Founded Entities segment and $1.3 million in the Parent segment for the year ended December 31, 2020. The declines were partially offset by an increase of $16.5 million in research and development expenses incurred by the Internal segment for the year ended December 31, 2020. In 2020 we progressed our wholly-owned therapeutic candidates to key milestones. We completed a Phase 1 multiple ascending dose and food effect study for LYT-100. We also initiated a Phase 2a proof-of-concept study of LYT-100 in patients with breast cancer-related, upper limb secondary lymphedema as well as initiated a Phase 2 trial of LYT-100 in Long COVID respiratory complications and related sequelae, which is also known as post-acute COVID-19 syndrome (PACS). Finally, we initiated a Phase 1 clinical trial of LYT-200 for the potential treatment of metastatic solid tumors that are difficult to treat and have poor survival rates.</w:t>
      </w:r>
    </w:p>
    <w:p>
      <w:pPr>
        <w:sectPr>
          <w:pgSz w:w="11900" w:h="16838" w:orient="portrait"/>
          <w:cols w:equalWidth="0" w:num="1">
            <w:col w:w="10960"/>
          </w:cols>
          <w:pgMar w:left="440" w:top="270"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and Administrative Expenses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5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5"/>
              <w:spacing w:after="0" w:line="129" w:lineRule="exact"/>
              <w:rPr>
                <w:sz w:val="20"/>
                <w:szCs w:val="20"/>
                <w:color w:val="auto"/>
              </w:rPr>
            </w:pPr>
            <w:r>
              <w:rPr>
                <w:rFonts w:ascii="Arial" w:cs="Arial" w:eastAsia="Arial" w:hAnsi="Arial"/>
                <w:sz w:val="14"/>
                <w:szCs w:val="14"/>
                <w:color w:val="auto"/>
              </w:rPr>
              <w:t>2020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29" w:lineRule="exact"/>
              <w:rPr>
                <w:sz w:val="20"/>
                <w:szCs w:val="20"/>
                <w:color w:val="auto"/>
              </w:rPr>
            </w:pPr>
            <w:r>
              <w:rPr>
                <w:rFonts w:ascii="Arial" w:cs="Arial" w:eastAsia="Arial" w:hAnsi="Arial"/>
                <w:sz w:val="14"/>
                <w:szCs w:val="14"/>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3"/>
              <w:spacing w:after="0" w:line="129" w:lineRule="exact"/>
              <w:rPr>
                <w:sz w:val="20"/>
                <w:szCs w:val="20"/>
                <w:color w:val="auto"/>
              </w:rPr>
            </w:pPr>
            <w:r>
              <w:rPr>
                <w:rFonts w:ascii="Arial" w:cs="Arial" w:eastAsia="Arial" w:hAnsi="Arial"/>
                <w:sz w:val="14"/>
                <w:szCs w:val="14"/>
                <w:color w:val="auto"/>
                <w:w w:val="85"/>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(3,482)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(3,252)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(13,691)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(13,569)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(10,439)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(10,439)</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(32,267)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(32,098)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(49,440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(59,358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general and administrative expenses were $49.4 million for the year ended December 31, 2020, a decrease of $9.9 million, or 16.7 percent compared to the year ended December 31, 2019. The decrease was primarily attributable to a decline of $10.4 million in the Non-Controlled Founded Entities segment, owing to the deconsolidation of Vor, Karuna and Gelesis during the year ended December 31,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(Loss)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other income was $178.7 million for the year ended December 31, 2020 a decrease of $493.4 million, compared to the year ended December 31, 2019. We recognized a gain on loss of significant influence of $445.6 million with respect to Karuna for the year ended December 31, 2019. No loss of significant influence of associates occurred during the year ended December 31, 2020. The decline was further attributable to a decline of $264.4 million in gain on deconsolidation as no deconsolidation of subsidiaries occurred during the year ended December 31, 2020, as compared to a gain of</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$264.4 million recognized for the deconsolidation of Vor, Karuna and Gelesis during the year ended December 31, 2019. The decline was further attributable to a loss of $55.0 million realized on the sale of certain investments held at fair value during year ended December 31, 2020. The declines were partially offset by an increase of $270.5 million on gain on investments held at fair value for the year ended December 31, 2020, which was primarily driven by Karuna.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Finance Income (Costs)</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Net finance costs were $6.1 million for the year ended December 31, 2020, a decline of $40.0 million, or 86.7 percent compared to net finance costs of $46.1 million for the year ended December 31, 2019. The change was primarily attributable to a $42.1 million decline in the change in the fair value of our preferred shares, warrant and convertible note liabilities held by third parties for the year ended December 31,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of Net Gain (Loss) in Associates Accounted for Using the Equity Method, and Impairment of Investment in Associate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share of net loss in associates was $34.1 million for the year ended December 31, 2020, a decrease of $64.9 million, or 210.8 percent as compared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net gain of $30.8 million for the year ended December 31, 2019. The change in share of net gain/(loss) in associates was primarily attributable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results of Gelesis for the year ended December 31, 2020. Additionally, we allocated a share of our net loss in Gelesis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totaling $23.0 million, to our long-term interest in Gelesis as of December 31, 2020. We recorded equity method income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$37.1 million with respect to Gelesis, which was partially offset by our share of net loss in Karuna of $6.3 million for the year ended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 Additionally, we recorded an impairment charge of $42.9 million for the year ended December 31, 2019, related to our investment in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held in Gelesis. See Note 6 to our consolidated financial statements included elsewhere in this annual report.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Income tax expense was $14.4 million for the year ended December 31, 2020, a decline of $98.0 million, or 87.2 percent as compared to the year ended December 31, 2019. The decline in income tax expense was primarily attributable to the gains realized on the loss of significant influence on Karuna for the year ended December 31, 2019 and the gains recognized on deconsolidation of Vor, Karuna and Gelesis during the year ended December 31,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international accounting standards in conformity with the requirements of the Companies Act 2006 and International Financial Reporting</w:t>
      </w:r>
    </w:p>
    <w:p>
      <w:pPr>
        <w:sectPr>
          <w:pgSz w:w="11900" w:h="16838" w:orient="portrait"/>
          <w:cols w:equalWidth="0" w:num="1">
            <w:col w:w="11000"/>
          </w:cols>
          <w:pgMar w:left="440" w:top="274" w:right="459" w:bottom="1440" w:gutter="0" w:footer="0" w:header="0"/>
        </w:sectPr>
      </w:pPr>
    </w:p>
    <w:bookmarkStart w:id="31" w:name="page32"/>
    <w:bookmarkEnd w:id="31"/>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Standards (IFRSs) as adopted for use in the UK. The Consolidated Financial Statements also comply fully with IFRS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to our consolidated financial statements for a further detailed description of our significant accounting policies.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account for our financial instruments according to IFRS 9. As such, when issuing preferred shares in our subsidiaries we determine the classification of financial instruments in terms of liability or equity. Such determination involves significant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accordance with IFRS 9 we carry certain investments in equity securities at fair value as well as our subsidiary preferred share, convertible notes and warrant liabilities, all through profit and loss (FVTPL). Valuation of the aforementioned financial instruments (assets and liabilities) includes making significant estimates, specifically determining the appropriate valuation methodology and making certain estimates of the future earnings potential of the subsidiary businesses, appropriate discount rate and earnings multiple to be applied, marketability and other industry and company specific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consolidated financial statements include the financial statements of the Company and the entities it controls. Based on the applicable accounting rules, the Company controls an investee when it is exposed, or has rights, to variable returns from its involvement with the investee and has the ability to affect those returns through its power over the investee. Therefore an assessment is required to determine whether the Company has (i) power over the investee; (ii) exposure, or rights, to variable returns from its involvement with the investee; and (iii) the ability to use its power over the investee to affect the amount of the investor’s returns. Judgement is required to perform such assessment and it requires that the Company considers, among others, activities that most significantly affect the returns of the investee, its voting shares, representation on the board, rights to appoint board members and management, shareholders agreements, de facto power, investee dependence on the Company and other contributing factors.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Associates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we do not control an investee but maintain significant influence over the financial and operating policies of the investee the investee is an associate. Significant influence is presumed to exist when we hold 20 percent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w:t>
      </w:r>
    </w:p>
    <w:p>
      <w:pPr>
        <w:spacing w:after="0" w:line="18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w:t>
      </w:r>
    </w:p>
    <w:p>
      <w:pPr>
        <w:sectPr>
          <w:pgSz w:w="11900" w:h="16838" w:orient="portrait"/>
          <w:cols w:equalWidth="0" w:num="1">
            <w:col w:w="11000"/>
          </w:cols>
          <w:pgMar w:left="440" w:top="274" w:right="459" w:bottom="1440" w:gutter="0" w:footer="0" w:header="0"/>
        </w:sectPr>
      </w:pPr>
    </w:p>
    <w:bookmarkStart w:id="32" w:name="page33"/>
    <w:bookmarkEnd w:id="32"/>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income and equity movements of equity accounted investees, from the date that significant influence commences until the date that significant influence ceases. When our share of losses exceeds the net investment in an equity accounted investee, including preferred share investments that are considered to be Long-Term Interests,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PureTech is accounted for in accordance with IFRS 9.</w:t>
      </w:r>
    </w:p>
    <w:p>
      <w:pPr>
        <w:spacing w:after="0" w:line="16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Judgement is required in order to determine whether we have significant influence over financial and operating policies of investees. This judgement includes, among others, an assessment whether we have representation on the Board of Directors of the investee, whether we participate in the policy making processes of the investee, whether there is any interchange of managerial personnel, whether there is any essential technical information provided to the investee and if there are any transactions between us and the investee.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Judgement is also required to determine which instruments we hold in the investee form part of the investment in the associate,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Where the company has other investments in an equity accounted investee that are not accounted for under IAS 28, judgement is required in determining if such investments constitute Long-Term Interests for the purposes of IAS 28 (please refer to Notes 5 and 6).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recent accounting pronouncements, see our consolidated financial statements and the related notes found elsewhere in this report.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may fluctuate and are difficult to forecast and will depend on many factors, including:</w:t>
      </w:r>
    </w:p>
    <w:p>
      <w:pPr>
        <w:spacing w:after="0" w:line="131" w:lineRule="exact"/>
        <w:rPr>
          <w:sz w:val="20"/>
          <w:szCs w:val="20"/>
          <w:color w:val="auto"/>
        </w:rPr>
      </w:pPr>
    </w:p>
    <w:p>
      <w:pPr>
        <w:ind w:left="420" w:hanging="3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expenses incurred in the development of wholly-owned and Controlled Founded Entity therapeutic candidates;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revenue, if any, generated by wholly-owned and Controlled-Founded Entity therapeutic candidates;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revenue, if any, generated from licensing and royalty agreement with Founded Entities;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financing requirements of the Internal segment, Controlled-Founded Entities segment and Parent segment;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investment activities in the Internal, Controlled-Founded Entities, and Non-Controlled Founded Entities and Parent segments.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consolidated cash and cash equivalents of $465.7 million. As of December 31, 2021, we had PureTech Level cash and cash equivalents of $418.9 million (for a definition of PureTech Level cash and cash equivalents, see paragraph “Cash flow and cash equivalents” earlier in this Financial review).</w:t>
      </w:r>
    </w:p>
    <w:p>
      <w:pPr>
        <w:sectPr>
          <w:pgSz w:w="11900" w:h="16838" w:orient="portrait"/>
          <w:cols w:equalWidth="0" w:num="1">
            <w:col w:w="11000"/>
          </w:cols>
          <w:pgMar w:left="440" w:top="274"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8"/>
          </w:tcPr>
          <w:p>
            <w:pPr>
              <w:jc w:val="right"/>
              <w:ind w:right="7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28"/>
        </w:trPr>
        <w:tc>
          <w:tcPr>
            <w:tcW w:w="51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150"/>
              <w:spacing w:after="0" w:line="129" w:lineRule="exact"/>
              <w:rPr>
                <w:sz w:val="20"/>
                <w:szCs w:val="20"/>
                <w:color w:val="auto"/>
              </w:rPr>
            </w:pPr>
            <w:r>
              <w:rPr>
                <w:rFonts w:ascii="Arial" w:cs="Arial" w:eastAsia="Arial" w:hAnsi="Arial"/>
                <w:sz w:val="14"/>
                <w:szCs w:val="14"/>
                <w:color w:val="auto"/>
              </w:rPr>
              <w:t>2020</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(158,274)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$(131,827)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$(98,156)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197,375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364,478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22,727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61,827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$ 271,520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cash used in operating activities was $158.3 million for the year ended December 31, 2021, as compared to $131.8 million for the year ended December 31, 2020. The increase in outflows is primarily attributable to our higher operating loss and higher income taxes paid of $7.0 million, and to a lesser extent the timing of receipts and payments in the normal course of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was $131.8 million for the year ended December 31, 2020, as compared to $98.2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The increase in outflows was primarily attributable to estimated income taxes of $20.7 million paid for our disposals of Karuna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during the year ended December 31, 2020. The increase was further attributable to a decrease of $4.5 million in payments received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to contract revenue for the year ended December 31, 2020. We received a $2.0 million milestone payment from Karuna for initiation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KarXT Phase 3 clinical study pursuant to the Exclusive Patent License Agreement between PureTech and Karuna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We received $3.5 million from Imbrium Therapeutics LP for the execution of a Research Collaboration Option and License Agreement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million from Boehringer Ingelheim for the execution of a Collaboration and License Agreement during the year ended December 31, 2019.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outflows was further attributable to reduced interest income and the timing of payments in the normal course of business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provided by investing activities was $197.4 million for the year ended December 31, 2021, as compared to inflows of $364.5 million for the year ended December 31, 2020, resulting in a decrease of $167.1 million in net cash provided by investing activities. The decrease in the net cash provided by investing activities was primarily attributed to the decrease in proceeds from the sale of investments held at fair value of $132.5 million (proceeds from such sales were $218.1 million for the year ended December 31, 2021 vs. $350.6 million for the year ended December 30, 2020) and the fact that for the year ended December 31, 2020 the Company had proceeds of $30.1 million from maturity of short term investments while for the year ended December 31, 2021, there were no such cash inflows.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investing activities was $364.5 million for the year ended December 31, 2020, as compared to inflows of $63.7 million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2019. The inflow was primarily attributable to the sale of Karuna and resTORbio common shares for aggregate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$350.6 million during the year ended December 31, 2020. The inflow was further attributable to cash provided by the maturity of short-term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totaling $30.1 million. The inflows were offset by purchases of Gelesis and Vor preferred shares totaling $11.1 million and the purchase of fixed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totaling $5.2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provided by financing activities was $22.7 million for the year ended December 31, 2021, as compared to $38.9 million for the year ended December 31, 2020, resulting in a decrease of $16.1 million in the net cash provided by financing activities. The decrease in the net cash provided by financing activities was primarily attributable to the decrease in proceeds from issuance of convertible notes in subsidiaries of $22.8 million and the fact that for the year ended December 31, 2020 the Company had proceeds from the issuance of a long term loan of $14.7 million, while for the year ended December 31, 2021, there was no such cash inflow. Such decreases were partially offset by an increase in proceeds from issuance of preferred shares in subsidiaries of $23.9 million</w:t>
      </w:r>
    </w:p>
    <w:p>
      <w:pPr>
        <w:spacing w:after="0" w:line="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Net cash provided by financing activities was $38.9 million for the year ended December 31, 2020, as compared to $49.9 million for the year ended December 31, 2019. The net inflow was primarily attributable to the issuances by Vedanta of a $25.0 million convertible promissory note and a long-term loan with net proceeds of $14.7 million. The inflow was further attributable to $13.8 million received from the Vedanta Series C-2 and Sonde Series A-2 preferred share financings. The inflows were partially offset by the $12.9 million settlement of 2017 RSU awards granted to certain executives.</w:t>
      </w:r>
    </w:p>
    <w:p>
      <w:pPr>
        <w:sectPr>
          <w:pgSz w:w="11900" w:h="16838" w:orient="portrait"/>
          <w:cols w:equalWidth="0" w:num="1">
            <w:col w:w="11000"/>
          </w:cols>
          <w:pgMar w:left="440" w:top="270"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Funding Requirements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incurred operating losses since inception. Based on our current plans, we believe our existing cash and cash equivalents at December 31, 2021, will be sufficient to fund our operations and capital expenditure requirements into the first quarter of 2025. We expect to incur substantial additional expenditures in the near term to support our ongoing activities. We anticipate to continue to incur net operating losses for the foreseeable future as is typical for pre-revenue biotechnology companies. Our ability to fund our therapeutic development and clinical operations as well as commercialization of our wholly-owned therapeutic candidates, will depend on the amount and timing of cash received from planned financings and potential business development activities. Our future capital requirements will depend on many factors, including:</w:t>
      </w:r>
    </w:p>
    <w:p>
      <w:pPr>
        <w:spacing w:after="0" w:line="83" w:lineRule="exact"/>
        <w:rPr>
          <w:sz w:val="20"/>
          <w:szCs w:val="20"/>
          <w:color w:val="auto"/>
        </w:rPr>
      </w:pPr>
    </w:p>
    <w:p>
      <w:pPr>
        <w:ind w:left="420" w:hanging="3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timing and outcomes of clinical trials and regulatory reviews associated with our wholly-owned therapeutic candidates;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and maintaining, enforcing and defending intellectual property-related claims;</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marketing developments;</w:t>
      </w:r>
    </w:p>
    <w:p>
      <w:pPr>
        <w:spacing w:after="0" w:line="130" w:lineRule="exact"/>
        <w:rPr>
          <w:rFonts w:ascii="Arial" w:cs="Arial" w:eastAsia="Arial" w:hAnsi="Arial"/>
          <w:sz w:val="18"/>
          <w:szCs w:val="18"/>
          <w:color w:val="auto"/>
        </w:rPr>
      </w:pPr>
    </w:p>
    <w:p>
      <w:pPr>
        <w:ind w:left="420" w:right="620" w:hanging="316"/>
        <w:spacing w:after="0" w:line="277"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on our therapeutic and product development activities of actions taken by the U.S. Food and Drug Administration (“FDA”), the European Medicines Agency (“EMA”) or other regulatory authorities;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degree of success in commercializing our wholly-owned therapeutic candidates, if and when approved;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types of future therapeutics we develop and commercialize.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wholly-owned therapeutic candidates could significantly change the costs and timing associated with the development of that therapeutic candidate.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our operating plans may change, and we may need additional funds to meet operational needs and capital requirements for clinical trials and other research and development activities. We currently have no credit facility or other committed sources of capital.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w:t>
      </w:r>
    </w:p>
    <w:p>
      <w:pPr>
        <w:sectPr>
          <w:pgSz w:w="11900" w:h="16838" w:orient="portrait"/>
          <w:cols w:equalWidth="0" w:num="1">
            <w:col w:w="10940"/>
          </w:cols>
          <w:pgMar w:left="440" w:top="270" w:right="519" w:bottom="1440" w:gutter="0" w:footer="0" w:header="0"/>
        </w:sectPr>
      </w:pPr>
    </w:p>
    <w:bookmarkStart w:id="35" w:name="page36"/>
    <w:bookmarkEnd w:id="3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Position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Summary Financial Position</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67"/>
        </w:trPr>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2"/>
              </w:rPr>
              <w:t>As of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680" w:type="dxa"/>
            <w:vAlign w:val="bottom"/>
            <w:gridSpan w:val="3"/>
            <w:vMerge w:val="continue"/>
          </w:tcPr>
          <w:p>
            <w:pPr>
              <w:spacing w:after="0"/>
              <w:rPr>
                <w:sz w:val="11"/>
                <w:szCs w:val="11"/>
                <w:color w:val="auto"/>
              </w:rPr>
            </w:pPr>
          </w:p>
        </w:tc>
        <w:tc>
          <w:tcPr>
            <w:tcW w:w="660" w:type="dxa"/>
            <w:vAlign w:val="bottom"/>
          </w:tcPr>
          <w:p>
            <w:pPr>
              <w:jc w:val="right"/>
              <w:ind w:right="91"/>
              <w:spacing w:after="0" w:line="129"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ind w:right="110"/>
              <w:spacing w:after="0" w:line="129" w:lineRule="exact"/>
              <w:rPr>
                <w:sz w:val="20"/>
                <w:szCs w:val="20"/>
                <w:color w:val="auto"/>
              </w:rPr>
            </w:pPr>
            <w:r>
              <w:rPr>
                <w:rFonts w:ascii="Arial" w:cs="Arial" w:eastAsia="Arial" w:hAnsi="Arial"/>
                <w:sz w:val="14"/>
                <w:szCs w:val="14"/>
                <w:color w:val="auto"/>
              </w:rPr>
              <w:t>2020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51"/>
              <w:spacing w:after="0" w:line="129" w:lineRule="exact"/>
              <w:rPr>
                <w:sz w:val="20"/>
                <w:szCs w:val="20"/>
                <w:color w:val="auto"/>
              </w:rPr>
            </w:pPr>
            <w:r>
              <w:rPr>
                <w:rFonts w:ascii="Arial" w:cs="Arial" w:eastAsia="Arial" w:hAnsi="Arial"/>
                <w:sz w:val="14"/>
                <w:szCs w:val="14"/>
                <w:color w:val="auto"/>
                <w:w w:val="97"/>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at fair value (*)</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397,179</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530,161</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(132,982)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47,018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45,484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444,197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575,645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465,708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403,881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501,809</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414,348</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946,006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989,994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23"/>
        </w:trPr>
        <w:tc>
          <w:tcPr>
            <w:tcW w:w="6680" w:type="dxa"/>
            <w:vAlign w:val="bottom"/>
            <w:gridSpan w:val="3"/>
          </w:tcPr>
          <w:p>
            <w:pPr>
              <w:spacing w:after="0"/>
              <w:rPr>
                <w:sz w:val="20"/>
                <w:szCs w:val="20"/>
                <w:color w:val="auto"/>
              </w:rPr>
            </w:pPr>
            <w:r>
              <w:rPr>
                <w:rFonts w:ascii="Arial" w:cs="Arial" w:eastAsia="Arial" w:hAnsi="Arial"/>
                <w:sz w:val="18"/>
                <w:szCs w:val="18"/>
                <w:color w:val="auto"/>
              </w:rPr>
              <w:t>Lease Liability</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29,040</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32,088</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108,626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16,921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135,725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155,531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660" w:type="dxa"/>
            <w:vAlign w:val="bottom"/>
          </w:tcPr>
          <w:p>
            <w:pPr>
              <w:jc w:val="right"/>
              <w:spacing w:after="0"/>
              <w:rPr>
                <w:sz w:val="20"/>
                <w:szCs w:val="20"/>
                <w:color w:val="auto"/>
              </w:rPr>
            </w:pPr>
            <w:r>
              <w:rPr>
                <w:rFonts w:ascii="Arial" w:cs="Arial" w:eastAsia="Arial" w:hAnsi="Arial"/>
                <w:sz w:val="18"/>
                <w:szCs w:val="18"/>
                <w:color w:val="auto"/>
              </w:rPr>
              <w:t>35,760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660" w:type="dxa"/>
            <w:vAlign w:val="bottom"/>
          </w:tcPr>
          <w:p>
            <w:pPr>
              <w:jc w:val="right"/>
              <w:spacing w:after="0"/>
              <w:rPr>
                <w:sz w:val="20"/>
                <w:szCs w:val="20"/>
                <w:color w:val="auto"/>
              </w:rPr>
            </w:pPr>
            <w:r>
              <w:rPr>
                <w:rFonts w:ascii="Arial" w:cs="Arial" w:eastAsia="Arial" w:hAnsi="Arial"/>
                <w:sz w:val="18"/>
                <w:szCs w:val="18"/>
                <w:color w:val="auto"/>
              </w:rPr>
              <w:t>6,787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174,017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5,654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226,135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180,924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361,859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336,455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584,147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(69,392)</w:t>
            </w:r>
          </w:p>
        </w:tc>
        <w:tc>
          <w:tcPr>
            <w:tcW w:w="0" w:type="dxa"/>
            <w:vAlign w:val="bottom"/>
          </w:tcPr>
          <w:p>
            <w:pPr>
              <w:spacing w:after="0"/>
              <w:rPr>
                <w:sz w:val="1"/>
                <w:szCs w:val="1"/>
                <w:color w:val="auto"/>
              </w:rPr>
            </w:pPr>
          </w:p>
        </w:tc>
      </w:tr>
      <w:tr>
        <w:trPr>
          <w:trHeight w:val="223"/>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584,147</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653,539</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(69,392)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Fair value of investments accounted for at fair value, does not take into consideration contribution from milestones that occurred after</w:t>
      </w:r>
    </w:p>
    <w:p>
      <w:pPr>
        <w:spacing w:after="0" w:line="23" w:lineRule="exact"/>
        <w:rPr>
          <w:rFonts w:ascii="Arial" w:cs="Arial" w:eastAsia="Arial" w:hAnsi="Arial"/>
          <w:sz w:val="18"/>
          <w:szCs w:val="18"/>
          <w:color w:val="auto"/>
        </w:rPr>
      </w:pPr>
    </w:p>
    <w:p>
      <w:pPr>
        <w:ind w:left="424" w:right="80"/>
        <w:spacing w:after="0" w:line="260" w:lineRule="auto"/>
        <w:rPr>
          <w:rFonts w:ascii="Arial" w:cs="Arial" w:eastAsia="Arial" w:hAnsi="Arial"/>
          <w:sz w:val="18"/>
          <w:szCs w:val="18"/>
          <w:color w:val="auto"/>
        </w:rPr>
      </w:pPr>
      <w:r>
        <w:rPr>
          <w:rFonts w:ascii="Arial" w:cs="Arial" w:eastAsia="Arial" w:hAnsi="Arial"/>
          <w:sz w:val="18"/>
          <w:szCs w:val="18"/>
          <w:color w:val="auto"/>
        </w:rPr>
        <w:t>December 31, 2021, the value of our consolidated Founded Entities (Vedanta, Follica, Sonde, Alivio, and Entrega), our Wholly Owned Programs, or our cash.</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Investments Held at Fair Value</w:t>
      </w:r>
    </w:p>
    <w:p>
      <w:pPr>
        <w:spacing w:after="0" w:line="11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Investments held at fair value decreased $133.0 million to $397.2 million as of December 31, 2021. Investments held at fair value consists primarily of our common share investment in Karuna and Vor (from February 2021) and our preferred share investments in Akili, Gelesis and Vor (until February 2021). See Note 5 to our consolidated financial statements included elsewhere in this annual report for details regarding the change in investments held at fair value.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Consolidated cash, cash equivalents increased $61.8 million to $465.7 million as of December 31, 2021, while we had PureTech Level cash and cash equivalents of $418.9 million. The increase reflected primarily the disposals of Karuna common shares during the year ended December 31, 2021. On February 9, 2021, PureTech sold 1,000,000 shares of Karuna common shares for aggregate proceeds of $118.0 million. On November 9, 2021, PureTech sold an additional 750,000 Karuna common shares for aggregate proceeds of 100.1 million. The inflows from the disposals were primarily offset by our operating loss of $150.3 million for the year ended December 31, 2021.</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17"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Non-current liabilities decreased $19.8 million to $135.7 million as of December 31, 2021. The decrease was driven by declines of $3.0 million and $18.9 million in our long-term lease and deferred tax liabilities, respectively as of December 31, 2021.</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Trade and Other Payables</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Trade and other payables increased $15.2 million to $35.8 million as of December 31, 2021. The increase reflected primarily the timing of payments as of December 31, 2021.</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Notes payable decreased $22.5 million to $3.9 million as of December 31, 2021. The decrease reflected the conversion of the Vedanta $25.0 million convertible promissory note to a third party investor during the execution of the Series D financing round. This decrease was partially offset by a $2.2 million note issuance by Sonde.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Preferred share liability increased $55.0 million to $174.0 million as of December 31, 2021. The increase reflected the issuance by Vedanta of Series D preferred shares and the conversion of Vedanta notes into Series D preferred shares, increasing the liability by $63.4 million. This increases was partially offset by a decrease in fair value of the preferred share liability by $8.4 million during the year ended December 31, 2021.</w:t>
      </w:r>
    </w:p>
    <w:p>
      <w:pPr>
        <w:sectPr>
          <w:pgSz w:w="11900" w:h="16838" w:orient="portrait"/>
          <w:cols w:equalWidth="0" w:num="1">
            <w:col w:w="11004"/>
          </w:cols>
          <w:pgMar w:left="436" w:top="270"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Quantitative and Qualitative Disclosures about 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December 31, 2021, we had consolidated cash and cash equivalents of $465.7 million, while we had PureTech Level cash and cash equivalents of $418.9 million.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U.S. debt obligations and related money market accounts we do not believe change in interest rates would have a material effect on the fair market value of our portfolio, and therefore we do not expect our operating results or cash flows to be significantly affected by changes in market interest rates.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w:t>
      </w:r>
    </w:p>
    <w:p>
      <w:pPr>
        <w:jc w:val="both"/>
        <w:ind w:right="100"/>
        <w:spacing w:after="0" w:line="277" w:lineRule="auto"/>
        <w:rPr>
          <w:sz w:val="20"/>
          <w:szCs w:val="20"/>
          <w:color w:val="auto"/>
        </w:rPr>
      </w:pPr>
      <w:r>
        <w:rPr>
          <w:rFonts w:ascii="Arial" w:cs="Arial" w:eastAsia="Arial" w:hAnsi="Arial"/>
          <w:sz w:val="17"/>
          <w:szCs w:val="17"/>
          <w:color w:val="auto"/>
        </w:rPr>
        <w:t>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w:t>
      </w:r>
    </w:p>
    <w:p>
      <w:pPr>
        <w:spacing w:after="0" w:line="6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recorded foreign currency losses in respect of foreign operations of $0.0 million, $0.5 million and $0.0 million for the years ended December 31, 2021, December 31, 2020, and December 31, 2019, respectively, which are included in Other comprehensive income/(loss) in the Consolidated Statements of Comprehensive Income/(Loss).</w:t>
      </w:r>
    </w:p>
    <w:p>
      <w:pPr>
        <w:spacing w:after="0" w:line="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do not currently engage in currency hedging activities in order to reduce our currency exposure, but we may begin to do so in the future. Instruments that may be used to hedge future risks include foreign currency forward and swap contracts. These instruments may be used to selectively manage risks, but there can be no assurance that we will be fully protected against material foreign currency fluctuations.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Founded Entity Investments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maintain investments in certain Controlled Founded Entities. Our investments in Controlled Founded Entities are eliminated as intercompany transactions upon financial consolidation. We are however exposed to a preferred share liability owing to the terms of existing preferred shares and the ownership of Controlled Founded Entities preferred shares by third parties. The liability of preferred shares is maintained at fair value through the profit and loss. Our strong cash position, budgeting and forecasting processes, as well as decision making and risk mitigation framework enable us to robustly monitor and support the business activities of the Controlled Founded Entities to ensure no exposure to credit losses and ultimately dissolution or liquidation. Accordingly, we view exposure to third party preferred share liability as low. Please refer to Note 16 to our consolidated financial statements for further information regarding our exposure to Controlled Founded Entity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Non-Controlled Founded Entity Investments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certain investments in Non-Controlled Founded Entities which are deemed either as investments and accounted for as investments held at fair value or associates and accounted for under the equity method (please refer to Note 1 to our consolidated financial statements). Our exposure to investments held at fair value was $397.2 million as of December 31, 2021, and we may or may not be able to realize the value in the future. Accordingly, we view the risk as high. Our exposure to investments in associates in limited to the carrying amount of the investment. We are not exposed to further contractual obligations or contingent liabilities beyond the value of initial investment. As of December 31, 2021, Gelesis was the only associate. The carrying amount of the investment in Gelesis as an associate was zero. Accordingly, we do not view this as a risk. Please refer to Notes 5, 6 and 16 to our consolidated financial statements for further information regarding our exposure to Non-Controlled Founded Entity Investments.</w:t>
      </w:r>
    </w:p>
    <w:p>
      <w:pPr>
        <w:sectPr>
          <w:pgSz w:w="11900" w:h="16838" w:orient="portrait"/>
          <w:cols w:equalWidth="0" w:num="1">
            <w:col w:w="11000"/>
          </w:cols>
          <w:pgMar w:left="440" w:top="270"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Price Risk</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2021, we held 1,656,564 common shares of Karuna and 3,207,200 common shares of Vor. The fair value of our investment in the common shares of Karuna was $217.0 million and common shares of Vor was $37.3 million.</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investments in Karuna and Vor are exposed to fluctuations in the market price of these common shares. The effect of a 10.0 percent adverse change in the market price of Karuna common shares and Vor common shares as of December 31, 2021, would have been a loss of approximately $21.7 million and $3.7 million, respectively, recognized as a component of Other income (expense) in our Consolidated Statements of Comprehensive Income/(Loss).</w:t>
      </w:r>
    </w:p>
    <w:p>
      <w:pPr>
        <w:spacing w:after="0" w:line="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Subsequent to December 31, 2021 our investment in Gelesis was converted into shares of common stock of Gelesis (after the combination with Capstar), which are publicly traded on the New York Stock Exchange.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do not believe we will encounter difficulty in meeting the obligations associated with our financial liabilities that are settled by delivering cash or another financial asset. While we believe our cash and cash equivalents do not contain excessive risk, we cannot provide absolute assurance that in the future our investments will not be subject to adverse changes or decline in value based on market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Also,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5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Credit risk is also the risk of financial loss if a customer or counterparty to a financial instrument fails to meet its contractual obligations. We assess the credit quality of customers on an ongoing basis, taking into account its financial position, past experience and other factors. The credit quality of financial assets that are neither past due nor impaired can be assessed by reference to credit ratings (if available) or to historical information about counterparty default rates. We are also potentially subject to concentrations of credit risk in accounts receivable. Concentrations of credit risk with respect to receivables is owed to the limited number of companies comprising our customer base. However, our exposure to credit losses is currently de minimis due to the credit quality of our receivables, which are primarily from the US government and large funds with respect to grants.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Private Issuer Status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Owing to our U.S. listing,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w:t>
      </w:r>
    </w:p>
    <w:p>
      <w:pPr>
        <w:spacing w:after="0" w:line="89" w:lineRule="exact"/>
        <w:rPr>
          <w:sz w:val="20"/>
          <w:szCs w:val="20"/>
          <w:color w:val="auto"/>
        </w:rPr>
      </w:pPr>
    </w:p>
    <w:p>
      <w:pPr>
        <w:ind w:left="420" w:right="400" w:hanging="316"/>
        <w:spacing w:after="0" w:line="27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sections of the Exchange Act requiring insiders to file public reports of their stock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ind w:left="420" w:right="260" w:hanging="316"/>
        <w:spacing w:after="0" w:line="27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ectPr>
          <w:pgSz w:w="11900" w:h="16838" w:orient="portrait"/>
          <w:cols w:equalWidth="0" w:num="1">
            <w:col w:w="10960"/>
          </w:cols>
          <w:pgMar w:left="440" w:top="274" w:right="499" w:bottom="1440" w:gutter="0" w:footer="0" w:header="0"/>
        </w:sectPr>
      </w:pPr>
    </w:p>
    <w:bookmarkStart w:id="38" w:name="page39"/>
    <w:bookmarkEnd w:id="3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following information, which is required in connection with the Company as a company incorporated under the United Kingdom’s Companies Act 2006 and having its ordinary shares admitted to premium listing on the Official List of the United Kingdom’s Financial Conduct Authority and having its shares admitted to trading on the London Stock Exchange in the United Kingdom, has been omitted from this release and can be found on the </w:t>
      </w:r>
      <w:r>
        <w:rPr>
          <w:rFonts w:ascii="Arial" w:cs="Arial" w:eastAsia="Arial" w:hAnsi="Arial"/>
          <w:sz w:val="17"/>
          <w:szCs w:val="17"/>
          <w:u w:val="single" w:color="auto"/>
          <w:color w:val="auto"/>
        </w:rPr>
        <w:t>News</w:t>
      </w:r>
      <w:r>
        <w:rPr>
          <w:rFonts w:ascii="Arial" w:cs="Arial" w:eastAsia="Arial" w:hAnsi="Arial"/>
          <w:sz w:val="17"/>
          <w:szCs w:val="17"/>
          <w:color w:val="auto"/>
        </w:rPr>
        <w:t xml:space="preserve"> section of our website: Strategic Report, UK Risk Management, Brexit Statement and the audited Consolidated Financial Statements and Notes thereto. Such information is also included in our 2021 Annual Report and Accounts which is included as an exhibit to the Form 20-F that will be filed today with the United States Securities and Exchange Commission.</w:t>
      </w:r>
    </w:p>
    <w:sectPr>
      <w:pgSz w:w="11900" w:h="16838" w:orient="portrait"/>
      <w:cols w:equalWidth="0" w:num="1">
        <w:col w:w="10680"/>
      </w:cols>
      <w:pgMar w:left="66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lvl w:ilvl="1">
      <w:lvlJc w:val="left"/>
      <w:lvlText w:val="•"/>
      <w:numFmt w:val="bullet"/>
      <w:start w:val="1"/>
    </w:lvl>
  </w:abstractNum>
  <w:abstractNum w:abstractNumId="14">
    <w:nsid w:val="54E49EB4"/>
    <w:multiLevelType w:val="hybridMultilevel"/>
    <w:lvl w:ilvl="0">
      <w:lvlJc w:val="left"/>
      <w:lvlText w:val="•"/>
      <w:numFmt w:val="bullet"/>
      <w:start w:val="1"/>
    </w:lvl>
    <w:lvl w:ilvl="1">
      <w:lvlJc w:val="left"/>
      <w:lvlText w:val="•"/>
      <w:numFmt w:val="bullet"/>
      <w:start w:val="1"/>
    </w:lvl>
  </w:abstractNum>
  <w:abstractNum w:abstractNumId="15">
    <w:nsid w:val="71F32454"/>
    <w:multiLevelType w:val="hybridMultilevel"/>
    <w:lvl w:ilvl="0">
      <w:lvlJc w:val="left"/>
      <w:lvlText w:val="•"/>
      <w:numFmt w:val="bullet"/>
      <w:start w:val="1"/>
    </w:lvl>
    <w:lvl w:ilvl="1">
      <w:lvlJc w:val="left"/>
      <w:lvlText w:val="•"/>
      <w:numFmt w:val="bullet"/>
      <w:start w:val="1"/>
    </w:lvl>
  </w:abstractNum>
  <w:abstractNum w:abstractNumId="16">
    <w:nsid w:val="2CA88611"/>
    <w:multiLevelType w:val="hybridMultilevel"/>
    <w:lvl w:ilvl="0">
      <w:lvlJc w:val="left"/>
      <w:lvlText w:val="•"/>
      <w:numFmt w:val="bullet"/>
      <w:start w:val="1"/>
    </w:lvl>
    <w:lvl w:ilvl="1">
      <w:lvlJc w:val="left"/>
      <w:lvlText w:val="•"/>
      <w:numFmt w:val="bullet"/>
      <w:start w:val="1"/>
    </w:lvl>
  </w:abstractNum>
  <w:abstractNum w:abstractNumId="17">
    <w:nsid w:val="836C40E"/>
    <w:multiLevelType w:val="hybridMultilevel"/>
    <w:lvl w:ilvl="0">
      <w:lvlJc w:val="left"/>
      <w:lvlText w:val="•"/>
      <w:numFmt w:val="bullet"/>
      <w:start w:val="1"/>
    </w:lvl>
    <w:lvl w:ilvl="1">
      <w:lvlJc w:val="left"/>
      <w:lvlText w:val="•"/>
      <w:numFmt w:val="bullet"/>
      <w:start w:val="1"/>
    </w:lvl>
  </w:abstractNum>
  <w:abstractNum w:abstractNumId="18">
    <w:nsid w:val="2901D82"/>
    <w:multiLevelType w:val="hybridMultilevel"/>
    <w:lvl w:ilvl="0">
      <w:lvlJc w:val="left"/>
      <w:lvlText w:val="•"/>
      <w:numFmt w:val="bullet"/>
      <w:start w:val="1"/>
    </w:lvl>
    <w:lvl w:ilvl="1">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bullet"/>
      <w:start w:val="1"/>
    </w:lvl>
  </w:abstractNum>
  <w:abstractNum w:abstractNumId="21">
    <w:nsid w:val="1E7FF521"/>
    <w:multiLevelType w:val="hybridMultilevel"/>
    <w:lvl w:ilvl="0">
      <w:lvlJc w:val="left"/>
      <w:lvlText w:val="2"/>
      <w:numFmt w:val="bullet"/>
      <w:start w:val="1"/>
    </w:lvl>
  </w:abstractNum>
  <w:abstractNum w:abstractNumId="22">
    <w:nsid w:val="7C3DBD3D"/>
    <w:multiLevelType w:val="hybridMultilevel"/>
    <w:lvl w:ilvl="0">
      <w:lvlJc w:val="left"/>
      <w:lvlText w:val="3"/>
      <w:numFmt w:val="bullet"/>
      <w:start w:val="1"/>
    </w:lvl>
  </w:abstractNum>
  <w:abstractNum w:abstractNumId="23">
    <w:nsid w:val="737B8DDC"/>
    <w:multiLevelType w:val="hybridMultilevel"/>
    <w:lvl w:ilvl="0">
      <w:lvlJc w:val="left"/>
      <w:lvlText w:val="4"/>
      <w:numFmt w:val="bullet"/>
      <w:start w:val="1"/>
    </w:lvl>
  </w:abstractNum>
  <w:abstractNum w:abstractNumId="24">
    <w:nsid w:val="6CEAF087"/>
    <w:multiLevelType w:val="hybridMultilevel"/>
    <w:lvl w:ilvl="0">
      <w:lvlJc w:val="left"/>
      <w:lvlText w:val="5"/>
      <w:numFmt w:val="bullet"/>
      <w:start w:val="1"/>
    </w:lvl>
  </w:abstractNum>
  <w:abstractNum w:abstractNumId="25">
    <w:nsid w:val="22221A70"/>
    <w:multiLevelType w:val="hybridMultilevel"/>
    <w:lvl w:ilvl="0">
      <w:lvlJc w:val="left"/>
      <w:lvlText w:val="6"/>
      <w:numFmt w:val="bullet"/>
      <w:start w:val="1"/>
    </w:lvl>
  </w:abstractNum>
  <w:abstractNum w:abstractNumId="26">
    <w:nsid w:val="4516DDE9"/>
    <w:multiLevelType w:val="hybridMultilevel"/>
    <w:lvl w:ilvl="0">
      <w:lvlJc w:val="left"/>
      <w:lvlText w:val="7"/>
      <w:numFmt w:val="bullet"/>
      <w:start w:val="1"/>
    </w:lvl>
  </w:abstractNum>
  <w:abstractNum w:abstractNumId="27">
    <w:nsid w:val="3006C83E"/>
    <w:multiLevelType w:val="hybridMultilevel"/>
    <w:lvl w:ilvl="0">
      <w:lvlJc w:val="left"/>
      <w:lvlText w:val="8"/>
      <w:numFmt w:val="bullet"/>
      <w:start w:val="1"/>
    </w:lvl>
  </w:abstractNum>
  <w:abstractNum w:abstractNumId="28">
    <w:nsid w:val="614FD4A1"/>
    <w:multiLevelType w:val="hybridMultilevel"/>
    <w:lvl w:ilvl="0">
      <w:lvlJc w:val="left"/>
      <w:lvlText w:val="9"/>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2022-04-26T05:48:47Z</dcterms:created>
  <dcterms:modified xsi:type="dcterms:W3CDTF">2022-04-26T05:48:47Z</dcterms:modified>
</cp:coreProperties>
</file>