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1125855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6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186"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79"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23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Report of Foreign Private Issuer</w:t>
      </w:r>
    </w:p>
    <w:p>
      <w:pPr>
        <w:spacing w:after="0" w:line="4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Pursuant to Rule 13a-16 or 15d-16 under</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5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June 2025</w:t>
      </w:r>
    </w:p>
    <w:p>
      <w:pPr>
        <w:spacing w:after="0" w:line="266"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394970</wp:posOffset>
            </wp:positionV>
            <wp:extent cx="7123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PURETECH HEALTH PLC</w:t>
      </w:r>
    </w:p>
    <w:p>
      <w:pPr>
        <w:spacing w:after="0" w:line="111"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6 Tide Street, Suite 400</w:t>
      </w:r>
    </w:p>
    <w:p>
      <w:pPr>
        <w:spacing w:after="0" w:line="42"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Boston, Massachusetts 02210</w:t>
      </w:r>
    </w:p>
    <w:p>
      <w:pPr>
        <w:spacing w:after="0" w:line="42"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23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75" w:lineRule="exact"/>
        <w:rPr>
          <w:sz w:val="24"/>
          <w:szCs w:val="24"/>
          <w:color w:val="auto"/>
        </w:rPr>
      </w:pPr>
    </w:p>
    <w:p>
      <w:pPr>
        <w:ind w:left="4360"/>
        <w:spacing w:after="0" w:line="173" w:lineRule="exact"/>
        <w:tabs>
          <w:tab w:leader="none" w:pos="5940" w:val="left"/>
        </w:tabs>
        <w:rPr>
          <w:sz w:val="20"/>
          <w:szCs w:val="20"/>
          <w:color w:val="auto"/>
        </w:rPr>
      </w:pPr>
      <w:r>
        <w:rPr>
          <w:rFonts w:ascii="Arial" w:cs="Arial" w:eastAsia="Arial" w:hAnsi="Arial"/>
          <w:sz w:val="15"/>
          <w:szCs w:val="15"/>
          <w:color w:val="auto"/>
        </w:rPr>
        <w:t xml:space="preserve">Form 20-F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Form 40-F </w:t>
      </w:r>
      <w:r>
        <w:rPr>
          <w:rFonts w:ascii="MS PGothic" w:cs="MS PGothic" w:eastAsia="MS PGothic" w:hAnsi="MS PGothic"/>
          <w:sz w:val="15"/>
          <w:szCs w:val="15"/>
          <w:color w:val="auto"/>
        </w:rPr>
        <w:t>☐</w:t>
      </w:r>
    </w:p>
    <w:p>
      <w:pPr>
        <w:spacing w:after="0" w:line="178"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Indicate by check mark if the registrant is submitting the Form 6-K in paper as permitted by Regulation S-T Rule 101(b)(1): </w:t>
      </w:r>
      <w:r>
        <w:rPr>
          <w:rFonts w:ascii="Wingdings" w:cs="Wingdings" w:eastAsia="Wingdings" w:hAnsi="Wingdings"/>
          <w:sz w:val="17"/>
          <w:szCs w:val="17"/>
          <w:b w:val="1"/>
          <w:bCs w:val="1"/>
          <w:color w:val="auto"/>
        </w:rPr>
        <w:t>o</w:t>
      </w:r>
    </w:p>
    <w:p>
      <w:pPr>
        <w:spacing w:after="0" w:line="48"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Indicate by check mark if the registrant is submitting the Form 6-K in paper as permitted by Regulation S-T Rule 101(b)(7): </w:t>
      </w:r>
      <w:r>
        <w:rPr>
          <w:rFonts w:ascii="Wingdings" w:cs="Wingdings" w:eastAsia="Wingdings" w:hAnsi="Wingdings"/>
          <w:sz w:val="17"/>
          <w:szCs w:val="17"/>
          <w:b w:val="1"/>
          <w:bCs w:val="1"/>
          <w:color w:val="auto"/>
        </w:rPr>
        <w:t>o</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5"/>
          <w:szCs w:val="15"/>
          <w:b w:val="1"/>
          <w:bCs w:val="1"/>
          <w:color w:val="auto"/>
        </w:rPr>
        <w:t>INFORMATION CONTAINED IN THIS REPORT ON FORM 6-K</w:t>
      </w:r>
    </w:p>
    <w:p>
      <w:pPr>
        <w:spacing w:after="0" w:line="140" w:lineRule="exact"/>
        <w:rPr>
          <w:sz w:val="20"/>
          <w:szCs w:val="20"/>
          <w:color w:val="auto"/>
        </w:rPr>
      </w:pPr>
    </w:p>
    <w:p>
      <w:pPr>
        <w:spacing w:after="0" w:line="339" w:lineRule="auto"/>
        <w:rPr>
          <w:sz w:val="20"/>
          <w:szCs w:val="20"/>
          <w:color w:val="auto"/>
        </w:rPr>
      </w:pPr>
      <w:r>
        <w:rPr>
          <w:rFonts w:ascii="Arial" w:cs="Arial" w:eastAsia="Arial" w:hAnsi="Arial"/>
          <w:sz w:val="15"/>
          <w:szCs w:val="15"/>
          <w:color w:val="auto"/>
        </w:rPr>
        <w:t>On August 28, 2025, PureTech Health plc (LSE: PRTC, Nasdaq: PRTC) (the “Company”) issued a press release containing its half-year report and associated interim financial review and financial statements.</w:t>
      </w:r>
    </w:p>
    <w:p>
      <w:pPr>
        <w:spacing w:after="0" w:line="12"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The press release is furnished herewith as Exhibit 99.1, the interim management report and financial review for the six months ended June 30, 2025 and 2024 are furnished herewith as Exhibit 99.2, and the unaudited condensed consolidated financial statements as of and for the six months ended June 30, 2025, and 2024, and as of December 31, 2024, are furnished herewith as Exhibit 99.3.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 w:type="dxa"/>
            <w:vAlign w:val="bottom"/>
            <w:gridSpan w:val="3"/>
          </w:tcPr>
          <w:p>
            <w:pPr>
              <w:spacing w:after="0"/>
              <w:rPr>
                <w:sz w:val="20"/>
                <w:szCs w:val="20"/>
                <w:color w:val="auto"/>
              </w:rPr>
            </w:pPr>
            <w:r>
              <w:rPr>
                <w:rFonts w:ascii="Arial" w:cs="Arial" w:eastAsia="Arial" w:hAnsi="Arial"/>
                <w:sz w:val="15"/>
                <w:szCs w:val="15"/>
                <w:b w:val="1"/>
                <w:bCs w:val="1"/>
                <w:color w:val="183964"/>
              </w:rPr>
              <w:t>Exhibits</w:t>
            </w:r>
          </w:p>
        </w:tc>
        <w:tc>
          <w:tcPr>
            <w:tcW w:w="9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vMerge w:val="restart"/>
          </w:tcPr>
          <w:p>
            <w:pPr>
              <w:spacing w:after="0"/>
              <w:rPr>
                <w:sz w:val="24"/>
                <w:szCs w:val="24"/>
                <w:color w:val="auto"/>
              </w:rPr>
            </w:pPr>
          </w:p>
        </w:tc>
        <w:tc>
          <w:tcPr>
            <w:tcW w:w="300" w:type="dxa"/>
            <w:vAlign w:val="bottom"/>
            <w:vMerge w:val="restart"/>
          </w:tcPr>
          <w:p>
            <w:pPr>
              <w:spacing w:after="0"/>
              <w:rPr>
                <w:sz w:val="20"/>
                <w:szCs w:val="20"/>
                <w:color w:val="auto"/>
              </w:rPr>
            </w:pPr>
            <w:r>
              <w:rPr>
                <w:rFonts w:ascii="Arial" w:cs="Arial" w:eastAsia="Arial" w:hAnsi="Arial"/>
                <w:sz w:val="15"/>
                <w:szCs w:val="15"/>
                <w:color w:val="0000FF"/>
                <w:w w:val="95"/>
              </w:rPr>
              <w:t>99.</w:t>
            </w:r>
            <w:r>
              <w:rPr>
                <w:rFonts w:ascii="Arial" w:cs="Arial" w:eastAsia="Arial" w:hAnsi="Arial"/>
                <w:sz w:val="15"/>
                <w:szCs w:val="15"/>
                <w:u w:val="single" w:color="auto"/>
                <w:color w:val="0000FF"/>
                <w:w w:val="95"/>
              </w:rPr>
              <w:t>1</w:t>
            </w:r>
          </w:p>
        </w:tc>
        <w:tc>
          <w:tcPr>
            <w:tcW w:w="460" w:type="dxa"/>
            <w:vAlign w:val="bottom"/>
          </w:tcPr>
          <w:p>
            <w:pPr>
              <w:spacing w:after="0"/>
              <w:rPr>
                <w:sz w:val="24"/>
                <w:szCs w:val="24"/>
                <w:color w:val="auto"/>
              </w:rPr>
            </w:pPr>
          </w:p>
        </w:tc>
        <w:tc>
          <w:tcPr>
            <w:tcW w:w="9640" w:type="dxa"/>
            <w:vAlign w:val="bottom"/>
          </w:tcPr>
          <w:p>
            <w:pPr>
              <w:ind w:left="160"/>
              <w:spacing w:after="0"/>
              <w:rPr>
                <w:sz w:val="20"/>
                <w:szCs w:val="20"/>
                <w:color w:val="auto"/>
              </w:rPr>
            </w:pPr>
            <w:r>
              <w:rPr>
                <w:rFonts w:ascii="Arial" w:cs="Arial" w:eastAsia="Arial" w:hAnsi="Arial"/>
                <w:sz w:val="15"/>
                <w:szCs w:val="15"/>
                <w:color w:val="auto"/>
              </w:rPr>
              <w:t>Press Release of PureTech Health plc, dated August 28, 2025, titled "PureTech Health plc – Half-Year Report"</w:t>
            </w:r>
          </w:p>
        </w:tc>
        <w:tc>
          <w:tcPr>
            <w:tcW w:w="0" w:type="dxa"/>
            <w:vAlign w:val="bottom"/>
          </w:tcPr>
          <w:p>
            <w:pPr>
              <w:spacing w:after="0"/>
              <w:rPr>
                <w:sz w:val="1"/>
                <w:szCs w:val="1"/>
                <w:color w:val="auto"/>
              </w:rPr>
            </w:pPr>
          </w:p>
        </w:tc>
      </w:tr>
      <w:tr>
        <w:trPr>
          <w:trHeight w:val="38"/>
        </w:trPr>
        <w:tc>
          <w:tcPr>
            <w:tcW w:w="20" w:type="dxa"/>
            <w:vAlign w:val="bottom"/>
            <w:vMerge w:val="continue"/>
          </w:tcPr>
          <w:p>
            <w:pPr>
              <w:spacing w:after="0"/>
              <w:rPr>
                <w:sz w:val="2"/>
                <w:szCs w:val="2"/>
                <w:color w:val="auto"/>
              </w:rPr>
            </w:pPr>
          </w:p>
        </w:tc>
        <w:tc>
          <w:tcPr>
            <w:tcW w:w="300" w:type="dxa"/>
            <w:vAlign w:val="bottom"/>
            <w:tcBorders>
              <w:bottom w:val="single" w:sz="8" w:color="0000FF"/>
            </w:tcBorders>
            <w:vMerge w:val="continue"/>
          </w:tcPr>
          <w:p>
            <w:pPr>
              <w:spacing w:after="0"/>
              <w:rPr>
                <w:sz w:val="2"/>
                <w:szCs w:val="2"/>
                <w:color w:val="auto"/>
              </w:rPr>
            </w:pPr>
          </w:p>
        </w:tc>
        <w:tc>
          <w:tcPr>
            <w:tcW w:w="460" w:type="dxa"/>
            <w:vAlign w:val="bottom"/>
          </w:tcPr>
          <w:p>
            <w:pPr>
              <w:spacing w:after="0"/>
              <w:rPr>
                <w:sz w:val="2"/>
                <w:szCs w:val="2"/>
                <w:color w:val="auto"/>
              </w:rPr>
            </w:pPr>
          </w:p>
        </w:tc>
        <w:tc>
          <w:tcPr>
            <w:tcW w:w="9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95"/>
              </w:rPr>
              <w:t>99.</w:t>
            </w:r>
            <w:r>
              <w:rPr>
                <w:rFonts w:ascii="Arial" w:cs="Arial" w:eastAsia="Arial" w:hAnsi="Arial"/>
                <w:sz w:val="15"/>
                <w:szCs w:val="15"/>
                <w:u w:val="single" w:color="auto"/>
                <w:color w:val="0000FF"/>
                <w:w w:val="95"/>
              </w:rPr>
              <w:t>2</w:t>
            </w:r>
          </w:p>
        </w:tc>
        <w:tc>
          <w:tcPr>
            <w:tcW w:w="460" w:type="dxa"/>
            <w:vAlign w:val="bottom"/>
          </w:tcPr>
          <w:p>
            <w:pPr>
              <w:spacing w:after="0"/>
              <w:rPr>
                <w:sz w:val="22"/>
                <w:szCs w:val="22"/>
                <w:color w:val="auto"/>
              </w:rPr>
            </w:pPr>
          </w:p>
        </w:tc>
        <w:tc>
          <w:tcPr>
            <w:tcW w:w="9640" w:type="dxa"/>
            <w:vAlign w:val="bottom"/>
          </w:tcPr>
          <w:p>
            <w:pPr>
              <w:ind w:left="160"/>
              <w:spacing w:after="0"/>
              <w:rPr>
                <w:sz w:val="20"/>
                <w:szCs w:val="20"/>
                <w:color w:val="auto"/>
              </w:rPr>
            </w:pPr>
            <w:r>
              <w:rPr>
                <w:rFonts w:ascii="Arial" w:cs="Arial" w:eastAsia="Arial" w:hAnsi="Arial"/>
                <w:sz w:val="15"/>
                <w:szCs w:val="15"/>
                <w:color w:val="auto"/>
              </w:rPr>
              <w:t>Interim Management Report and Financial Review for the Six Months Ended June 30, 2025 and 2024</w:t>
            </w:r>
          </w:p>
        </w:tc>
        <w:tc>
          <w:tcPr>
            <w:tcW w:w="0" w:type="dxa"/>
            <w:vAlign w:val="bottom"/>
          </w:tcPr>
          <w:p>
            <w:pPr>
              <w:spacing w:after="0"/>
              <w:rPr>
                <w:sz w:val="1"/>
                <w:szCs w:val="1"/>
                <w:color w:val="auto"/>
              </w:rPr>
            </w:pPr>
          </w:p>
        </w:tc>
      </w:tr>
      <w:tr>
        <w:trPr>
          <w:trHeight w:val="344"/>
        </w:trPr>
        <w:tc>
          <w:tcPr>
            <w:tcW w:w="320" w:type="dxa"/>
            <w:vAlign w:val="bottom"/>
            <w:gridSpan w:val="2"/>
          </w:tcPr>
          <w:p>
            <w:pPr>
              <w:ind w:left="20"/>
              <w:spacing w:after="0"/>
              <w:rPr>
                <w:sz w:val="20"/>
                <w:szCs w:val="20"/>
                <w:color w:val="auto"/>
              </w:rPr>
            </w:pPr>
            <w:r>
              <w:rPr>
                <w:rFonts w:ascii="Arial" w:cs="Arial" w:eastAsia="Arial" w:hAnsi="Arial"/>
                <w:sz w:val="15"/>
                <w:szCs w:val="15"/>
                <w:color w:val="0000FF"/>
                <w:w w:val="95"/>
              </w:rPr>
              <w:t>99.</w:t>
            </w:r>
            <w:r>
              <w:rPr>
                <w:rFonts w:ascii="Arial" w:cs="Arial" w:eastAsia="Arial" w:hAnsi="Arial"/>
                <w:sz w:val="15"/>
                <w:szCs w:val="15"/>
                <w:u w:val="single" w:color="auto"/>
                <w:color w:val="0000FF"/>
                <w:w w:val="95"/>
              </w:rPr>
              <w:t>3</w:t>
            </w:r>
          </w:p>
        </w:tc>
        <w:tc>
          <w:tcPr>
            <w:tcW w:w="460" w:type="dxa"/>
            <w:vAlign w:val="bottom"/>
          </w:tcPr>
          <w:p>
            <w:pPr>
              <w:spacing w:after="0"/>
              <w:rPr>
                <w:sz w:val="24"/>
                <w:szCs w:val="24"/>
                <w:color w:val="auto"/>
              </w:rPr>
            </w:pPr>
          </w:p>
        </w:tc>
        <w:tc>
          <w:tcPr>
            <w:tcW w:w="9640" w:type="dxa"/>
            <w:vAlign w:val="bottom"/>
          </w:tcPr>
          <w:p>
            <w:pPr>
              <w:ind w:left="160"/>
              <w:spacing w:after="0"/>
              <w:rPr>
                <w:sz w:val="20"/>
                <w:szCs w:val="20"/>
                <w:color w:val="auto"/>
              </w:rPr>
            </w:pPr>
            <w:r>
              <w:rPr>
                <w:rFonts w:ascii="Arial" w:cs="Arial" w:eastAsia="Arial" w:hAnsi="Arial"/>
                <w:sz w:val="15"/>
                <w:szCs w:val="15"/>
                <w:color w:val="auto"/>
              </w:rPr>
              <w:t>Unaudited Condensed Consolidated Financial Statements as of and for the Six Months Ended June 30, 2025 and 2024 and as of December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60" w:type="dxa"/>
            <w:vAlign w:val="bottom"/>
          </w:tcPr>
          <w:p>
            <w:pPr>
              <w:spacing w:after="0"/>
              <w:rPr>
                <w:sz w:val="16"/>
                <w:szCs w:val="16"/>
                <w:color w:val="auto"/>
              </w:rPr>
            </w:pPr>
          </w:p>
        </w:tc>
        <w:tc>
          <w:tcPr>
            <w:tcW w:w="9640" w:type="dxa"/>
            <w:vAlign w:val="bottom"/>
          </w:tcPr>
          <w:p>
            <w:pPr>
              <w:ind w:left="160"/>
              <w:spacing w:after="0"/>
              <w:rPr>
                <w:sz w:val="20"/>
                <w:szCs w:val="20"/>
                <w:color w:val="auto"/>
              </w:rPr>
            </w:pPr>
            <w:r>
              <w:rPr>
                <w:rFonts w:ascii="Arial" w:cs="Arial" w:eastAsia="Arial" w:hAnsi="Arial"/>
                <w:sz w:val="15"/>
                <w:szCs w:val="15"/>
                <w:color w:val="auto"/>
              </w:rPr>
              <w:t>31, 2024</w:t>
            </w:r>
          </w:p>
        </w:tc>
        <w:tc>
          <w:tcPr>
            <w:tcW w:w="0" w:type="dxa"/>
            <w:vAlign w:val="bottom"/>
          </w:tcPr>
          <w:p>
            <w:pPr>
              <w:spacing w:after="0"/>
              <w:rPr>
                <w:sz w:val="1"/>
                <w:szCs w:val="1"/>
                <w:color w:val="auto"/>
              </w:rPr>
            </w:pPr>
          </w:p>
        </w:tc>
      </w:tr>
    </w:tbl>
    <w:p>
      <w:pPr>
        <w:sectPr>
          <w:pgSz w:w="11900" w:h="16838" w:orient="portrait"/>
          <w:cols w:equalWidth="0" w:num="1">
            <w:col w:w="11180"/>
          </w:cols>
          <w:pgMar w:left="320" w:top="1389" w:right="399" w:bottom="1440" w:gutter="0" w:footer="0" w:header="0"/>
        </w:sectPr>
      </w:pPr>
    </w:p>
    <w:bookmarkStart w:id="2" w:name="page3"/>
    <w:bookmarkEnd w:id="2"/>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SIGNATURES</w:t>
      </w:r>
    </w:p>
    <w:p>
      <w:pPr>
        <w:spacing w:after="0" w:line="100"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7240" w:type="dxa"/>
            <w:vAlign w:val="bottom"/>
            <w:gridSpan w:val="2"/>
          </w:tcPr>
          <w:p>
            <w:pPr>
              <w:ind w:left="1800"/>
              <w:spacing w:after="0"/>
              <w:rPr>
                <w:sz w:val="20"/>
                <w:szCs w:val="20"/>
                <w:color w:val="auto"/>
              </w:rPr>
            </w:pPr>
            <w:r>
              <w:rPr>
                <w:rFonts w:ascii="Arial" w:cs="Arial" w:eastAsia="Arial" w:hAnsi="Arial"/>
                <w:sz w:val="15"/>
                <w:szCs w:val="15"/>
                <w:b w:val="1"/>
                <w:bCs w:val="1"/>
                <w:color w:val="183964"/>
              </w:rPr>
              <w:t>PURETECH HEALTH PLC</w:t>
            </w:r>
          </w:p>
        </w:tc>
        <w:tc>
          <w:tcPr>
            <w:tcW w:w="0" w:type="dxa"/>
            <w:vAlign w:val="bottom"/>
          </w:tcPr>
          <w:p>
            <w:pPr>
              <w:spacing w:after="0"/>
              <w:rPr>
                <w:sz w:val="1"/>
                <w:szCs w:val="1"/>
                <w:color w:val="auto"/>
              </w:rPr>
            </w:pPr>
          </w:p>
        </w:tc>
      </w:tr>
      <w:tr>
        <w:trPr>
          <w:trHeight w:val="451"/>
        </w:trPr>
        <w:tc>
          <w:tcPr>
            <w:tcW w:w="3320" w:type="dxa"/>
            <w:vAlign w:val="bottom"/>
          </w:tcPr>
          <w:p>
            <w:pPr>
              <w:spacing w:after="0"/>
              <w:rPr>
                <w:sz w:val="20"/>
                <w:szCs w:val="20"/>
                <w:color w:val="auto"/>
              </w:rPr>
            </w:pPr>
            <w:r>
              <w:rPr>
                <w:rFonts w:ascii="Arial" w:cs="Arial" w:eastAsia="Arial" w:hAnsi="Arial"/>
                <w:sz w:val="15"/>
                <w:szCs w:val="15"/>
                <w:color w:val="auto"/>
              </w:rPr>
              <w:t>Date: August 28, 2025</w:t>
            </w:r>
          </w:p>
        </w:tc>
        <w:tc>
          <w:tcPr>
            <w:tcW w:w="2560" w:type="dxa"/>
            <w:vAlign w:val="bottom"/>
          </w:tcPr>
          <w:p>
            <w:pPr>
              <w:ind w:left="1800"/>
              <w:spacing w:after="0"/>
              <w:rPr>
                <w:sz w:val="20"/>
                <w:szCs w:val="20"/>
                <w:color w:val="auto"/>
              </w:rPr>
            </w:pPr>
            <w:r>
              <w:rPr>
                <w:rFonts w:ascii="Arial" w:cs="Arial" w:eastAsia="Arial" w:hAnsi="Arial"/>
                <w:sz w:val="15"/>
                <w:szCs w:val="15"/>
                <w:color w:val="auto"/>
              </w:rPr>
              <w:t>By:</w:t>
            </w:r>
          </w:p>
        </w:tc>
        <w:tc>
          <w:tcPr>
            <w:tcW w:w="4680" w:type="dxa"/>
            <w:vAlign w:val="bottom"/>
            <w:vMerge w:val="restart"/>
          </w:tcPr>
          <w:p>
            <w:pPr>
              <w:ind w:left="20"/>
              <w:spacing w:after="0"/>
              <w:rPr>
                <w:sz w:val="20"/>
                <w:szCs w:val="20"/>
                <w:color w:val="auto"/>
              </w:rPr>
            </w:pPr>
            <w:r>
              <w:rPr>
                <w:rFonts w:ascii="Arial" w:cs="Arial" w:eastAsia="Arial" w:hAnsi="Arial"/>
                <w:sz w:val="15"/>
                <w:szCs w:val="15"/>
                <w:color w:val="auto"/>
              </w:rPr>
              <w:t>/s/ Charles Sherwood</w:t>
            </w:r>
          </w:p>
        </w:tc>
        <w:tc>
          <w:tcPr>
            <w:tcW w:w="0" w:type="dxa"/>
            <w:vAlign w:val="bottom"/>
          </w:tcPr>
          <w:p>
            <w:pPr>
              <w:spacing w:after="0"/>
              <w:rPr>
                <w:sz w:val="1"/>
                <w:szCs w:val="1"/>
                <w:color w:val="auto"/>
              </w:rPr>
            </w:pPr>
          </w:p>
        </w:tc>
      </w:tr>
      <w:tr>
        <w:trPr>
          <w:trHeight w:val="81"/>
        </w:trPr>
        <w:tc>
          <w:tcPr>
            <w:tcW w:w="33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4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2560" w:type="dxa"/>
            <w:vAlign w:val="bottom"/>
            <w:vMerge w:val="restart"/>
          </w:tcPr>
          <w:p>
            <w:pPr>
              <w:ind w:left="1800"/>
              <w:spacing w:after="0"/>
              <w:rPr>
                <w:sz w:val="20"/>
                <w:szCs w:val="20"/>
                <w:color w:val="auto"/>
              </w:rPr>
            </w:pPr>
            <w:r>
              <w:rPr>
                <w:rFonts w:ascii="Arial" w:cs="Arial" w:eastAsia="Arial" w:hAnsi="Arial"/>
                <w:sz w:val="15"/>
                <w:szCs w:val="15"/>
                <w:color w:val="auto"/>
              </w:rPr>
              <w:t>Name:</w:t>
            </w: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2560" w:type="dxa"/>
            <w:vAlign w:val="bottom"/>
            <w:vMerge w:val="continue"/>
          </w:tcPr>
          <w:p>
            <w:pPr>
              <w:spacing w:after="0"/>
              <w:rPr>
                <w:sz w:val="17"/>
                <w:szCs w:val="17"/>
                <w:color w:val="auto"/>
              </w:rPr>
            </w:pPr>
          </w:p>
        </w:tc>
        <w:tc>
          <w:tcPr>
            <w:tcW w:w="4680" w:type="dxa"/>
            <w:vAlign w:val="bottom"/>
          </w:tcPr>
          <w:p>
            <w:pPr>
              <w:ind w:left="20"/>
              <w:spacing w:after="0"/>
              <w:rPr>
                <w:sz w:val="20"/>
                <w:szCs w:val="20"/>
                <w:color w:val="auto"/>
              </w:rPr>
            </w:pPr>
            <w:r>
              <w:rPr>
                <w:rFonts w:ascii="Arial" w:cs="Arial" w:eastAsia="Arial" w:hAnsi="Arial"/>
                <w:sz w:val="15"/>
                <w:szCs w:val="15"/>
                <w:color w:val="auto"/>
              </w:rPr>
              <w:t>Charles Sherwood</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2560" w:type="dxa"/>
            <w:vAlign w:val="bottom"/>
          </w:tcPr>
          <w:p>
            <w:pPr>
              <w:ind w:left="1800"/>
              <w:spacing w:after="0"/>
              <w:rPr>
                <w:sz w:val="20"/>
                <w:szCs w:val="20"/>
                <w:color w:val="auto"/>
              </w:rPr>
            </w:pPr>
            <w:r>
              <w:rPr>
                <w:rFonts w:ascii="Arial" w:cs="Arial" w:eastAsia="Arial" w:hAnsi="Arial"/>
                <w:sz w:val="15"/>
                <w:szCs w:val="15"/>
                <w:color w:val="auto"/>
              </w:rPr>
              <w:t>Title:</w:t>
            </w:r>
          </w:p>
        </w:tc>
        <w:tc>
          <w:tcPr>
            <w:tcW w:w="4680" w:type="dxa"/>
            <w:vAlign w:val="bottom"/>
          </w:tcPr>
          <w:p>
            <w:pPr>
              <w:ind w:left="20"/>
              <w:spacing w:after="0"/>
              <w:rPr>
                <w:sz w:val="20"/>
                <w:szCs w:val="20"/>
                <w:color w:val="auto"/>
              </w:rPr>
            </w:pPr>
            <w:r>
              <w:rPr>
                <w:rFonts w:ascii="Arial" w:cs="Arial" w:eastAsia="Arial" w:hAnsi="Arial"/>
                <w:sz w:val="15"/>
                <w:szCs w:val="15"/>
                <w:color w:val="auto"/>
              </w:rPr>
              <w:t>General Counsel and Company Secretary</w:t>
            </w:r>
          </w:p>
        </w:tc>
        <w:tc>
          <w:tcPr>
            <w:tcW w:w="0" w:type="dxa"/>
            <w:vAlign w:val="bottom"/>
          </w:tcPr>
          <w:p>
            <w:pPr>
              <w:spacing w:after="0"/>
              <w:rPr>
                <w:sz w:val="1"/>
                <w:szCs w:val="1"/>
                <w:color w:val="auto"/>
              </w:rPr>
            </w:pPr>
          </w:p>
        </w:tc>
      </w:tr>
    </w:tbl>
    <w:p>
      <w:pPr>
        <w:sectPr>
          <w:pgSz w:w="11900" w:h="16838" w:orient="portrait"/>
          <w:cols w:equalWidth="0" w:num="1">
            <w:col w:w="10640"/>
          </w:cols>
          <w:pgMar w:left="320" w:top="1440" w:right="9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183964"/>
        </w:rPr>
        <w:t>Exhibit 99.1</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28 August 2025</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PureTech Health plc – Half-Year Report</w:t>
      </w:r>
    </w:p>
    <w:p>
      <w:pPr>
        <w:spacing w:after="0" w:line="288" w:lineRule="exact"/>
        <w:rPr>
          <w:sz w:val="20"/>
          <w:szCs w:val="20"/>
          <w:color w:val="auto"/>
        </w:rPr>
      </w:pPr>
    </w:p>
    <w:p>
      <w:pPr>
        <w:jc w:val="center"/>
        <w:spacing w:after="0" w:line="285" w:lineRule="auto"/>
        <w:rPr>
          <w:sz w:val="20"/>
          <w:szCs w:val="20"/>
          <w:color w:val="auto"/>
        </w:rPr>
      </w:pPr>
      <w:r>
        <w:rPr>
          <w:rFonts w:ascii="Arial" w:cs="Arial" w:eastAsia="Arial" w:hAnsi="Arial"/>
          <w:sz w:val="18"/>
          <w:szCs w:val="18"/>
          <w:i w:val="1"/>
          <w:iCs w:val="1"/>
          <w:color w:val="auto"/>
        </w:rPr>
        <w:t>Achieved meaningful progress toward key value inflection points across our diversified portfolio, with multiple programs advancing into or toward late-stage development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Launch of Celea Therapeutics continues our proven, capital-efficient model</w:t>
      </w:r>
    </w:p>
    <w:p>
      <w:pPr>
        <w:spacing w:after="0" w:line="200" w:lineRule="exact"/>
        <w:rPr>
          <w:sz w:val="20"/>
          <w:szCs w:val="20"/>
          <w:color w:val="auto"/>
        </w:rPr>
      </w:pPr>
    </w:p>
    <w:p>
      <w:pPr>
        <w:spacing w:after="0" w:line="241" w:lineRule="exact"/>
        <w:rPr>
          <w:sz w:val="20"/>
          <w:szCs w:val="20"/>
          <w:color w:val="auto"/>
        </w:rPr>
      </w:pPr>
    </w:p>
    <w:p>
      <w:pPr>
        <w:jc w:val="center"/>
        <w:spacing w:after="0" w:line="267" w:lineRule="auto"/>
        <w:rPr>
          <w:sz w:val="20"/>
          <w:szCs w:val="20"/>
          <w:color w:val="auto"/>
        </w:rPr>
      </w:pPr>
      <w:r>
        <w:rPr>
          <w:rFonts w:ascii="Arial" w:cs="Arial" w:eastAsia="Arial" w:hAnsi="Arial"/>
          <w:sz w:val="18"/>
          <w:szCs w:val="18"/>
          <w:i w:val="1"/>
          <w:iCs w:val="1"/>
          <w:color w:val="auto"/>
        </w:rPr>
        <w:t>Maintained a strong financial position with $319.6M PureTech level cash, cash equivalents and short-term investments and $319.9M Consolidated cash, cash equivalents and short-term investments as of June 30, 2025; operational runway into 2028 enables flexibility to drive early-stage innovation while evaluating opportunities for capital returns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a webcast and conference call today at 9:00am EDT / 2:00pm BST</w:t>
      </w:r>
    </w:p>
    <w:p>
      <w:pPr>
        <w:spacing w:after="0" w:line="34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PureTech Health plc (Nasdaq: PRTC, LSE: PRTC) ("PureTech" or the "Company"), a hub-and-spoke biotherapeutics company dedicated to giving life to science and transforming innovation into value, today announces its half-yearly results for the six months ended June 30, 2025. The following information will be filed on Form 6-K with the United States Securities and Exchange Commission (the "SEC") and is also available at https://investors.puretechhealth.com/financials-filings/reports.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Commenting on PureTech's half-yearly results, Robert Lyne, Interim Chief Executive Officer of PureTech, said:</w:t>
      </w:r>
    </w:p>
    <w:p>
      <w:pPr>
        <w:spacing w:after="0" w:line="32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“We entered 2025 with significant momentum, and our progress in the first half of the year further underscores the strength and breadth of our portfolio and model.</w:t>
      </w:r>
    </w:p>
    <w:p>
      <w:pPr>
        <w:spacing w:after="0" w:line="3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are refining our strategy in a way that builds on what PureTech does best: identifying and clinically de-risking high-potential programs internally and then advancing and scaling them through our Founded Entities supported by external capital. This hub-and-spoke model enables us to operate with discipline and flexibility, addressing urgent patient needs while also maintaining meaningful upside and long-term value creation for PureTech shareholders.</w:t>
      </w:r>
    </w:p>
    <w:p>
      <w:pPr>
        <w:spacing w:after="0" w:line="5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Looking ahead, our approach to capital allocation will be guided by an efficient use of cash and prioritizing spend that is truly value accretive to shareholders. Practically, this means optimizing spend on current and any new programs to reach key inflection points, after which programs can be advanced through Founded Entities or other structures with dedicated operational capacity and external financing. In many ways, this represents a return to the core strengths that have always defined PureTech – a capital-efficient engine for high-impact innovation</w:t>
      </w:r>
    </w:p>
    <w:p>
      <w:pPr>
        <w:spacing w:after="0" w:line="2" w:lineRule="exact"/>
        <w:rPr>
          <w:sz w:val="20"/>
          <w:szCs w:val="20"/>
          <w:color w:val="auto"/>
        </w:rPr>
      </w:pPr>
    </w:p>
    <w:p>
      <w:pPr>
        <w:ind w:right="1040"/>
        <w:spacing w:after="0" w:line="266" w:lineRule="auto"/>
        <w:rPr>
          <w:sz w:val="20"/>
          <w:szCs w:val="20"/>
          <w:color w:val="auto"/>
        </w:rPr>
      </w:pPr>
      <w:r>
        <w:rPr>
          <w:rFonts w:ascii="Arial" w:cs="Arial" w:eastAsia="Arial" w:hAnsi="Arial"/>
          <w:sz w:val="18"/>
          <w:szCs w:val="18"/>
          <w:color w:val="auto"/>
        </w:rPr>
        <w:t>– as demonstrated by the $1 billion in proceeds generated from Karuna and the recent launch of Celea Therapeutics to advance deupirfenidone which has delivered compelling Phase 2b data.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priorities are clear:</w:t>
      </w:r>
    </w:p>
    <w:p>
      <w:pPr>
        <w:spacing w:after="0" w:line="104" w:lineRule="exact"/>
        <w:rPr>
          <w:sz w:val="20"/>
          <w:szCs w:val="20"/>
          <w:color w:val="auto"/>
        </w:rPr>
      </w:pPr>
    </w:p>
    <w:p>
      <w:pPr>
        <w:ind w:left="220" w:right="80" w:hanging="212"/>
        <w:spacing w:after="0" w:line="256"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Advance our most promising programs with operational discipline and patient-centered urgency: This includes the recent launch of Celea Therapeutics to advance deupirfenidone, continuing the process to secure external financing, and aligning on the Phase 3 design with regulators which we remain on track to do by the end of the third quarter. We took a deliberate approach to engaging with regulatory authorities—choosing to further progress the open-label extension so we could include additional, mature data to present the strongest possible package and maximize long-term impact. As a result, we expect that the initiation of the Phase 3 trial in IPF will be in the first half of 2026. Additionally, we expect a meaningful reduction in operational expenses in 2026 as responsibility for Celea and Gallop transitions fully to their respective Founded Entities or other external structures, further reinforcing our capital-efficient model.</w:t>
      </w:r>
    </w:p>
    <w:p>
      <w:pPr>
        <w:spacing w:after="0" w:line="47" w:lineRule="exact"/>
        <w:rPr>
          <w:rFonts w:ascii="Arial" w:cs="Arial" w:eastAsia="Arial" w:hAnsi="Arial"/>
          <w:sz w:val="18"/>
          <w:szCs w:val="18"/>
          <w:color w:val="auto"/>
        </w:rPr>
      </w:pPr>
    </w:p>
    <w:p>
      <w:pPr>
        <w:ind w:left="220" w:right="160" w:hanging="212"/>
        <w:spacing w:after="0" w:line="262"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Strengthen our engagement with UK capital markets through continued focus on our LSE listing: We view our presence on the London Stock Exchange as an important part of our history and identity. PureTech has always internally developed - and therefore offered UK investors differentiated access to - some of the most innovative biopharmaceutical advances globally, including high-conviction programs like KarXT and deupirfenidone, alongside balance sheet strength and the potential for future capital returns. To further</w:t>
      </w:r>
    </w:p>
    <w:p>
      <w:pPr>
        <w:sectPr>
          <w:pgSz w:w="11900" w:h="16838" w:orient="portrait"/>
          <w:cols w:equalWidth="0" w:num="1">
            <w:col w:w="11240"/>
          </w:cols>
          <w:pgMar w:left="320" w:top="1245" w:right="339" w:bottom="1440" w:gutter="0" w:footer="0" w:header="0"/>
        </w:sectPr>
      </w:pPr>
    </w:p>
    <w:bookmarkStart w:id="4" w:name="page5"/>
    <w:bookmarkEnd w:id="4"/>
    <w:p>
      <w:pPr>
        <w:ind w:left="220" w:right="540"/>
        <w:spacing w:after="0" w:line="287" w:lineRule="auto"/>
        <w:rPr>
          <w:sz w:val="20"/>
          <w:szCs w:val="20"/>
          <w:color w:val="auto"/>
        </w:rPr>
      </w:pPr>
      <w:r>
        <w:rPr>
          <w:rFonts w:ascii="Arial" w:cs="Arial" w:eastAsia="Arial" w:hAnsi="Arial"/>
          <w:sz w:val="18"/>
          <w:szCs w:val="18"/>
          <w:color w:val="auto"/>
        </w:rPr>
        <w:t>deepen this engagement, we will be initiating a search for up to two new independent non-executive directors to include relevant UK capital markets expertise.</w:t>
      </w:r>
    </w:p>
    <w:p>
      <w:pPr>
        <w:spacing w:after="0" w:line="18" w:lineRule="exact"/>
        <w:rPr>
          <w:sz w:val="20"/>
          <w:szCs w:val="20"/>
          <w:color w:val="auto"/>
        </w:rPr>
      </w:pPr>
    </w:p>
    <w:p>
      <w:pPr>
        <w:ind w:left="220" w:right="80" w:hanging="212"/>
        <w:spacing w:after="0" w:line="25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a disciplined approach to capital allocation across three core priorities: We are focused on allocating capital in a way that supports long-term value creation—advancing future innovation with rigorous pipeline management through early “program-killing” experiments, participating in Founded Entity financings where appropriate, and considering capital returns when conditions support it. The Board continues to assess potential return mechanisms in light of business needs, program progress, and PureTech’s financial position. We expect to revisit the topic once Celea and Gallop are independently financed.</w:t>
      </w:r>
    </w:p>
    <w:p>
      <w:pPr>
        <w:spacing w:after="0" w:line="5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PureTech was built on the belief that world-class science and capital discipline can—and must—go hand in hand. That belief continues to guide us as we chart the next phase of our growth.”</w:t>
      </w:r>
    </w:p>
    <w:p>
      <w:pPr>
        <w:spacing w:after="0" w:line="355"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Webcast and conference call details</w:t>
      </w:r>
    </w:p>
    <w:p>
      <w:pPr>
        <w:spacing w:after="0" w:line="100"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Members of the PureTech management team will host a conference call at 9:00am EDT / 2:00pm BST today, August 28, 2025, to discuss these results. A live webcast and presentation slides will be available on the investors section of PureTech's website under the Events and Presentations tab. To join by phone, please dial:</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United Kingdom (Local): </w:t>
      </w:r>
      <w:r>
        <w:rPr>
          <w:rFonts w:ascii="Arial" w:cs="Arial" w:eastAsia="Arial" w:hAnsi="Arial"/>
          <w:sz w:val="15"/>
          <w:szCs w:val="15"/>
          <w:color w:val="auto"/>
        </w:rPr>
        <w:t>+44 20 3936 2999</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United Kingdom (Toll-Free): </w:t>
      </w:r>
      <w:r>
        <w:rPr>
          <w:rFonts w:ascii="Arial" w:cs="Arial" w:eastAsia="Arial" w:hAnsi="Arial"/>
          <w:sz w:val="15"/>
          <w:szCs w:val="15"/>
          <w:color w:val="auto"/>
        </w:rPr>
        <w:t>+44 808 189 0158</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United States (Local): </w:t>
      </w:r>
      <w:r>
        <w:rPr>
          <w:rFonts w:ascii="Arial" w:cs="Arial" w:eastAsia="Arial" w:hAnsi="Arial"/>
          <w:sz w:val="15"/>
          <w:szCs w:val="15"/>
          <w:color w:val="auto"/>
        </w:rPr>
        <w:t>+1 646 233 4753</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United States (Toll-Free): </w:t>
      </w:r>
      <w:r>
        <w:rPr>
          <w:rFonts w:ascii="Arial" w:cs="Arial" w:eastAsia="Arial" w:hAnsi="Arial"/>
          <w:sz w:val="15"/>
          <w:szCs w:val="15"/>
          <w:color w:val="auto"/>
        </w:rPr>
        <w:t>+1 855 979 6654</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Access Code: </w:t>
      </w:r>
      <w:r>
        <w:rPr>
          <w:rFonts w:ascii="Arial" w:cs="Arial" w:eastAsia="Arial" w:hAnsi="Arial"/>
          <w:sz w:val="15"/>
          <w:szCs w:val="15"/>
          <w:color w:val="auto"/>
        </w:rPr>
        <w:t>342371</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For those unable to listen to the call live, a replay will be available on the PureTech website.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31"/>
          <w:szCs w:val="31"/>
          <w:b w:val="1"/>
          <w:bCs w:val="1"/>
          <w:color w:val="183964"/>
        </w:rPr>
        <w:t>Portfolio</w:t>
      </w:r>
      <w:r>
        <w:rPr>
          <w:rFonts w:ascii="Arial" w:cs="Arial" w:eastAsia="Arial" w:hAnsi="Arial"/>
          <w:sz w:val="39"/>
          <w:szCs w:val="39"/>
          <w:b w:val="1"/>
          <w:bCs w:val="1"/>
          <w:color w:val="183964"/>
          <w:vertAlign w:val="superscript"/>
        </w:rPr>
        <w:t>1</w:t>
      </w:r>
      <w:r>
        <w:rPr>
          <w:rFonts w:ascii="Arial" w:cs="Arial" w:eastAsia="Arial" w:hAnsi="Arial"/>
          <w:sz w:val="31"/>
          <w:szCs w:val="31"/>
          <w:b w:val="1"/>
          <w:bCs w:val="1"/>
          <w:color w:val="183964"/>
        </w:rPr>
        <w:t xml:space="preserve"> Highlights</w:t>
      </w:r>
    </w:p>
    <w:p>
      <w:pPr>
        <w:spacing w:after="0" w:line="9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PureTech’s diversified portfolio is advanced through our capital-efficient hub-and-spoke R&amp;D model. Programs originate within PureTech and are advanced through early clinical and technical de-risking at the hub, then scaled through Founded Entities backed primarily by external capital. This approach allows us to progress high-conviction programs toward commercial readiness while retaining potential economics through equity holdings, milestones, and royalties — all while limiting PureTech’s direct development spend.</w:t>
      </w:r>
    </w:p>
    <w:p>
      <w:pPr>
        <w:spacing w:after="0" w:line="5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PureTech’s portfolio is comprised of Core Programs,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as well as Legacy Holdings,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the latter of which represent our interests in historical Founded Entities. While we maintain potential upside from our Legacy Holdings, they are not expected to be material drivers of value and are not a current focus for PureTech’s capital allocation.</w:t>
      </w:r>
    </w:p>
    <w:p>
      <w:pPr>
        <w:sectPr>
          <w:pgSz w:w="11900" w:h="16838" w:orient="portrait"/>
          <w:cols w:equalWidth="0" w:num="1">
            <w:col w:w="11240"/>
          </w:cols>
          <w:pgMar w:left="320" w:top="124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The below provides a snapshot of key highlights across the portfolio:</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80" w:type="dxa"/>
            <w:vAlign w:val="bottom"/>
          </w:tcPr>
          <w:p>
            <w:pPr>
              <w:spacing w:after="0"/>
              <w:rPr>
                <w:sz w:val="16"/>
                <w:szCs w:val="16"/>
                <w:color w:val="auto"/>
              </w:rPr>
            </w:pPr>
          </w:p>
        </w:tc>
        <w:tc>
          <w:tcPr>
            <w:tcW w:w="2200" w:type="dxa"/>
            <w:vAlign w:val="bottom"/>
          </w:tcPr>
          <w:p>
            <w:pPr>
              <w:ind w:left="80"/>
              <w:spacing w:after="0"/>
              <w:rPr>
                <w:sz w:val="20"/>
                <w:szCs w:val="20"/>
                <w:color w:val="auto"/>
              </w:rPr>
            </w:pPr>
            <w:r>
              <w:rPr>
                <w:rFonts w:ascii="Arial" w:cs="Arial" w:eastAsia="Arial" w:hAnsi="Arial"/>
                <w:sz w:val="13"/>
                <w:szCs w:val="13"/>
                <w:b w:val="1"/>
                <w:bCs w:val="1"/>
                <w:color w:val="auto"/>
              </w:rPr>
              <w:t>Economic Interest</w:t>
            </w:r>
            <w:r>
              <w:rPr>
                <w:rFonts w:ascii="Arial" w:cs="Arial" w:eastAsia="Arial" w:hAnsi="Arial"/>
                <w:sz w:val="16"/>
                <w:szCs w:val="16"/>
                <w:b w:val="1"/>
                <w:bCs w:val="1"/>
                <w:color w:val="auto"/>
                <w:vertAlign w:val="superscript"/>
              </w:rPr>
              <w:t>4</w:t>
            </w:r>
          </w:p>
        </w:tc>
        <w:tc>
          <w:tcPr>
            <w:tcW w:w="2740" w:type="dxa"/>
            <w:vAlign w:val="bottom"/>
          </w:tcPr>
          <w:p>
            <w:pPr>
              <w:ind w:left="40"/>
              <w:spacing w:after="0"/>
              <w:rPr>
                <w:sz w:val="20"/>
                <w:szCs w:val="20"/>
                <w:color w:val="auto"/>
              </w:rPr>
            </w:pPr>
            <w:r>
              <w:rPr>
                <w:rFonts w:ascii="Arial" w:cs="Arial" w:eastAsia="Arial" w:hAnsi="Arial"/>
                <w:sz w:val="13"/>
                <w:szCs w:val="13"/>
                <w:b w:val="1"/>
                <w:bCs w:val="1"/>
                <w:color w:val="auto"/>
              </w:rPr>
              <w:t>Key Highlights</w:t>
            </w:r>
          </w:p>
        </w:tc>
        <w:tc>
          <w:tcPr>
            <w:tcW w:w="3100" w:type="dxa"/>
            <w:vAlign w:val="bottom"/>
          </w:tcPr>
          <w:p>
            <w:pPr>
              <w:ind w:left="40"/>
              <w:spacing w:after="0"/>
              <w:rPr>
                <w:sz w:val="20"/>
                <w:szCs w:val="20"/>
                <w:color w:val="auto"/>
              </w:rPr>
            </w:pPr>
            <w:r>
              <w:rPr>
                <w:rFonts w:ascii="Arial" w:cs="Arial" w:eastAsia="Arial" w:hAnsi="Arial"/>
                <w:sz w:val="13"/>
                <w:szCs w:val="13"/>
                <w:b w:val="1"/>
                <w:bCs w:val="1"/>
                <w:color w:val="auto"/>
              </w:rPr>
              <w:t>Upcoming Milestones</w:t>
            </w:r>
          </w:p>
        </w:tc>
        <w:tc>
          <w:tcPr>
            <w:tcW w:w="0" w:type="dxa"/>
            <w:vAlign w:val="bottom"/>
          </w:tcPr>
          <w:p>
            <w:pPr>
              <w:spacing w:after="0"/>
              <w:rPr>
                <w:sz w:val="1"/>
                <w:szCs w:val="1"/>
                <w:color w:val="auto"/>
              </w:rPr>
            </w:pPr>
          </w:p>
        </w:tc>
      </w:tr>
      <w:tr>
        <w:trPr>
          <w:trHeight w:val="183"/>
        </w:trPr>
        <w:tc>
          <w:tcPr>
            <w:tcW w:w="2880" w:type="dxa"/>
            <w:vAlign w:val="bottom"/>
            <w:tcBorders>
              <w:bottom w:val="single" w:sz="8" w:color="001544"/>
            </w:tcBorders>
            <w:shd w:val="clear" w:color="auto" w:fill="001544"/>
          </w:tcPr>
          <w:p>
            <w:pPr>
              <w:ind w:left="20"/>
              <w:spacing w:after="0"/>
              <w:rPr>
                <w:sz w:val="20"/>
                <w:szCs w:val="20"/>
                <w:color w:val="auto"/>
              </w:rPr>
            </w:pPr>
            <w:r>
              <w:rPr>
                <w:rFonts w:ascii="Arial" w:cs="Arial" w:eastAsia="Arial" w:hAnsi="Arial"/>
                <w:sz w:val="13"/>
                <w:szCs w:val="13"/>
                <w:b w:val="1"/>
                <w:bCs w:val="1"/>
                <w:color w:val="FFFFFF"/>
              </w:rPr>
              <w:t>CORE PROGRAMS</w:t>
            </w:r>
          </w:p>
        </w:tc>
        <w:tc>
          <w:tcPr>
            <w:tcW w:w="2200" w:type="dxa"/>
            <w:vAlign w:val="bottom"/>
            <w:tcBorders>
              <w:bottom w:val="single" w:sz="8" w:color="001544"/>
            </w:tcBorders>
            <w:shd w:val="clear" w:color="auto" w:fill="001544"/>
          </w:tcPr>
          <w:p>
            <w:pPr>
              <w:spacing w:after="0"/>
              <w:rPr>
                <w:sz w:val="15"/>
                <w:szCs w:val="15"/>
                <w:color w:val="auto"/>
              </w:rPr>
            </w:pPr>
          </w:p>
        </w:tc>
        <w:tc>
          <w:tcPr>
            <w:tcW w:w="2740" w:type="dxa"/>
            <w:vAlign w:val="bottom"/>
            <w:tcBorders>
              <w:bottom w:val="single" w:sz="8" w:color="001544"/>
            </w:tcBorders>
            <w:shd w:val="clear" w:color="auto" w:fill="001544"/>
          </w:tcPr>
          <w:p>
            <w:pPr>
              <w:spacing w:after="0"/>
              <w:rPr>
                <w:sz w:val="15"/>
                <w:szCs w:val="15"/>
                <w:color w:val="auto"/>
              </w:rPr>
            </w:pPr>
          </w:p>
        </w:tc>
        <w:tc>
          <w:tcPr>
            <w:tcW w:w="3100" w:type="dxa"/>
            <w:vAlign w:val="bottom"/>
            <w:tcBorders>
              <w:bottom w:val="single" w:sz="8" w:color="001544"/>
            </w:tcBorders>
            <w:shd w:val="clear" w:color="auto" w:fill="001544"/>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880" w:type="dxa"/>
            <w:vAlign w:val="bottom"/>
          </w:tcPr>
          <w:p>
            <w:pPr>
              <w:ind w:left="20"/>
              <w:spacing w:after="0"/>
              <w:rPr>
                <w:sz w:val="20"/>
                <w:szCs w:val="20"/>
                <w:color w:val="auto"/>
              </w:rPr>
            </w:pPr>
            <w:r>
              <w:rPr>
                <w:rFonts w:ascii="Arial" w:cs="Arial" w:eastAsia="Arial" w:hAnsi="Arial"/>
                <w:sz w:val="15"/>
                <w:szCs w:val="15"/>
                <w:b w:val="1"/>
                <w:bCs w:val="1"/>
                <w:color w:val="auto"/>
              </w:rPr>
              <w:t>Celea Therapeutics:</w:t>
            </w:r>
          </w:p>
        </w:tc>
        <w:tc>
          <w:tcPr>
            <w:tcW w:w="2200" w:type="dxa"/>
            <w:vAlign w:val="bottom"/>
          </w:tcPr>
          <w:p>
            <w:pPr>
              <w:ind w:left="80"/>
              <w:spacing w:after="0"/>
              <w:rPr>
                <w:sz w:val="20"/>
                <w:szCs w:val="20"/>
                <w:color w:val="auto"/>
              </w:rPr>
            </w:pPr>
            <w:r>
              <w:rPr>
                <w:rFonts w:ascii="Arial" w:cs="Arial" w:eastAsia="Arial" w:hAnsi="Arial"/>
                <w:sz w:val="15"/>
                <w:szCs w:val="15"/>
                <w:color w:val="auto"/>
              </w:rPr>
              <w:t>100%</w:t>
            </w:r>
          </w:p>
        </w:tc>
        <w:tc>
          <w:tcPr>
            <w:tcW w:w="5840" w:type="dxa"/>
            <w:vAlign w:val="bottom"/>
            <w:gridSpan w:val="2"/>
          </w:tcPr>
          <w:p>
            <w:pPr>
              <w:ind w:left="40"/>
              <w:spacing w:after="0"/>
              <w:rPr>
                <w:sz w:val="20"/>
                <w:szCs w:val="20"/>
                <w:color w:val="auto"/>
              </w:rPr>
            </w:pPr>
            <w:r>
              <w:rPr>
                <w:rFonts w:ascii="Arial" w:cs="Arial" w:eastAsia="Arial" w:hAnsi="Arial"/>
                <w:sz w:val="15"/>
                <w:szCs w:val="15"/>
                <w:color w:val="auto"/>
              </w:rPr>
              <w:t>•  Launched to advance deupirfenidone •  FDA meeting to align on Phase 3 design</w:t>
            </w:r>
          </w:p>
        </w:tc>
        <w:tc>
          <w:tcPr>
            <w:tcW w:w="0" w:type="dxa"/>
            <w:vAlign w:val="bottom"/>
          </w:tcPr>
          <w:p>
            <w:pPr>
              <w:spacing w:after="0"/>
              <w:rPr>
                <w:sz w:val="1"/>
                <w:szCs w:val="1"/>
                <w:color w:val="auto"/>
              </w:rPr>
            </w:pPr>
          </w:p>
        </w:tc>
      </w:tr>
      <w:tr>
        <w:trPr>
          <w:trHeight w:val="175"/>
        </w:trPr>
        <w:tc>
          <w:tcPr>
            <w:tcW w:w="2880" w:type="dxa"/>
            <w:vAlign w:val="bottom"/>
            <w:vMerge w:val="restart"/>
          </w:tcPr>
          <w:p>
            <w:pPr>
              <w:ind w:left="20"/>
              <w:spacing w:after="0"/>
              <w:rPr>
                <w:sz w:val="20"/>
                <w:szCs w:val="20"/>
                <w:color w:val="auto"/>
              </w:rPr>
            </w:pPr>
            <w:r>
              <w:rPr>
                <w:rFonts w:ascii="Arial" w:cs="Arial" w:eastAsia="Arial" w:hAnsi="Arial"/>
                <w:sz w:val="15"/>
                <w:szCs w:val="15"/>
                <w:color w:val="auto"/>
              </w:rPr>
              <w:t>Delivering transformative treatments for</w:t>
            </w:r>
          </w:p>
        </w:tc>
        <w:tc>
          <w:tcPr>
            <w:tcW w:w="2200" w:type="dxa"/>
            <w:vAlign w:val="bottom"/>
          </w:tcPr>
          <w:p>
            <w:pPr>
              <w:spacing w:after="0"/>
              <w:rPr>
                <w:sz w:val="15"/>
                <w:szCs w:val="15"/>
                <w:color w:val="auto"/>
              </w:rPr>
            </w:pPr>
          </w:p>
        </w:tc>
        <w:tc>
          <w:tcPr>
            <w:tcW w:w="2740" w:type="dxa"/>
            <w:vAlign w:val="bottom"/>
          </w:tcPr>
          <w:p>
            <w:pPr>
              <w:ind w:left="240"/>
              <w:spacing w:after="0"/>
              <w:rPr>
                <w:sz w:val="20"/>
                <w:szCs w:val="20"/>
                <w:color w:val="auto"/>
              </w:rPr>
            </w:pPr>
            <w:r>
              <w:rPr>
                <w:rFonts w:ascii="Arial" w:cs="Arial" w:eastAsia="Arial" w:hAnsi="Arial"/>
                <w:sz w:val="15"/>
                <w:szCs w:val="15"/>
                <w:color w:val="auto"/>
              </w:rPr>
              <w:t>(LYT-100)</w:t>
            </w:r>
          </w:p>
        </w:tc>
        <w:tc>
          <w:tcPr>
            <w:tcW w:w="3100" w:type="dxa"/>
            <w:vAlign w:val="bottom"/>
          </w:tcPr>
          <w:p>
            <w:pPr>
              <w:ind w:left="260"/>
              <w:spacing w:after="0"/>
              <w:rPr>
                <w:sz w:val="20"/>
                <w:szCs w:val="20"/>
                <w:color w:val="auto"/>
              </w:rPr>
            </w:pPr>
            <w:r>
              <w:rPr>
                <w:rFonts w:ascii="Arial" w:cs="Arial" w:eastAsia="Arial" w:hAnsi="Arial"/>
                <w:sz w:val="15"/>
                <w:szCs w:val="15"/>
                <w:color w:val="auto"/>
              </w:rPr>
              <w:t>by end of Q3 ‘25</w:t>
            </w:r>
          </w:p>
        </w:tc>
        <w:tc>
          <w:tcPr>
            <w:tcW w:w="0" w:type="dxa"/>
            <w:vAlign w:val="bottom"/>
          </w:tcPr>
          <w:p>
            <w:pPr>
              <w:spacing w:after="0"/>
              <w:rPr>
                <w:sz w:val="1"/>
                <w:szCs w:val="1"/>
                <w:color w:val="auto"/>
              </w:rPr>
            </w:pPr>
          </w:p>
        </w:tc>
      </w:tr>
      <w:tr>
        <w:trPr>
          <w:trHeight w:val="95"/>
        </w:trPr>
        <w:tc>
          <w:tcPr>
            <w:tcW w:w="2880" w:type="dxa"/>
            <w:vAlign w:val="bottom"/>
            <w:vMerge w:val="continue"/>
          </w:tcPr>
          <w:p>
            <w:pPr>
              <w:spacing w:after="0"/>
              <w:rPr>
                <w:sz w:val="8"/>
                <w:szCs w:val="8"/>
                <w:color w:val="auto"/>
              </w:rPr>
            </w:pPr>
          </w:p>
        </w:tc>
        <w:tc>
          <w:tcPr>
            <w:tcW w:w="2200" w:type="dxa"/>
            <w:vAlign w:val="bottom"/>
          </w:tcPr>
          <w:p>
            <w:pPr>
              <w:spacing w:after="0"/>
              <w:rPr>
                <w:sz w:val="8"/>
                <w:szCs w:val="8"/>
                <w:color w:val="auto"/>
              </w:rPr>
            </w:pPr>
          </w:p>
        </w:tc>
        <w:tc>
          <w:tcPr>
            <w:tcW w:w="2740" w:type="dxa"/>
            <w:vAlign w:val="bottom"/>
            <w:vMerge w:val="restart"/>
          </w:tcPr>
          <w:p>
            <w:pPr>
              <w:ind w:left="40"/>
              <w:spacing w:after="0"/>
              <w:rPr>
                <w:sz w:val="20"/>
                <w:szCs w:val="20"/>
                <w:color w:val="auto"/>
              </w:rPr>
            </w:pPr>
            <w:r>
              <w:rPr>
                <w:rFonts w:ascii="Arial" w:cs="Arial" w:eastAsia="Arial" w:hAnsi="Arial"/>
                <w:sz w:val="15"/>
                <w:szCs w:val="15"/>
                <w:color w:val="auto"/>
              </w:rPr>
              <w:t>•  Sven Dethlefs, PhD appointed to</w:t>
            </w:r>
          </w:p>
        </w:tc>
        <w:tc>
          <w:tcPr>
            <w:tcW w:w="3100" w:type="dxa"/>
            <w:vAlign w:val="bottom"/>
            <w:vMerge w:val="restart"/>
          </w:tcPr>
          <w:p>
            <w:pPr>
              <w:ind w:left="40"/>
              <w:spacing w:after="0"/>
              <w:rPr>
                <w:sz w:val="20"/>
                <w:szCs w:val="20"/>
                <w:color w:val="auto"/>
              </w:rPr>
            </w:pPr>
            <w:r>
              <w:rPr>
                <w:rFonts w:ascii="Arial" w:cs="Arial" w:eastAsia="Arial" w:hAnsi="Arial"/>
                <w:sz w:val="15"/>
                <w:szCs w:val="15"/>
                <w:color w:val="auto"/>
              </w:rPr>
              <w:t>•  Additional OLE data in Sep. ‘25 at the</w:t>
            </w:r>
          </w:p>
        </w:tc>
        <w:tc>
          <w:tcPr>
            <w:tcW w:w="0" w:type="dxa"/>
            <w:vAlign w:val="bottom"/>
          </w:tcPr>
          <w:p>
            <w:pPr>
              <w:spacing w:after="0"/>
              <w:rPr>
                <w:sz w:val="1"/>
                <w:szCs w:val="1"/>
                <w:color w:val="auto"/>
              </w:rPr>
            </w:pPr>
          </w:p>
        </w:tc>
      </w:tr>
      <w:tr>
        <w:trPr>
          <w:trHeight w:val="94"/>
        </w:trPr>
        <w:tc>
          <w:tcPr>
            <w:tcW w:w="2880" w:type="dxa"/>
            <w:vAlign w:val="bottom"/>
            <w:vMerge w:val="restart"/>
          </w:tcPr>
          <w:p>
            <w:pPr>
              <w:ind w:left="20"/>
              <w:spacing w:after="0"/>
              <w:rPr>
                <w:sz w:val="20"/>
                <w:szCs w:val="20"/>
                <w:color w:val="auto"/>
              </w:rPr>
            </w:pPr>
            <w:r>
              <w:rPr>
                <w:rFonts w:ascii="Arial" w:cs="Arial" w:eastAsia="Arial" w:hAnsi="Arial"/>
                <w:sz w:val="15"/>
                <w:szCs w:val="15"/>
                <w:color w:val="auto"/>
              </w:rPr>
              <w:t>people with serious respiratory diseases.</w:t>
            </w:r>
          </w:p>
        </w:tc>
        <w:tc>
          <w:tcPr>
            <w:tcW w:w="220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3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880" w:type="dxa"/>
            <w:vAlign w:val="bottom"/>
            <w:vMerge w:val="continue"/>
          </w:tcPr>
          <w:p>
            <w:pPr>
              <w:spacing w:after="0"/>
              <w:rPr>
                <w:sz w:val="9"/>
                <w:szCs w:val="9"/>
                <w:color w:val="auto"/>
              </w:rPr>
            </w:pPr>
          </w:p>
        </w:tc>
        <w:tc>
          <w:tcPr>
            <w:tcW w:w="2200" w:type="dxa"/>
            <w:vAlign w:val="bottom"/>
          </w:tcPr>
          <w:p>
            <w:pPr>
              <w:spacing w:after="0"/>
              <w:rPr>
                <w:sz w:val="9"/>
                <w:szCs w:val="9"/>
                <w:color w:val="auto"/>
              </w:rPr>
            </w:pPr>
          </w:p>
        </w:tc>
        <w:tc>
          <w:tcPr>
            <w:tcW w:w="2740" w:type="dxa"/>
            <w:vAlign w:val="bottom"/>
            <w:vMerge w:val="restart"/>
          </w:tcPr>
          <w:p>
            <w:pPr>
              <w:ind w:left="240"/>
              <w:spacing w:after="0"/>
              <w:rPr>
                <w:sz w:val="20"/>
                <w:szCs w:val="20"/>
                <w:color w:val="auto"/>
              </w:rPr>
            </w:pPr>
            <w:r>
              <w:rPr>
                <w:rFonts w:ascii="Arial" w:cs="Arial" w:eastAsia="Arial" w:hAnsi="Arial"/>
                <w:sz w:val="15"/>
                <w:szCs w:val="15"/>
                <w:color w:val="auto"/>
              </w:rPr>
              <w:t>lead</w:t>
            </w:r>
          </w:p>
        </w:tc>
        <w:tc>
          <w:tcPr>
            <w:tcW w:w="3100" w:type="dxa"/>
            <w:vAlign w:val="bottom"/>
            <w:vMerge w:val="restart"/>
          </w:tcPr>
          <w:p>
            <w:pPr>
              <w:ind w:left="260"/>
              <w:spacing w:after="0"/>
              <w:rPr>
                <w:sz w:val="20"/>
                <w:szCs w:val="20"/>
                <w:color w:val="auto"/>
              </w:rPr>
            </w:pPr>
            <w:r>
              <w:rPr>
                <w:rFonts w:ascii="Arial" w:cs="Arial" w:eastAsia="Arial" w:hAnsi="Arial"/>
                <w:sz w:val="15"/>
                <w:szCs w:val="15"/>
                <w:color w:val="auto"/>
              </w:rPr>
              <w:t>European Respiratory Society</w:t>
            </w:r>
          </w:p>
        </w:tc>
        <w:tc>
          <w:tcPr>
            <w:tcW w:w="0" w:type="dxa"/>
            <w:vAlign w:val="bottom"/>
          </w:tcPr>
          <w:p>
            <w:pPr>
              <w:spacing w:after="0"/>
              <w:rPr>
                <w:sz w:val="1"/>
                <w:szCs w:val="1"/>
                <w:color w:val="auto"/>
              </w:rPr>
            </w:pPr>
          </w:p>
        </w:tc>
      </w:tr>
      <w:tr>
        <w:trPr>
          <w:trHeight w:val="83"/>
        </w:trPr>
        <w:tc>
          <w:tcPr>
            <w:tcW w:w="28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8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740" w:type="dxa"/>
            <w:vAlign w:val="bottom"/>
          </w:tcPr>
          <w:p>
            <w:pPr>
              <w:ind w:left="40"/>
              <w:spacing w:after="0"/>
              <w:rPr>
                <w:sz w:val="20"/>
                <w:szCs w:val="20"/>
                <w:color w:val="auto"/>
              </w:rPr>
            </w:pPr>
            <w:r>
              <w:rPr>
                <w:rFonts w:ascii="Arial" w:cs="Arial" w:eastAsia="Arial" w:hAnsi="Arial"/>
                <w:sz w:val="15"/>
                <w:szCs w:val="15"/>
                <w:color w:val="auto"/>
              </w:rPr>
              <w:t>•  New Phase 2b data presented at the</w:t>
            </w:r>
          </w:p>
        </w:tc>
        <w:tc>
          <w:tcPr>
            <w:tcW w:w="3100" w:type="dxa"/>
            <w:vAlign w:val="bottom"/>
          </w:tcPr>
          <w:p>
            <w:pPr>
              <w:ind w:left="260"/>
              <w:spacing w:after="0"/>
              <w:rPr>
                <w:sz w:val="20"/>
                <w:szCs w:val="20"/>
                <w:color w:val="auto"/>
              </w:rPr>
            </w:pPr>
            <w:r>
              <w:rPr>
                <w:rFonts w:ascii="Arial" w:cs="Arial" w:eastAsia="Arial" w:hAnsi="Arial"/>
                <w:sz w:val="15"/>
                <w:szCs w:val="15"/>
                <w:color w:val="auto"/>
              </w:rPr>
              <w:t>Conference</w:t>
            </w: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40" w:type="dxa"/>
            <w:vAlign w:val="bottom"/>
          </w:tcPr>
          <w:p>
            <w:pPr>
              <w:ind w:left="240"/>
              <w:spacing w:after="0"/>
              <w:rPr>
                <w:sz w:val="20"/>
                <w:szCs w:val="20"/>
                <w:color w:val="auto"/>
              </w:rPr>
            </w:pPr>
            <w:r>
              <w:rPr>
                <w:rFonts w:ascii="Arial" w:cs="Arial" w:eastAsia="Arial" w:hAnsi="Arial"/>
                <w:sz w:val="15"/>
                <w:szCs w:val="15"/>
                <w:color w:val="auto"/>
              </w:rPr>
              <w:t>American Thoracic Society</w:t>
            </w:r>
          </w:p>
        </w:tc>
        <w:tc>
          <w:tcPr>
            <w:tcW w:w="3100" w:type="dxa"/>
            <w:vAlign w:val="bottom"/>
          </w:tcPr>
          <w:p>
            <w:pPr>
              <w:ind w:left="40"/>
              <w:spacing w:after="0"/>
              <w:rPr>
                <w:sz w:val="20"/>
                <w:szCs w:val="20"/>
                <w:color w:val="auto"/>
              </w:rPr>
            </w:pPr>
            <w:r>
              <w:rPr>
                <w:rFonts w:ascii="Arial" w:cs="Arial" w:eastAsia="Arial" w:hAnsi="Arial"/>
                <w:sz w:val="15"/>
                <w:szCs w:val="15"/>
                <w:color w:val="auto"/>
              </w:rPr>
              <w:t>•  Phase 3 initiation H1 ‘26</w:t>
            </w:r>
          </w:p>
        </w:tc>
        <w:tc>
          <w:tcPr>
            <w:tcW w:w="0" w:type="dxa"/>
            <w:vAlign w:val="bottom"/>
          </w:tcPr>
          <w:p>
            <w:pPr>
              <w:spacing w:after="0"/>
              <w:rPr>
                <w:sz w:val="1"/>
                <w:szCs w:val="1"/>
                <w:color w:val="auto"/>
              </w:rPr>
            </w:pPr>
          </w:p>
        </w:tc>
      </w:tr>
      <w:tr>
        <w:trPr>
          <w:trHeight w:val="213"/>
        </w:trPr>
        <w:tc>
          <w:tcPr>
            <w:tcW w:w="2880" w:type="dxa"/>
            <w:vAlign w:val="bottom"/>
            <w:tcBorders>
              <w:bottom w:val="single" w:sz="8" w:color="001544"/>
            </w:tcBorders>
          </w:tcPr>
          <w:p>
            <w:pPr>
              <w:spacing w:after="0"/>
              <w:rPr>
                <w:sz w:val="18"/>
                <w:szCs w:val="18"/>
                <w:color w:val="auto"/>
              </w:rPr>
            </w:pPr>
          </w:p>
        </w:tc>
        <w:tc>
          <w:tcPr>
            <w:tcW w:w="2200" w:type="dxa"/>
            <w:vAlign w:val="bottom"/>
            <w:tcBorders>
              <w:bottom w:val="single" w:sz="8" w:color="001544"/>
            </w:tcBorders>
          </w:tcPr>
          <w:p>
            <w:pPr>
              <w:spacing w:after="0"/>
              <w:rPr>
                <w:sz w:val="18"/>
                <w:szCs w:val="18"/>
                <w:color w:val="auto"/>
              </w:rPr>
            </w:pPr>
          </w:p>
        </w:tc>
        <w:tc>
          <w:tcPr>
            <w:tcW w:w="2740" w:type="dxa"/>
            <w:vAlign w:val="bottom"/>
            <w:tcBorders>
              <w:bottom w:val="single" w:sz="8" w:color="001544"/>
            </w:tcBorders>
          </w:tcPr>
          <w:p>
            <w:pPr>
              <w:ind w:left="240"/>
              <w:spacing w:after="0"/>
              <w:rPr>
                <w:sz w:val="20"/>
                <w:szCs w:val="20"/>
                <w:color w:val="auto"/>
              </w:rPr>
            </w:pPr>
            <w:r>
              <w:rPr>
                <w:rFonts w:ascii="Arial" w:cs="Arial" w:eastAsia="Arial" w:hAnsi="Arial"/>
                <w:sz w:val="15"/>
                <w:szCs w:val="15"/>
                <w:color w:val="auto"/>
              </w:rPr>
              <w:t>Conference</w:t>
            </w:r>
          </w:p>
        </w:tc>
        <w:tc>
          <w:tcPr>
            <w:tcW w:w="3100" w:type="dxa"/>
            <w:vAlign w:val="bottom"/>
            <w:tcBorders>
              <w:bottom w:val="single" w:sz="8" w:color="001544"/>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80" w:type="dxa"/>
            <w:vAlign w:val="bottom"/>
          </w:tcPr>
          <w:p>
            <w:pPr>
              <w:ind w:left="20"/>
              <w:spacing w:after="0"/>
              <w:rPr>
                <w:sz w:val="20"/>
                <w:szCs w:val="20"/>
                <w:color w:val="auto"/>
              </w:rPr>
            </w:pPr>
            <w:r>
              <w:rPr>
                <w:rFonts w:ascii="Arial" w:cs="Arial" w:eastAsia="Arial" w:hAnsi="Arial"/>
                <w:sz w:val="15"/>
                <w:szCs w:val="15"/>
                <w:b w:val="1"/>
                <w:bCs w:val="1"/>
                <w:color w:val="auto"/>
              </w:rPr>
              <w:t>Gallop Oncology:</w:t>
            </w:r>
          </w:p>
        </w:tc>
        <w:tc>
          <w:tcPr>
            <w:tcW w:w="2200" w:type="dxa"/>
            <w:vAlign w:val="bottom"/>
          </w:tcPr>
          <w:p>
            <w:pPr>
              <w:ind w:left="80"/>
              <w:spacing w:after="0"/>
              <w:rPr>
                <w:sz w:val="20"/>
                <w:szCs w:val="20"/>
                <w:color w:val="auto"/>
              </w:rPr>
            </w:pPr>
            <w:r>
              <w:rPr>
                <w:rFonts w:ascii="Arial" w:cs="Arial" w:eastAsia="Arial" w:hAnsi="Arial"/>
                <w:sz w:val="15"/>
                <w:szCs w:val="15"/>
                <w:color w:val="auto"/>
              </w:rPr>
              <w:t>100%</w:t>
            </w:r>
          </w:p>
        </w:tc>
        <w:tc>
          <w:tcPr>
            <w:tcW w:w="2740" w:type="dxa"/>
            <w:vAlign w:val="bottom"/>
          </w:tcPr>
          <w:p>
            <w:pPr>
              <w:ind w:left="40"/>
              <w:spacing w:after="0"/>
              <w:rPr>
                <w:sz w:val="20"/>
                <w:szCs w:val="20"/>
                <w:color w:val="auto"/>
              </w:rPr>
            </w:pPr>
            <w:r>
              <w:rPr>
                <w:rFonts w:ascii="Arial" w:cs="Arial" w:eastAsia="Arial" w:hAnsi="Arial"/>
                <w:sz w:val="15"/>
                <w:szCs w:val="15"/>
                <w:color w:val="auto"/>
              </w:rPr>
              <w:t>•  New positive data in ongoing Phase</w:t>
            </w:r>
          </w:p>
        </w:tc>
        <w:tc>
          <w:tcPr>
            <w:tcW w:w="3100" w:type="dxa"/>
            <w:vAlign w:val="bottom"/>
          </w:tcPr>
          <w:p>
            <w:pPr>
              <w:ind w:left="40"/>
              <w:spacing w:after="0"/>
              <w:rPr>
                <w:sz w:val="20"/>
                <w:szCs w:val="20"/>
                <w:color w:val="auto"/>
              </w:rPr>
            </w:pPr>
            <w:r>
              <w:rPr>
                <w:rFonts w:ascii="Arial" w:cs="Arial" w:eastAsia="Arial" w:hAnsi="Arial"/>
                <w:sz w:val="15"/>
                <w:szCs w:val="15"/>
                <w:color w:val="auto"/>
              </w:rPr>
              <w:t>•  Topline Phase 1b data Q4 ‘25</w:t>
            </w:r>
          </w:p>
        </w:tc>
        <w:tc>
          <w:tcPr>
            <w:tcW w:w="0" w:type="dxa"/>
            <w:vAlign w:val="bottom"/>
          </w:tcPr>
          <w:p>
            <w:pPr>
              <w:spacing w:after="0"/>
              <w:rPr>
                <w:sz w:val="1"/>
                <w:szCs w:val="1"/>
                <w:color w:val="auto"/>
              </w:rPr>
            </w:pPr>
          </w:p>
        </w:tc>
      </w:tr>
      <w:tr>
        <w:trPr>
          <w:trHeight w:val="175"/>
        </w:trPr>
        <w:tc>
          <w:tcPr>
            <w:tcW w:w="2880" w:type="dxa"/>
            <w:vAlign w:val="bottom"/>
            <w:vMerge w:val="restart"/>
          </w:tcPr>
          <w:p>
            <w:pPr>
              <w:ind w:left="20"/>
              <w:spacing w:after="0"/>
              <w:rPr>
                <w:sz w:val="20"/>
                <w:szCs w:val="20"/>
                <w:color w:val="auto"/>
              </w:rPr>
            </w:pPr>
            <w:r>
              <w:rPr>
                <w:rFonts w:ascii="Arial" w:cs="Arial" w:eastAsia="Arial" w:hAnsi="Arial"/>
                <w:sz w:val="15"/>
                <w:szCs w:val="15"/>
                <w:color w:val="auto"/>
              </w:rPr>
              <w:t>Pioneering novel therapies for the</w:t>
            </w:r>
          </w:p>
        </w:tc>
        <w:tc>
          <w:tcPr>
            <w:tcW w:w="2200" w:type="dxa"/>
            <w:vAlign w:val="bottom"/>
          </w:tcPr>
          <w:p>
            <w:pPr>
              <w:spacing w:after="0"/>
              <w:rPr>
                <w:sz w:val="15"/>
                <w:szCs w:val="15"/>
                <w:color w:val="auto"/>
              </w:rPr>
            </w:pPr>
          </w:p>
        </w:tc>
        <w:tc>
          <w:tcPr>
            <w:tcW w:w="2740" w:type="dxa"/>
            <w:vAlign w:val="bottom"/>
          </w:tcPr>
          <w:p>
            <w:pPr>
              <w:ind w:left="240"/>
              <w:spacing w:after="0"/>
              <w:rPr>
                <w:sz w:val="20"/>
                <w:szCs w:val="20"/>
                <w:color w:val="auto"/>
              </w:rPr>
            </w:pPr>
            <w:r>
              <w:rPr>
                <w:rFonts w:ascii="Arial" w:cs="Arial" w:eastAsia="Arial" w:hAnsi="Arial"/>
                <w:sz w:val="15"/>
                <w:szCs w:val="15"/>
                <w:color w:val="auto"/>
              </w:rPr>
              <w:t>1b trial of LYT-200 as monotherapy</w:t>
            </w: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80" w:type="dxa"/>
            <w:vAlign w:val="bottom"/>
            <w:vMerge w:val="continue"/>
          </w:tcPr>
          <w:p>
            <w:pPr>
              <w:spacing w:after="0"/>
              <w:rPr>
                <w:sz w:val="8"/>
                <w:szCs w:val="8"/>
                <w:color w:val="auto"/>
              </w:rPr>
            </w:pPr>
          </w:p>
        </w:tc>
        <w:tc>
          <w:tcPr>
            <w:tcW w:w="2200" w:type="dxa"/>
            <w:vAlign w:val="bottom"/>
          </w:tcPr>
          <w:p>
            <w:pPr>
              <w:spacing w:after="0"/>
              <w:rPr>
                <w:sz w:val="8"/>
                <w:szCs w:val="8"/>
                <w:color w:val="auto"/>
              </w:rPr>
            </w:pPr>
          </w:p>
        </w:tc>
        <w:tc>
          <w:tcPr>
            <w:tcW w:w="2740" w:type="dxa"/>
            <w:vAlign w:val="bottom"/>
            <w:vMerge w:val="restart"/>
          </w:tcPr>
          <w:p>
            <w:pPr>
              <w:ind w:left="240"/>
              <w:spacing w:after="0"/>
              <w:rPr>
                <w:sz w:val="20"/>
                <w:szCs w:val="20"/>
                <w:color w:val="auto"/>
              </w:rPr>
            </w:pPr>
            <w:r>
              <w:rPr>
                <w:rFonts w:ascii="Arial" w:cs="Arial" w:eastAsia="Arial" w:hAnsi="Arial"/>
                <w:sz w:val="15"/>
                <w:szCs w:val="15"/>
                <w:color w:val="auto"/>
              </w:rPr>
              <w:t>and in combo with venetoclax/HMA</w:t>
            </w: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880" w:type="dxa"/>
            <w:vAlign w:val="bottom"/>
            <w:vMerge w:val="restart"/>
          </w:tcPr>
          <w:p>
            <w:pPr>
              <w:ind w:left="20"/>
              <w:spacing w:after="0"/>
              <w:rPr>
                <w:sz w:val="20"/>
                <w:szCs w:val="20"/>
                <w:color w:val="auto"/>
              </w:rPr>
            </w:pPr>
            <w:r>
              <w:rPr>
                <w:rFonts w:ascii="Arial" w:cs="Arial" w:eastAsia="Arial" w:hAnsi="Arial"/>
                <w:sz w:val="15"/>
                <w:szCs w:val="15"/>
                <w:color w:val="auto"/>
              </w:rPr>
              <w:t>treatment of hematological malignancies</w:t>
            </w:r>
          </w:p>
        </w:tc>
        <w:tc>
          <w:tcPr>
            <w:tcW w:w="220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880" w:type="dxa"/>
            <w:vAlign w:val="bottom"/>
            <w:vMerge w:val="continue"/>
          </w:tcPr>
          <w:p>
            <w:pPr>
              <w:spacing w:after="0"/>
              <w:rPr>
                <w:sz w:val="8"/>
                <w:szCs w:val="8"/>
                <w:color w:val="auto"/>
              </w:rPr>
            </w:pPr>
          </w:p>
        </w:tc>
        <w:tc>
          <w:tcPr>
            <w:tcW w:w="2200" w:type="dxa"/>
            <w:vAlign w:val="bottom"/>
          </w:tcPr>
          <w:p>
            <w:pPr>
              <w:spacing w:after="0"/>
              <w:rPr>
                <w:sz w:val="8"/>
                <w:szCs w:val="8"/>
                <w:color w:val="auto"/>
              </w:rPr>
            </w:pPr>
          </w:p>
        </w:tc>
        <w:tc>
          <w:tcPr>
            <w:tcW w:w="2740" w:type="dxa"/>
            <w:vAlign w:val="bottom"/>
            <w:vMerge w:val="restart"/>
          </w:tcPr>
          <w:p>
            <w:pPr>
              <w:ind w:left="40"/>
              <w:spacing w:after="0"/>
              <w:rPr>
                <w:sz w:val="20"/>
                <w:szCs w:val="20"/>
                <w:color w:val="auto"/>
              </w:rPr>
            </w:pPr>
            <w:r>
              <w:rPr>
                <w:rFonts w:ascii="Arial" w:cs="Arial" w:eastAsia="Arial" w:hAnsi="Arial"/>
                <w:sz w:val="15"/>
                <w:szCs w:val="15"/>
                <w:color w:val="auto"/>
              </w:rPr>
              <w:t>•  Granted FDA Fast Track for AML</w:t>
            </w: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880" w:type="dxa"/>
            <w:vAlign w:val="bottom"/>
            <w:vMerge w:val="restart"/>
          </w:tcPr>
          <w:p>
            <w:pPr>
              <w:ind w:left="20"/>
              <w:spacing w:after="0"/>
              <w:rPr>
                <w:sz w:val="20"/>
                <w:szCs w:val="20"/>
                <w:color w:val="auto"/>
              </w:rPr>
            </w:pPr>
            <w:r>
              <w:rPr>
                <w:rFonts w:ascii="Arial" w:cs="Arial" w:eastAsia="Arial" w:hAnsi="Arial"/>
                <w:sz w:val="15"/>
                <w:szCs w:val="15"/>
                <w:color w:val="auto"/>
              </w:rPr>
              <w:t>and solid tumors</w:t>
            </w:r>
          </w:p>
        </w:tc>
        <w:tc>
          <w:tcPr>
            <w:tcW w:w="220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80" w:type="dxa"/>
            <w:vAlign w:val="bottom"/>
            <w:tcBorders>
              <w:bottom w:val="single" w:sz="8" w:color="001544"/>
            </w:tcBorders>
            <w:vMerge w:val="continue"/>
          </w:tcPr>
          <w:p>
            <w:pPr>
              <w:spacing w:after="0"/>
              <w:rPr>
                <w:sz w:val="9"/>
                <w:szCs w:val="9"/>
                <w:color w:val="auto"/>
              </w:rPr>
            </w:pPr>
          </w:p>
        </w:tc>
        <w:tc>
          <w:tcPr>
            <w:tcW w:w="2200" w:type="dxa"/>
            <w:vAlign w:val="bottom"/>
            <w:tcBorders>
              <w:bottom w:val="single" w:sz="8" w:color="001544"/>
            </w:tcBorders>
          </w:tcPr>
          <w:p>
            <w:pPr>
              <w:spacing w:after="0"/>
              <w:rPr>
                <w:sz w:val="9"/>
                <w:szCs w:val="9"/>
                <w:color w:val="auto"/>
              </w:rPr>
            </w:pPr>
          </w:p>
        </w:tc>
        <w:tc>
          <w:tcPr>
            <w:tcW w:w="2740" w:type="dxa"/>
            <w:vAlign w:val="bottom"/>
            <w:tcBorders>
              <w:bottom w:val="single" w:sz="8" w:color="001544"/>
            </w:tcBorders>
          </w:tcPr>
          <w:p>
            <w:pPr>
              <w:spacing w:after="0"/>
              <w:rPr>
                <w:sz w:val="9"/>
                <w:szCs w:val="9"/>
                <w:color w:val="auto"/>
              </w:rPr>
            </w:pPr>
          </w:p>
        </w:tc>
        <w:tc>
          <w:tcPr>
            <w:tcW w:w="3100" w:type="dxa"/>
            <w:vAlign w:val="bottom"/>
            <w:tcBorders>
              <w:bottom w:val="single" w:sz="8" w:color="001544"/>
            </w:tcBorders>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880" w:type="dxa"/>
            <w:vAlign w:val="bottom"/>
          </w:tcPr>
          <w:p>
            <w:pPr>
              <w:ind w:left="20"/>
              <w:spacing w:after="0"/>
              <w:rPr>
                <w:sz w:val="20"/>
                <w:szCs w:val="20"/>
                <w:color w:val="auto"/>
              </w:rPr>
            </w:pPr>
            <w:r>
              <w:rPr>
                <w:rFonts w:ascii="Arial" w:cs="Arial" w:eastAsia="Arial" w:hAnsi="Arial"/>
                <w:sz w:val="15"/>
                <w:szCs w:val="15"/>
                <w:b w:val="1"/>
                <w:bCs w:val="1"/>
                <w:color w:val="auto"/>
              </w:rPr>
              <w:t>Seaport Therapeutics:</w:t>
            </w:r>
          </w:p>
        </w:tc>
        <w:tc>
          <w:tcPr>
            <w:tcW w:w="2200" w:type="dxa"/>
            <w:vAlign w:val="bottom"/>
          </w:tcPr>
          <w:p>
            <w:pPr>
              <w:ind w:left="80"/>
              <w:spacing w:after="0"/>
              <w:rPr>
                <w:sz w:val="20"/>
                <w:szCs w:val="20"/>
                <w:color w:val="auto"/>
              </w:rPr>
            </w:pPr>
            <w:r>
              <w:rPr>
                <w:rFonts w:ascii="Arial" w:cs="Arial" w:eastAsia="Arial" w:hAnsi="Arial"/>
                <w:sz w:val="15"/>
                <w:szCs w:val="15"/>
                <w:color w:val="auto"/>
              </w:rPr>
              <w:t>35.1% Equity</w:t>
            </w:r>
          </w:p>
        </w:tc>
        <w:tc>
          <w:tcPr>
            <w:tcW w:w="2740" w:type="dxa"/>
            <w:vAlign w:val="bottom"/>
          </w:tcPr>
          <w:p>
            <w:pPr>
              <w:ind w:left="40"/>
              <w:spacing w:after="0"/>
              <w:rPr>
                <w:sz w:val="20"/>
                <w:szCs w:val="20"/>
                <w:color w:val="auto"/>
              </w:rPr>
            </w:pPr>
            <w:r>
              <w:rPr>
                <w:rFonts w:ascii="Arial" w:cs="Arial" w:eastAsia="Arial" w:hAnsi="Arial"/>
                <w:sz w:val="15"/>
                <w:szCs w:val="15"/>
                <w:color w:val="auto"/>
              </w:rPr>
              <w:t>•  First patient dosed in Phase 2b</w:t>
            </w:r>
          </w:p>
        </w:tc>
        <w:tc>
          <w:tcPr>
            <w:tcW w:w="3100" w:type="dxa"/>
            <w:vAlign w:val="bottom"/>
          </w:tcPr>
          <w:p>
            <w:pPr>
              <w:ind w:left="40"/>
              <w:spacing w:after="0"/>
              <w:rPr>
                <w:sz w:val="20"/>
                <w:szCs w:val="20"/>
                <w:color w:val="auto"/>
              </w:rPr>
            </w:pPr>
            <w:r>
              <w:rPr>
                <w:rFonts w:ascii="Arial" w:cs="Arial" w:eastAsia="Arial" w:hAnsi="Arial"/>
                <w:sz w:val="15"/>
                <w:szCs w:val="15"/>
                <w:color w:val="auto"/>
              </w:rPr>
              <w:t>•  Initiation of a Phase 1 study of</w:t>
            </w:r>
          </w:p>
        </w:tc>
        <w:tc>
          <w:tcPr>
            <w:tcW w:w="0" w:type="dxa"/>
            <w:vAlign w:val="bottom"/>
          </w:tcPr>
          <w:p>
            <w:pPr>
              <w:spacing w:after="0"/>
              <w:rPr>
                <w:sz w:val="1"/>
                <w:szCs w:val="1"/>
                <w:color w:val="auto"/>
              </w:rPr>
            </w:pPr>
          </w:p>
        </w:tc>
      </w:tr>
      <w:tr>
        <w:trPr>
          <w:trHeight w:val="175"/>
        </w:trPr>
        <w:tc>
          <w:tcPr>
            <w:tcW w:w="2880" w:type="dxa"/>
            <w:vAlign w:val="bottom"/>
            <w:vMerge w:val="restart"/>
          </w:tcPr>
          <w:p>
            <w:pPr>
              <w:ind w:left="20"/>
              <w:spacing w:after="0"/>
              <w:rPr>
                <w:sz w:val="20"/>
                <w:szCs w:val="20"/>
                <w:color w:val="auto"/>
              </w:rPr>
            </w:pPr>
            <w:r>
              <w:rPr>
                <w:rFonts w:ascii="Arial" w:cs="Arial" w:eastAsia="Arial" w:hAnsi="Arial"/>
                <w:sz w:val="15"/>
                <w:szCs w:val="15"/>
                <w:color w:val="auto"/>
              </w:rPr>
              <w:t>Advancing a clinical-stage pipeline of</w:t>
            </w:r>
          </w:p>
        </w:tc>
        <w:tc>
          <w:tcPr>
            <w:tcW w:w="2200" w:type="dxa"/>
            <w:vAlign w:val="bottom"/>
          </w:tcPr>
          <w:p>
            <w:pPr>
              <w:ind w:left="80"/>
              <w:spacing w:after="0"/>
              <w:rPr>
                <w:sz w:val="20"/>
                <w:szCs w:val="20"/>
                <w:color w:val="auto"/>
              </w:rPr>
            </w:pPr>
            <w:r>
              <w:rPr>
                <w:rFonts w:ascii="Arial" w:cs="Arial" w:eastAsia="Arial" w:hAnsi="Arial"/>
                <w:sz w:val="15"/>
                <w:szCs w:val="15"/>
                <w:color w:val="auto"/>
              </w:rPr>
              <w:t>3-5% tiered royalties on Glyph</w:t>
            </w:r>
          </w:p>
        </w:tc>
        <w:tc>
          <w:tcPr>
            <w:tcW w:w="2740" w:type="dxa"/>
            <w:vAlign w:val="bottom"/>
          </w:tcPr>
          <w:p>
            <w:pPr>
              <w:ind w:left="240"/>
              <w:spacing w:after="0"/>
              <w:rPr>
                <w:sz w:val="20"/>
                <w:szCs w:val="20"/>
                <w:color w:val="auto"/>
              </w:rPr>
            </w:pPr>
            <w:r>
              <w:rPr>
                <w:rFonts w:ascii="Arial" w:cs="Arial" w:eastAsia="Arial" w:hAnsi="Arial"/>
                <w:sz w:val="15"/>
                <w:szCs w:val="15"/>
                <w:color w:val="auto"/>
              </w:rPr>
              <w:t>BUOY-1 study of GlyphAllo™ (SPT-</w:t>
            </w:r>
          </w:p>
        </w:tc>
        <w:tc>
          <w:tcPr>
            <w:tcW w:w="3100" w:type="dxa"/>
            <w:vAlign w:val="bottom"/>
          </w:tcPr>
          <w:p>
            <w:pPr>
              <w:ind w:left="260"/>
              <w:spacing w:after="0"/>
              <w:rPr>
                <w:sz w:val="20"/>
                <w:szCs w:val="20"/>
                <w:color w:val="auto"/>
              </w:rPr>
            </w:pPr>
            <w:r>
              <w:rPr>
                <w:rFonts w:ascii="Arial" w:cs="Arial" w:eastAsia="Arial" w:hAnsi="Arial"/>
                <w:sz w:val="15"/>
                <w:szCs w:val="15"/>
                <w:color w:val="auto"/>
              </w:rPr>
              <w:t>GlyphAgo™ (SPT-320)</w:t>
            </w:r>
          </w:p>
        </w:tc>
        <w:tc>
          <w:tcPr>
            <w:tcW w:w="0" w:type="dxa"/>
            <w:vAlign w:val="bottom"/>
          </w:tcPr>
          <w:p>
            <w:pPr>
              <w:spacing w:after="0"/>
              <w:rPr>
                <w:sz w:val="1"/>
                <w:szCs w:val="1"/>
                <w:color w:val="auto"/>
              </w:rPr>
            </w:pPr>
          </w:p>
        </w:tc>
      </w:tr>
      <w:tr>
        <w:trPr>
          <w:trHeight w:val="95"/>
        </w:trPr>
        <w:tc>
          <w:tcPr>
            <w:tcW w:w="2880" w:type="dxa"/>
            <w:vAlign w:val="bottom"/>
            <w:vMerge w:val="continue"/>
          </w:tcPr>
          <w:p>
            <w:pPr>
              <w:spacing w:after="0"/>
              <w:rPr>
                <w:sz w:val="8"/>
                <w:szCs w:val="8"/>
                <w:color w:val="auto"/>
              </w:rPr>
            </w:pPr>
          </w:p>
        </w:tc>
        <w:tc>
          <w:tcPr>
            <w:tcW w:w="2200" w:type="dxa"/>
            <w:vAlign w:val="bottom"/>
            <w:vMerge w:val="restart"/>
          </w:tcPr>
          <w:p>
            <w:pPr>
              <w:ind w:left="80"/>
              <w:spacing w:after="0"/>
              <w:rPr>
                <w:sz w:val="20"/>
                <w:szCs w:val="20"/>
                <w:color w:val="auto"/>
              </w:rPr>
            </w:pPr>
            <w:r>
              <w:rPr>
                <w:rFonts w:ascii="Arial" w:cs="Arial" w:eastAsia="Arial" w:hAnsi="Arial"/>
                <w:sz w:val="15"/>
                <w:szCs w:val="15"/>
                <w:color w:val="auto"/>
              </w:rPr>
              <w:t>product net sales; undisclosed</w:t>
            </w:r>
          </w:p>
        </w:tc>
        <w:tc>
          <w:tcPr>
            <w:tcW w:w="2740" w:type="dxa"/>
            <w:vAlign w:val="bottom"/>
            <w:vMerge w:val="restart"/>
          </w:tcPr>
          <w:p>
            <w:pPr>
              <w:ind w:left="240"/>
              <w:spacing w:after="0"/>
              <w:rPr>
                <w:sz w:val="20"/>
                <w:szCs w:val="20"/>
                <w:color w:val="auto"/>
              </w:rPr>
            </w:pPr>
            <w:r>
              <w:rPr>
                <w:rFonts w:ascii="Arial" w:cs="Arial" w:eastAsia="Arial" w:hAnsi="Arial"/>
                <w:sz w:val="15"/>
                <w:szCs w:val="15"/>
                <w:color w:val="auto"/>
              </w:rPr>
              <w:t>300) for treatment of MDD</w:t>
            </w: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880" w:type="dxa"/>
            <w:vAlign w:val="bottom"/>
            <w:vMerge w:val="restart"/>
          </w:tcPr>
          <w:p>
            <w:pPr>
              <w:ind w:left="20"/>
              <w:spacing w:after="0"/>
              <w:rPr>
                <w:sz w:val="20"/>
                <w:szCs w:val="20"/>
                <w:color w:val="auto"/>
              </w:rPr>
            </w:pPr>
            <w:r>
              <w:rPr>
                <w:rFonts w:ascii="Arial" w:cs="Arial" w:eastAsia="Arial" w:hAnsi="Arial"/>
                <w:sz w:val="15"/>
                <w:szCs w:val="15"/>
                <w:color w:val="auto"/>
              </w:rPr>
              <w:t>neuropsychiatric medicines</w:t>
            </w:r>
          </w:p>
        </w:tc>
        <w:tc>
          <w:tcPr>
            <w:tcW w:w="2200" w:type="dxa"/>
            <w:vAlign w:val="bottom"/>
            <w:vMerge w:val="continue"/>
          </w:tcPr>
          <w:p>
            <w:pPr>
              <w:spacing w:after="0"/>
              <w:rPr>
                <w:sz w:val="8"/>
                <w:szCs w:val="8"/>
                <w:color w:val="auto"/>
              </w:rPr>
            </w:pPr>
          </w:p>
        </w:tc>
        <w:tc>
          <w:tcPr>
            <w:tcW w:w="27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880" w:type="dxa"/>
            <w:vAlign w:val="bottom"/>
            <w:vMerge w:val="continue"/>
          </w:tcPr>
          <w:p>
            <w:pPr>
              <w:spacing w:after="0"/>
              <w:rPr>
                <w:sz w:val="9"/>
                <w:szCs w:val="9"/>
                <w:color w:val="auto"/>
              </w:rPr>
            </w:pPr>
          </w:p>
        </w:tc>
        <w:tc>
          <w:tcPr>
            <w:tcW w:w="2200" w:type="dxa"/>
            <w:vAlign w:val="bottom"/>
            <w:vMerge w:val="restart"/>
          </w:tcPr>
          <w:p>
            <w:pPr>
              <w:ind w:left="80"/>
              <w:spacing w:after="0"/>
              <w:rPr>
                <w:sz w:val="20"/>
                <w:szCs w:val="20"/>
                <w:color w:val="auto"/>
              </w:rPr>
            </w:pPr>
            <w:r>
              <w:rPr>
                <w:rFonts w:ascii="Arial" w:cs="Arial" w:eastAsia="Arial" w:hAnsi="Arial"/>
                <w:sz w:val="15"/>
                <w:szCs w:val="15"/>
                <w:color w:val="auto"/>
              </w:rPr>
              <w:t>milestone and sublicense</w:t>
            </w:r>
          </w:p>
        </w:tc>
        <w:tc>
          <w:tcPr>
            <w:tcW w:w="27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88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3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880" w:type="dxa"/>
            <w:vAlign w:val="bottom"/>
            <w:tcBorders>
              <w:bottom w:val="single" w:sz="8" w:color="001544"/>
            </w:tcBorders>
          </w:tcPr>
          <w:p>
            <w:pPr>
              <w:spacing w:after="0"/>
              <w:rPr>
                <w:sz w:val="18"/>
                <w:szCs w:val="18"/>
                <w:color w:val="auto"/>
              </w:rPr>
            </w:pPr>
          </w:p>
        </w:tc>
        <w:tc>
          <w:tcPr>
            <w:tcW w:w="2200" w:type="dxa"/>
            <w:vAlign w:val="bottom"/>
            <w:tcBorders>
              <w:bottom w:val="single" w:sz="8" w:color="001544"/>
            </w:tcBorders>
          </w:tcPr>
          <w:p>
            <w:pPr>
              <w:ind w:left="80"/>
              <w:spacing w:after="0"/>
              <w:rPr>
                <w:sz w:val="20"/>
                <w:szCs w:val="20"/>
                <w:color w:val="auto"/>
              </w:rPr>
            </w:pPr>
            <w:r>
              <w:rPr>
                <w:rFonts w:ascii="Arial" w:cs="Arial" w:eastAsia="Arial" w:hAnsi="Arial"/>
                <w:sz w:val="15"/>
                <w:szCs w:val="15"/>
                <w:color w:val="auto"/>
              </w:rPr>
              <w:t>payments</w:t>
            </w:r>
          </w:p>
        </w:tc>
        <w:tc>
          <w:tcPr>
            <w:tcW w:w="2740" w:type="dxa"/>
            <w:vAlign w:val="bottom"/>
            <w:tcBorders>
              <w:bottom w:val="single" w:sz="8" w:color="001544"/>
            </w:tcBorders>
          </w:tcPr>
          <w:p>
            <w:pPr>
              <w:spacing w:after="0"/>
              <w:rPr>
                <w:sz w:val="18"/>
                <w:szCs w:val="18"/>
                <w:color w:val="auto"/>
              </w:rPr>
            </w:pPr>
          </w:p>
        </w:tc>
        <w:tc>
          <w:tcPr>
            <w:tcW w:w="3100" w:type="dxa"/>
            <w:vAlign w:val="bottom"/>
            <w:tcBorders>
              <w:bottom w:val="single" w:sz="8" w:color="001544"/>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80" w:type="dxa"/>
            <w:vAlign w:val="bottom"/>
          </w:tcPr>
          <w:p>
            <w:pPr>
              <w:ind w:left="20"/>
              <w:spacing w:after="0"/>
              <w:rPr>
                <w:sz w:val="20"/>
                <w:szCs w:val="20"/>
                <w:color w:val="auto"/>
              </w:rPr>
            </w:pPr>
            <w:r>
              <w:rPr>
                <w:rFonts w:ascii="Arial" w:cs="Arial" w:eastAsia="Arial" w:hAnsi="Arial"/>
                <w:sz w:val="15"/>
                <w:szCs w:val="15"/>
                <w:b w:val="1"/>
                <w:bCs w:val="1"/>
                <w:color w:val="auto"/>
              </w:rPr>
              <w:t>Karuna Therapeutics:</w:t>
            </w:r>
          </w:p>
        </w:tc>
        <w:tc>
          <w:tcPr>
            <w:tcW w:w="8040" w:type="dxa"/>
            <w:vAlign w:val="bottom"/>
            <w:gridSpan w:val="3"/>
          </w:tcPr>
          <w:p>
            <w:pPr>
              <w:ind w:left="80"/>
              <w:spacing w:after="0" w:line="199" w:lineRule="exact"/>
              <w:rPr>
                <w:sz w:val="20"/>
                <w:szCs w:val="20"/>
                <w:color w:val="auto"/>
              </w:rPr>
            </w:pPr>
            <w:r>
              <w:rPr>
                <w:rFonts w:ascii="Arial" w:cs="Arial" w:eastAsia="Arial" w:hAnsi="Arial"/>
                <w:sz w:val="15"/>
                <w:szCs w:val="15"/>
                <w:color w:val="auto"/>
              </w:rPr>
              <w:t>PureTech retains rights to certain regulatory and commercial milestone payments related to Cobenfy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in addition to</w:t>
            </w:r>
          </w:p>
        </w:tc>
        <w:tc>
          <w:tcPr>
            <w:tcW w:w="0" w:type="dxa"/>
            <w:vAlign w:val="bottom"/>
          </w:tcPr>
          <w:p>
            <w:pPr>
              <w:spacing w:after="0"/>
              <w:rPr>
                <w:sz w:val="1"/>
                <w:szCs w:val="1"/>
                <w:color w:val="auto"/>
              </w:rPr>
            </w:pPr>
          </w:p>
        </w:tc>
      </w:tr>
      <w:tr>
        <w:trPr>
          <w:trHeight w:val="200"/>
        </w:trPr>
        <w:tc>
          <w:tcPr>
            <w:tcW w:w="2880" w:type="dxa"/>
            <w:vAlign w:val="bottom"/>
            <w:vMerge w:val="restart"/>
          </w:tcPr>
          <w:p>
            <w:pPr>
              <w:ind w:left="20"/>
              <w:spacing w:after="0"/>
              <w:rPr>
                <w:sz w:val="20"/>
                <w:szCs w:val="20"/>
                <w:color w:val="auto"/>
              </w:rPr>
            </w:pPr>
            <w:r>
              <w:rPr>
                <w:rFonts w:ascii="Arial" w:cs="Arial" w:eastAsia="Arial" w:hAnsi="Arial"/>
                <w:sz w:val="15"/>
                <w:szCs w:val="15"/>
                <w:color w:val="auto"/>
              </w:rPr>
              <w:t>(Acquired by Bristol Myers Squibb as of</w:t>
            </w:r>
          </w:p>
        </w:tc>
        <w:tc>
          <w:tcPr>
            <w:tcW w:w="4940" w:type="dxa"/>
            <w:vAlign w:val="bottom"/>
            <w:gridSpan w:val="2"/>
          </w:tcPr>
          <w:p>
            <w:pPr>
              <w:ind w:left="80"/>
              <w:spacing w:after="0"/>
              <w:rPr>
                <w:sz w:val="20"/>
                <w:szCs w:val="20"/>
                <w:color w:val="auto"/>
              </w:rPr>
            </w:pPr>
            <w:r>
              <w:rPr>
                <w:rFonts w:ascii="Arial" w:cs="Arial" w:eastAsia="Arial" w:hAnsi="Arial"/>
                <w:sz w:val="15"/>
                <w:szCs w:val="15"/>
                <w:color w:val="auto"/>
              </w:rPr>
              <w:t>2% royalties on annual Cobenfy sales above $2B.</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2880" w:type="dxa"/>
            <w:vAlign w:val="bottom"/>
            <w:vMerge w:val="continue"/>
          </w:tcPr>
          <w:p>
            <w:pPr>
              <w:spacing w:after="0"/>
              <w:rPr>
                <w:sz w:val="6"/>
                <w:szCs w:val="6"/>
                <w:color w:val="auto"/>
              </w:rPr>
            </w:pPr>
          </w:p>
        </w:tc>
        <w:tc>
          <w:tcPr>
            <w:tcW w:w="22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5"/>
                <w:szCs w:val="15"/>
                <w:color w:val="auto"/>
              </w:rPr>
              <w:t>March 18, 2024)</w:t>
            </w:r>
          </w:p>
        </w:tc>
        <w:tc>
          <w:tcPr>
            <w:tcW w:w="22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001544"/>
            </w:tcBorders>
            <w:shd w:val="clear" w:color="auto" w:fill="001544"/>
          </w:tcPr>
          <w:p>
            <w:pPr>
              <w:ind w:left="20"/>
              <w:spacing w:after="0"/>
              <w:rPr>
                <w:sz w:val="20"/>
                <w:szCs w:val="20"/>
                <w:color w:val="auto"/>
              </w:rPr>
            </w:pPr>
            <w:r>
              <w:rPr>
                <w:rFonts w:ascii="Arial" w:cs="Arial" w:eastAsia="Arial" w:hAnsi="Arial"/>
                <w:sz w:val="13"/>
                <w:szCs w:val="13"/>
                <w:b w:val="1"/>
                <w:bCs w:val="1"/>
                <w:color w:val="FFFFFF"/>
              </w:rPr>
              <w:t>LEGACY HOLDINGS</w:t>
            </w:r>
          </w:p>
        </w:tc>
        <w:tc>
          <w:tcPr>
            <w:tcW w:w="2200" w:type="dxa"/>
            <w:vAlign w:val="bottom"/>
            <w:tcBorders>
              <w:bottom w:val="single" w:sz="8" w:color="001544"/>
            </w:tcBorders>
            <w:shd w:val="clear" w:color="auto" w:fill="001544"/>
          </w:tcPr>
          <w:p>
            <w:pPr>
              <w:spacing w:after="0"/>
              <w:rPr>
                <w:sz w:val="19"/>
                <w:szCs w:val="19"/>
                <w:color w:val="auto"/>
              </w:rPr>
            </w:pPr>
          </w:p>
        </w:tc>
        <w:tc>
          <w:tcPr>
            <w:tcW w:w="2740" w:type="dxa"/>
            <w:vAlign w:val="bottom"/>
            <w:tcBorders>
              <w:bottom w:val="single" w:sz="8" w:color="001544"/>
            </w:tcBorders>
            <w:shd w:val="clear" w:color="auto" w:fill="001544"/>
          </w:tcPr>
          <w:p>
            <w:pPr>
              <w:spacing w:after="0"/>
              <w:rPr>
                <w:sz w:val="19"/>
                <w:szCs w:val="19"/>
                <w:color w:val="auto"/>
              </w:rPr>
            </w:pPr>
          </w:p>
        </w:tc>
        <w:tc>
          <w:tcPr>
            <w:tcW w:w="3100" w:type="dxa"/>
            <w:vAlign w:val="bottom"/>
            <w:tcBorders>
              <w:bottom w:val="single" w:sz="8" w:color="001544"/>
            </w:tcBorders>
            <w:shd w:val="clear" w:color="auto" w:fill="001544"/>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880" w:type="dxa"/>
            <w:vAlign w:val="bottom"/>
          </w:tcPr>
          <w:p>
            <w:pPr>
              <w:ind w:left="20"/>
              <w:spacing w:after="0"/>
              <w:rPr>
                <w:sz w:val="20"/>
                <w:szCs w:val="20"/>
                <w:color w:val="auto"/>
              </w:rPr>
            </w:pPr>
            <w:r>
              <w:rPr>
                <w:rFonts w:ascii="Arial" w:cs="Arial" w:eastAsia="Arial" w:hAnsi="Arial"/>
                <w:sz w:val="15"/>
                <w:szCs w:val="15"/>
                <w:b w:val="1"/>
                <w:bCs w:val="1"/>
                <w:color w:val="auto"/>
              </w:rPr>
              <w:t>Vedanta Biosciences:</w:t>
            </w:r>
          </w:p>
        </w:tc>
        <w:tc>
          <w:tcPr>
            <w:tcW w:w="2200" w:type="dxa"/>
            <w:vAlign w:val="bottom"/>
          </w:tcPr>
          <w:p>
            <w:pPr>
              <w:ind w:left="80"/>
              <w:spacing w:after="0"/>
              <w:rPr>
                <w:sz w:val="20"/>
                <w:szCs w:val="20"/>
                <w:color w:val="auto"/>
              </w:rPr>
            </w:pPr>
            <w:r>
              <w:rPr>
                <w:rFonts w:ascii="Arial" w:cs="Arial" w:eastAsia="Arial" w:hAnsi="Arial"/>
                <w:sz w:val="15"/>
                <w:szCs w:val="15"/>
                <w:color w:val="auto"/>
              </w:rPr>
              <w:t>4.2% Equity</w:t>
            </w:r>
          </w:p>
        </w:tc>
        <w:tc>
          <w:tcPr>
            <w:tcW w:w="2740" w:type="dxa"/>
            <w:vAlign w:val="bottom"/>
          </w:tcPr>
          <w:p>
            <w:pPr>
              <w:ind w:left="40"/>
              <w:spacing w:after="0"/>
              <w:rPr>
                <w:sz w:val="20"/>
                <w:szCs w:val="20"/>
                <w:color w:val="auto"/>
              </w:rPr>
            </w:pPr>
            <w:r>
              <w:rPr>
                <w:rFonts w:ascii="Arial" w:cs="Arial" w:eastAsia="Arial" w:hAnsi="Arial"/>
                <w:sz w:val="15"/>
                <w:szCs w:val="15"/>
                <w:color w:val="auto"/>
              </w:rPr>
              <w:t>•  VE303 Phase 2 results published in</w:t>
            </w:r>
          </w:p>
        </w:tc>
        <w:tc>
          <w:tcPr>
            <w:tcW w:w="3100" w:type="dxa"/>
            <w:vAlign w:val="bottom"/>
          </w:tcPr>
          <w:p>
            <w:pPr>
              <w:ind w:left="40"/>
              <w:spacing w:after="0"/>
              <w:rPr>
                <w:sz w:val="20"/>
                <w:szCs w:val="20"/>
                <w:color w:val="auto"/>
              </w:rPr>
            </w:pPr>
            <w:r>
              <w:rPr>
                <w:rFonts w:ascii="Arial" w:cs="Arial" w:eastAsia="Arial" w:hAnsi="Arial"/>
                <w:sz w:val="15"/>
                <w:szCs w:val="15"/>
                <w:color w:val="auto"/>
              </w:rPr>
              <w:t>•  VE303 Phase 3 topline data in ‘26</w:t>
            </w:r>
          </w:p>
        </w:tc>
        <w:tc>
          <w:tcPr>
            <w:tcW w:w="0" w:type="dxa"/>
            <w:vAlign w:val="bottom"/>
          </w:tcPr>
          <w:p>
            <w:pPr>
              <w:spacing w:after="0"/>
              <w:rPr>
                <w:sz w:val="1"/>
                <w:szCs w:val="1"/>
                <w:color w:val="auto"/>
              </w:rPr>
            </w:pPr>
          </w:p>
        </w:tc>
      </w:tr>
      <w:tr>
        <w:trPr>
          <w:trHeight w:val="175"/>
        </w:trPr>
        <w:tc>
          <w:tcPr>
            <w:tcW w:w="2880" w:type="dxa"/>
            <w:vAlign w:val="bottom"/>
            <w:vMerge w:val="restart"/>
          </w:tcPr>
          <w:p>
            <w:pPr>
              <w:ind w:left="20"/>
              <w:spacing w:after="0"/>
              <w:rPr>
                <w:sz w:val="20"/>
                <w:szCs w:val="20"/>
                <w:color w:val="auto"/>
              </w:rPr>
            </w:pPr>
            <w:r>
              <w:rPr>
                <w:rFonts w:ascii="Arial" w:cs="Arial" w:eastAsia="Arial" w:hAnsi="Arial"/>
                <w:sz w:val="15"/>
                <w:szCs w:val="15"/>
                <w:color w:val="auto"/>
              </w:rPr>
              <w:t>Pioneering a new category of oral</w:t>
            </w:r>
          </w:p>
        </w:tc>
        <w:tc>
          <w:tcPr>
            <w:tcW w:w="2200" w:type="dxa"/>
            <w:vAlign w:val="bottom"/>
          </w:tcPr>
          <w:p>
            <w:pPr>
              <w:spacing w:after="0"/>
              <w:rPr>
                <w:sz w:val="15"/>
                <w:szCs w:val="15"/>
                <w:color w:val="auto"/>
              </w:rPr>
            </w:pPr>
          </w:p>
        </w:tc>
        <w:tc>
          <w:tcPr>
            <w:tcW w:w="2740" w:type="dxa"/>
            <w:vAlign w:val="bottom"/>
          </w:tcPr>
          <w:p>
            <w:pPr>
              <w:ind w:left="240"/>
              <w:spacing w:after="0"/>
              <w:rPr>
                <w:sz w:val="20"/>
                <w:szCs w:val="20"/>
                <w:color w:val="auto"/>
              </w:rPr>
            </w:pPr>
            <w:r>
              <w:rPr>
                <w:rFonts w:ascii="Arial" w:cs="Arial" w:eastAsia="Arial" w:hAnsi="Arial"/>
                <w:sz w:val="15"/>
                <w:szCs w:val="15"/>
                <w:color w:val="auto"/>
              </w:rPr>
              <w:t>Nature Medicine</w:t>
            </w: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80" w:type="dxa"/>
            <w:vAlign w:val="bottom"/>
            <w:vMerge w:val="continue"/>
          </w:tcPr>
          <w:p>
            <w:pPr>
              <w:spacing w:after="0"/>
              <w:rPr>
                <w:sz w:val="8"/>
                <w:szCs w:val="8"/>
                <w:color w:val="auto"/>
              </w:rPr>
            </w:pPr>
          </w:p>
        </w:tc>
        <w:tc>
          <w:tcPr>
            <w:tcW w:w="2200" w:type="dxa"/>
            <w:vAlign w:val="bottom"/>
          </w:tcPr>
          <w:p>
            <w:pPr>
              <w:spacing w:after="0"/>
              <w:rPr>
                <w:sz w:val="8"/>
                <w:szCs w:val="8"/>
                <w:color w:val="auto"/>
              </w:rPr>
            </w:pPr>
          </w:p>
        </w:tc>
        <w:tc>
          <w:tcPr>
            <w:tcW w:w="2740" w:type="dxa"/>
            <w:vAlign w:val="bottom"/>
            <w:vMerge w:val="restart"/>
          </w:tcPr>
          <w:p>
            <w:pPr>
              <w:ind w:left="40"/>
              <w:spacing w:after="0"/>
              <w:rPr>
                <w:sz w:val="20"/>
                <w:szCs w:val="20"/>
                <w:color w:val="auto"/>
              </w:rPr>
            </w:pPr>
            <w:r>
              <w:rPr>
                <w:rFonts w:ascii="Arial" w:cs="Arial" w:eastAsia="Arial" w:hAnsi="Arial"/>
                <w:sz w:val="15"/>
                <w:szCs w:val="15"/>
                <w:color w:val="auto"/>
              </w:rPr>
              <w:t>•  VE202 Phase 2 results shared;</w:t>
            </w: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880" w:type="dxa"/>
            <w:vAlign w:val="bottom"/>
            <w:vMerge w:val="restart"/>
          </w:tcPr>
          <w:p>
            <w:pPr>
              <w:ind w:left="20"/>
              <w:spacing w:after="0"/>
              <w:rPr>
                <w:sz w:val="20"/>
                <w:szCs w:val="20"/>
                <w:color w:val="auto"/>
              </w:rPr>
            </w:pPr>
            <w:r>
              <w:rPr>
                <w:rFonts w:ascii="Arial" w:cs="Arial" w:eastAsia="Arial" w:hAnsi="Arial"/>
                <w:sz w:val="15"/>
                <w:szCs w:val="15"/>
                <w:color w:val="auto"/>
              </w:rPr>
              <w:t>therapies based on defined bacterial</w:t>
            </w:r>
          </w:p>
        </w:tc>
        <w:tc>
          <w:tcPr>
            <w:tcW w:w="220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880" w:type="dxa"/>
            <w:vAlign w:val="bottom"/>
            <w:vMerge w:val="continue"/>
          </w:tcPr>
          <w:p>
            <w:pPr>
              <w:spacing w:after="0"/>
              <w:rPr>
                <w:sz w:val="8"/>
                <w:szCs w:val="8"/>
                <w:color w:val="auto"/>
              </w:rPr>
            </w:pPr>
          </w:p>
        </w:tc>
        <w:tc>
          <w:tcPr>
            <w:tcW w:w="2200" w:type="dxa"/>
            <w:vAlign w:val="bottom"/>
          </w:tcPr>
          <w:p>
            <w:pPr>
              <w:spacing w:after="0"/>
              <w:rPr>
                <w:sz w:val="8"/>
                <w:szCs w:val="8"/>
                <w:color w:val="auto"/>
              </w:rPr>
            </w:pPr>
          </w:p>
        </w:tc>
        <w:tc>
          <w:tcPr>
            <w:tcW w:w="2740" w:type="dxa"/>
            <w:vAlign w:val="bottom"/>
            <w:vMerge w:val="restart"/>
          </w:tcPr>
          <w:p>
            <w:pPr>
              <w:ind w:left="240"/>
              <w:spacing w:after="0"/>
              <w:rPr>
                <w:sz w:val="20"/>
                <w:szCs w:val="20"/>
                <w:color w:val="auto"/>
              </w:rPr>
            </w:pPr>
            <w:r>
              <w:rPr>
                <w:rFonts w:ascii="Arial" w:cs="Arial" w:eastAsia="Arial" w:hAnsi="Arial"/>
                <w:sz w:val="15"/>
                <w:szCs w:val="15"/>
                <w:color w:val="auto"/>
              </w:rPr>
              <w:t>program deprioritized</w:t>
            </w: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880" w:type="dxa"/>
            <w:vAlign w:val="bottom"/>
            <w:vMerge w:val="restart"/>
          </w:tcPr>
          <w:p>
            <w:pPr>
              <w:ind w:left="20"/>
              <w:spacing w:after="0"/>
              <w:rPr>
                <w:sz w:val="20"/>
                <w:szCs w:val="20"/>
                <w:color w:val="auto"/>
              </w:rPr>
            </w:pPr>
            <w:r>
              <w:rPr>
                <w:rFonts w:ascii="Arial" w:cs="Arial" w:eastAsia="Arial" w:hAnsi="Arial"/>
                <w:sz w:val="15"/>
                <w:szCs w:val="15"/>
                <w:color w:val="auto"/>
              </w:rPr>
              <w:t>consortia</w:t>
            </w:r>
          </w:p>
        </w:tc>
        <w:tc>
          <w:tcPr>
            <w:tcW w:w="220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80" w:type="dxa"/>
            <w:vAlign w:val="bottom"/>
            <w:tcBorders>
              <w:bottom w:val="single" w:sz="8" w:color="001544"/>
            </w:tcBorders>
            <w:vMerge w:val="continue"/>
          </w:tcPr>
          <w:p>
            <w:pPr>
              <w:spacing w:after="0"/>
              <w:rPr>
                <w:sz w:val="9"/>
                <w:szCs w:val="9"/>
                <w:color w:val="auto"/>
              </w:rPr>
            </w:pPr>
          </w:p>
        </w:tc>
        <w:tc>
          <w:tcPr>
            <w:tcW w:w="2200" w:type="dxa"/>
            <w:vAlign w:val="bottom"/>
            <w:tcBorders>
              <w:bottom w:val="single" w:sz="8" w:color="001544"/>
            </w:tcBorders>
          </w:tcPr>
          <w:p>
            <w:pPr>
              <w:spacing w:after="0"/>
              <w:rPr>
                <w:sz w:val="9"/>
                <w:szCs w:val="9"/>
                <w:color w:val="auto"/>
              </w:rPr>
            </w:pPr>
          </w:p>
        </w:tc>
        <w:tc>
          <w:tcPr>
            <w:tcW w:w="2740" w:type="dxa"/>
            <w:vAlign w:val="bottom"/>
            <w:tcBorders>
              <w:bottom w:val="single" w:sz="8" w:color="001544"/>
            </w:tcBorders>
          </w:tcPr>
          <w:p>
            <w:pPr>
              <w:spacing w:after="0"/>
              <w:rPr>
                <w:sz w:val="9"/>
                <w:szCs w:val="9"/>
                <w:color w:val="auto"/>
              </w:rPr>
            </w:pPr>
          </w:p>
        </w:tc>
        <w:tc>
          <w:tcPr>
            <w:tcW w:w="3100" w:type="dxa"/>
            <w:vAlign w:val="bottom"/>
            <w:tcBorders>
              <w:bottom w:val="single" w:sz="8" w:color="001544"/>
            </w:tcBorders>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880" w:type="dxa"/>
            <w:vAlign w:val="bottom"/>
          </w:tcPr>
          <w:p>
            <w:pPr>
              <w:ind w:left="20"/>
              <w:spacing w:after="0"/>
              <w:rPr>
                <w:sz w:val="20"/>
                <w:szCs w:val="20"/>
                <w:color w:val="auto"/>
              </w:rPr>
            </w:pPr>
            <w:r>
              <w:rPr>
                <w:rFonts w:ascii="Arial" w:cs="Arial" w:eastAsia="Arial" w:hAnsi="Arial"/>
                <w:sz w:val="15"/>
                <w:szCs w:val="15"/>
                <w:b w:val="1"/>
                <w:bCs w:val="1"/>
                <w:color w:val="auto"/>
              </w:rPr>
              <w:t>Sonde Health:</w:t>
            </w:r>
          </w:p>
        </w:tc>
        <w:tc>
          <w:tcPr>
            <w:tcW w:w="2200" w:type="dxa"/>
            <w:vAlign w:val="bottom"/>
          </w:tcPr>
          <w:p>
            <w:pPr>
              <w:ind w:left="80"/>
              <w:spacing w:after="0"/>
              <w:rPr>
                <w:sz w:val="20"/>
                <w:szCs w:val="20"/>
                <w:color w:val="auto"/>
              </w:rPr>
            </w:pPr>
            <w:r>
              <w:rPr>
                <w:rFonts w:ascii="Arial" w:cs="Arial" w:eastAsia="Arial" w:hAnsi="Arial"/>
                <w:sz w:val="15"/>
                <w:szCs w:val="15"/>
                <w:color w:val="auto"/>
              </w:rPr>
              <w:t>34.7% Equity</w:t>
            </w:r>
          </w:p>
        </w:tc>
        <w:tc>
          <w:tcPr>
            <w:tcW w:w="2740" w:type="dxa"/>
            <w:vAlign w:val="bottom"/>
          </w:tcPr>
          <w:p>
            <w:pPr>
              <w:ind w:left="40"/>
              <w:spacing w:after="0"/>
              <w:rPr>
                <w:sz w:val="20"/>
                <w:szCs w:val="20"/>
                <w:color w:val="auto"/>
              </w:rPr>
            </w:pPr>
            <w:r>
              <w:rPr>
                <w:rFonts w:ascii="Arial" w:cs="Arial" w:eastAsia="Arial" w:hAnsi="Arial"/>
                <w:sz w:val="15"/>
                <w:szCs w:val="15"/>
                <w:color w:val="auto"/>
              </w:rPr>
              <w:t>•  Completed large-scale workforce</w:t>
            </w:r>
          </w:p>
        </w:tc>
        <w:tc>
          <w:tcPr>
            <w:tcW w:w="3100" w:type="dxa"/>
            <w:vAlign w:val="bottom"/>
          </w:tcPr>
          <w:p>
            <w:pPr>
              <w:ind w:left="40"/>
              <w:spacing w:after="0"/>
              <w:rPr>
                <w:sz w:val="20"/>
                <w:szCs w:val="20"/>
                <w:color w:val="auto"/>
              </w:rPr>
            </w:pPr>
            <w:r>
              <w:rPr>
                <w:rFonts w:ascii="Arial" w:cs="Arial" w:eastAsia="Arial" w:hAnsi="Arial"/>
                <w:sz w:val="15"/>
                <w:szCs w:val="15"/>
                <w:color w:val="auto"/>
              </w:rPr>
              <w:t>•  Continued platform progress</w:t>
            </w:r>
          </w:p>
        </w:tc>
        <w:tc>
          <w:tcPr>
            <w:tcW w:w="0" w:type="dxa"/>
            <w:vAlign w:val="bottom"/>
          </w:tcPr>
          <w:p>
            <w:pPr>
              <w:spacing w:after="0"/>
              <w:rPr>
                <w:sz w:val="1"/>
                <w:szCs w:val="1"/>
                <w:color w:val="auto"/>
              </w:rPr>
            </w:pPr>
          </w:p>
        </w:tc>
      </w:tr>
      <w:tr>
        <w:trPr>
          <w:trHeight w:val="175"/>
        </w:trPr>
        <w:tc>
          <w:tcPr>
            <w:tcW w:w="2880" w:type="dxa"/>
            <w:vAlign w:val="bottom"/>
            <w:vMerge w:val="restart"/>
          </w:tcPr>
          <w:p>
            <w:pPr>
              <w:ind w:left="20"/>
              <w:spacing w:after="0"/>
              <w:rPr>
                <w:sz w:val="20"/>
                <w:szCs w:val="20"/>
                <w:color w:val="auto"/>
              </w:rPr>
            </w:pPr>
            <w:r>
              <w:rPr>
                <w:rFonts w:ascii="Arial" w:cs="Arial" w:eastAsia="Arial" w:hAnsi="Arial"/>
                <w:sz w:val="15"/>
                <w:szCs w:val="15"/>
                <w:color w:val="auto"/>
              </w:rPr>
              <w:t>Developing a voice-based artificial</w:t>
            </w:r>
          </w:p>
        </w:tc>
        <w:tc>
          <w:tcPr>
            <w:tcW w:w="2200" w:type="dxa"/>
            <w:vAlign w:val="bottom"/>
          </w:tcPr>
          <w:p>
            <w:pPr>
              <w:spacing w:after="0"/>
              <w:rPr>
                <w:sz w:val="15"/>
                <w:szCs w:val="15"/>
                <w:color w:val="auto"/>
              </w:rPr>
            </w:pPr>
          </w:p>
        </w:tc>
        <w:tc>
          <w:tcPr>
            <w:tcW w:w="2740" w:type="dxa"/>
            <w:vAlign w:val="bottom"/>
          </w:tcPr>
          <w:p>
            <w:pPr>
              <w:ind w:left="240"/>
              <w:spacing w:after="0"/>
              <w:rPr>
                <w:sz w:val="20"/>
                <w:szCs w:val="20"/>
                <w:color w:val="auto"/>
              </w:rPr>
            </w:pPr>
            <w:r>
              <w:rPr>
                <w:rFonts w:ascii="Arial" w:cs="Arial" w:eastAsia="Arial" w:hAnsi="Arial"/>
                <w:sz w:val="15"/>
                <w:szCs w:val="15"/>
                <w:color w:val="auto"/>
              </w:rPr>
              <w:t>mental fitness trial (4,000+</w:t>
            </w: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80" w:type="dxa"/>
            <w:vAlign w:val="bottom"/>
            <w:vMerge w:val="continue"/>
          </w:tcPr>
          <w:p>
            <w:pPr>
              <w:spacing w:after="0"/>
              <w:rPr>
                <w:sz w:val="8"/>
                <w:szCs w:val="8"/>
                <w:color w:val="auto"/>
              </w:rPr>
            </w:pPr>
          </w:p>
        </w:tc>
        <w:tc>
          <w:tcPr>
            <w:tcW w:w="2200" w:type="dxa"/>
            <w:vAlign w:val="bottom"/>
          </w:tcPr>
          <w:p>
            <w:pPr>
              <w:spacing w:after="0"/>
              <w:rPr>
                <w:sz w:val="8"/>
                <w:szCs w:val="8"/>
                <w:color w:val="auto"/>
              </w:rPr>
            </w:pPr>
          </w:p>
        </w:tc>
        <w:tc>
          <w:tcPr>
            <w:tcW w:w="2740" w:type="dxa"/>
            <w:vAlign w:val="bottom"/>
            <w:vMerge w:val="restart"/>
          </w:tcPr>
          <w:p>
            <w:pPr>
              <w:ind w:left="240"/>
              <w:spacing w:after="0"/>
              <w:rPr>
                <w:sz w:val="20"/>
                <w:szCs w:val="20"/>
                <w:color w:val="auto"/>
              </w:rPr>
            </w:pPr>
            <w:r>
              <w:rPr>
                <w:rFonts w:ascii="Arial" w:cs="Arial" w:eastAsia="Arial" w:hAnsi="Arial"/>
                <w:sz w:val="15"/>
                <w:szCs w:val="15"/>
                <w:color w:val="auto"/>
              </w:rPr>
              <w:t>employees)</w:t>
            </w: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880" w:type="dxa"/>
            <w:vAlign w:val="bottom"/>
            <w:vMerge w:val="restart"/>
          </w:tcPr>
          <w:p>
            <w:pPr>
              <w:ind w:left="20"/>
              <w:spacing w:after="0"/>
              <w:rPr>
                <w:sz w:val="20"/>
                <w:szCs w:val="20"/>
                <w:color w:val="auto"/>
              </w:rPr>
            </w:pPr>
            <w:r>
              <w:rPr>
                <w:rFonts w:ascii="Arial" w:cs="Arial" w:eastAsia="Arial" w:hAnsi="Arial"/>
                <w:sz w:val="15"/>
                <w:szCs w:val="15"/>
                <w:color w:val="auto"/>
              </w:rPr>
              <w:t>intelligence platform to detect changes in</w:t>
            </w:r>
          </w:p>
        </w:tc>
        <w:tc>
          <w:tcPr>
            <w:tcW w:w="220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880" w:type="dxa"/>
            <w:vAlign w:val="bottom"/>
            <w:vMerge w:val="continue"/>
          </w:tcPr>
          <w:p>
            <w:pPr>
              <w:spacing w:after="0"/>
              <w:rPr>
                <w:sz w:val="8"/>
                <w:szCs w:val="8"/>
                <w:color w:val="auto"/>
              </w:rPr>
            </w:pPr>
          </w:p>
        </w:tc>
        <w:tc>
          <w:tcPr>
            <w:tcW w:w="22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5"/>
          <w:szCs w:val="15"/>
          <w:color w:val="auto"/>
        </w:rPr>
        <w:t>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26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0920"/>
          </w:cols>
          <w:pgMar w:left="320" w:top="1241" w:right="659" w:bottom="1440" w:gutter="0" w:footer="0" w:header="0"/>
        </w:sectPr>
      </w:pPr>
    </w:p>
    <w:p>
      <w:pPr>
        <w:spacing w:after="0" w:line="57" w:lineRule="exact"/>
        <w:rPr>
          <w:sz w:val="20"/>
          <w:szCs w:val="20"/>
          <w:color w:val="auto"/>
        </w:rPr>
      </w:pPr>
    </w:p>
    <w:p>
      <w:pPr>
        <w:ind w:left="20"/>
        <w:spacing w:after="0"/>
        <w:tabs>
          <w:tab w:leader="none" w:pos="2940" w:val="left"/>
        </w:tabs>
        <w:rPr>
          <w:sz w:val="20"/>
          <w:szCs w:val="20"/>
          <w:color w:val="auto"/>
        </w:rPr>
      </w:pPr>
      <w:r>
        <w:rPr>
          <w:rFonts w:ascii="Arial" w:cs="Arial" w:eastAsia="Arial" w:hAnsi="Arial"/>
          <w:sz w:val="15"/>
          <w:szCs w:val="15"/>
          <w:b w:val="1"/>
          <w:bCs w:val="1"/>
          <w:color w:val="auto"/>
        </w:rPr>
        <w:t>Entrega:</w:t>
      </w:r>
      <w:r>
        <w:rPr>
          <w:sz w:val="20"/>
          <w:szCs w:val="20"/>
          <w:color w:val="auto"/>
        </w:rPr>
        <w:tab/>
      </w:r>
      <w:r>
        <w:rPr>
          <w:rFonts w:ascii="Arial" w:cs="Arial" w:eastAsia="Arial" w:hAnsi="Arial"/>
          <w:sz w:val="15"/>
          <w:szCs w:val="15"/>
          <w:color w:val="auto"/>
        </w:rPr>
        <w:t>73.8% Equity</w:t>
      </w:r>
    </w:p>
    <w:p>
      <w:pPr>
        <w:spacing w:after="0" w:line="100" w:lineRule="exact"/>
        <w:rPr>
          <w:sz w:val="20"/>
          <w:szCs w:val="20"/>
          <w:color w:val="auto"/>
        </w:rPr>
      </w:pPr>
    </w:p>
    <w:p>
      <w:pPr>
        <w:ind w:left="20" w:right="1615"/>
        <w:spacing w:after="0" w:line="282" w:lineRule="auto"/>
        <w:rPr>
          <w:sz w:val="20"/>
          <w:szCs w:val="20"/>
          <w:color w:val="auto"/>
        </w:rPr>
      </w:pPr>
      <w:r>
        <w:rPr>
          <w:rFonts w:ascii="Arial" w:cs="Arial" w:eastAsia="Arial" w:hAnsi="Arial"/>
          <w:sz w:val="15"/>
          <w:szCs w:val="15"/>
          <w:color w:val="auto"/>
        </w:rPr>
        <w:t>Engineering hydrogels to enable the oral administration of peptide therapeutics (e.g., GLP-1 agonists)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205" w:right="940" w:hanging="205"/>
        <w:spacing w:after="0" w:line="301" w:lineRule="auto"/>
        <w:tabs>
          <w:tab w:leader="none" w:pos="175" w:val="left"/>
        </w:tabs>
        <w:numPr>
          <w:ilvl w:val="0"/>
          <w:numId w:val="4"/>
        </w:numPr>
        <w:rPr>
          <w:rFonts w:ascii="Arial" w:cs="Arial" w:eastAsia="Arial" w:hAnsi="Arial"/>
          <w:sz w:val="15"/>
          <w:szCs w:val="15"/>
          <w:color w:val="auto"/>
        </w:rPr>
      </w:pPr>
      <w:r>
        <w:rPr>
          <w:rFonts w:ascii="Arial" w:cs="Arial" w:eastAsia="Arial" w:hAnsi="Arial"/>
          <w:sz w:val="15"/>
          <w:szCs w:val="15"/>
          <w:color w:val="auto"/>
        </w:rPr>
        <w:t>Preclinical proof-of-concept achieved • Continued platform progress with peptides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-3242310</wp:posOffset>
            </wp:positionH>
            <wp:positionV relativeFrom="paragraph">
              <wp:posOffset>276225</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2">
            <w:col w:w="4395" w:space="720"/>
            <w:col w:w="5805"/>
          </w:cols>
          <w:pgMar w:left="320" w:top="1241" w:right="6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31"/>
          <w:szCs w:val="31"/>
          <w:b w:val="1"/>
          <w:bCs w:val="1"/>
          <w:color w:val="183964"/>
        </w:rPr>
        <w:t>Operational Highlights</w:t>
      </w:r>
    </w:p>
    <w:p>
      <w:pPr>
        <w:spacing w:after="0" w:line="177" w:lineRule="exact"/>
        <w:rPr>
          <w:sz w:val="20"/>
          <w:szCs w:val="20"/>
          <w:color w:val="auto"/>
        </w:rPr>
      </w:pPr>
    </w:p>
    <w:p>
      <w:pPr>
        <w:ind w:left="220" w:right="220" w:hanging="212"/>
        <w:spacing w:after="0" w:line="268" w:lineRule="auto"/>
        <w:tabs>
          <w:tab w:leader="none" w:pos="18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July 2025 post-period, PureTech announced the appointments of Sharon Barber-Lui as Interim Chair of the Board of Directors and Robert Lyne as Interim Chief Executive Officer. These leadership changes reflect a sharpened focus on driving shareholder value, supported by continued momentum across the portfolio.</w:t>
      </w:r>
    </w:p>
    <w:p>
      <w:pPr>
        <w:spacing w:after="0" w:line="35" w:lineRule="exact"/>
        <w:rPr>
          <w:rFonts w:ascii="Arial" w:cs="Arial" w:eastAsia="Arial" w:hAnsi="Arial"/>
          <w:sz w:val="18"/>
          <w:szCs w:val="18"/>
          <w:color w:val="auto"/>
        </w:rPr>
      </w:pPr>
    </w:p>
    <w:p>
      <w:pPr>
        <w:ind w:left="220" w:hanging="212"/>
        <w:spacing w:after="0" w:line="287" w:lineRule="auto"/>
        <w:tabs>
          <w:tab w:leader="none" w:pos="187"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part of a planned transition, Daphne Zohar, Founder and CEO of Seaport, has transitioned from a PureTech Board Observer to a Senior Advisor and remains engaged and available to support the Board and Executive Management.</w:t>
      </w:r>
    </w:p>
    <w:p>
      <w:pPr>
        <w:spacing w:after="0" w:line="31" w:lineRule="exact"/>
        <w:rPr>
          <w:rFonts w:ascii="Arial" w:cs="Arial" w:eastAsia="Arial" w:hAnsi="Arial"/>
          <w:sz w:val="18"/>
          <w:szCs w:val="18"/>
          <w:color w:val="auto"/>
        </w:rPr>
      </w:pPr>
    </w:p>
    <w:p>
      <w:pPr>
        <w:ind w:left="220" w:right="200" w:hanging="212"/>
        <w:spacing w:after="0" w:line="287" w:lineRule="auto"/>
        <w:tabs>
          <w:tab w:leader="none" w:pos="18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PureTech Board of Directors will be initiating a search for up to two new Non-Executive Directors to include deep UK capital markets experience to further build on our in-house expertise.</w:t>
      </w:r>
    </w:p>
    <w:p>
      <w:pPr>
        <w:spacing w:after="0" w:line="31" w:lineRule="exact"/>
        <w:rPr>
          <w:rFonts w:ascii="Arial" w:cs="Arial" w:eastAsia="Arial" w:hAnsi="Arial"/>
          <w:sz w:val="18"/>
          <w:szCs w:val="18"/>
          <w:color w:val="auto"/>
        </w:rPr>
      </w:pPr>
    </w:p>
    <w:p>
      <w:pPr>
        <w:ind w:left="220" w:right="80" w:hanging="212"/>
        <w:spacing w:after="0" w:line="268" w:lineRule="auto"/>
        <w:tabs>
          <w:tab w:leader="none" w:pos="18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first half of 2025, PureTech appointed UBS and Peel Hunt as joint UK corporate brokers, enhancing our presence in the UK capital markets and deepening engagement with both generalist and specialist healthcare investors. This also reflects PureTech’s commitment to deepening relationships across the investor base and further enhancing its London Stock Exchange presence.</w:t>
      </w:r>
    </w:p>
    <w:p>
      <w:pPr>
        <w:spacing w:after="0" w:line="164" w:lineRule="exact"/>
        <w:rPr>
          <w:sz w:val="20"/>
          <w:szCs w:val="20"/>
          <w:color w:val="auto"/>
        </w:rPr>
      </w:pPr>
    </w:p>
    <w:p>
      <w:pPr>
        <w:spacing w:after="0"/>
        <w:rPr>
          <w:sz w:val="20"/>
          <w:szCs w:val="20"/>
          <w:color w:val="auto"/>
        </w:rPr>
      </w:pPr>
      <w:r>
        <w:rPr>
          <w:rFonts w:ascii="Arial" w:cs="Arial" w:eastAsia="Arial" w:hAnsi="Arial"/>
          <w:sz w:val="31"/>
          <w:szCs w:val="31"/>
          <w:b w:val="1"/>
          <w:bCs w:val="1"/>
          <w:color w:val="183964"/>
        </w:rPr>
        <w:t>Financial Highlights:</w:t>
      </w:r>
    </w:p>
    <w:p>
      <w:pPr>
        <w:spacing w:after="0" w:line="174" w:lineRule="exact"/>
        <w:rPr>
          <w:sz w:val="20"/>
          <w:szCs w:val="20"/>
          <w:color w:val="auto"/>
        </w:rPr>
      </w:pPr>
    </w:p>
    <w:p>
      <w:pPr>
        <w:ind w:left="220" w:right="100" w:hanging="212"/>
        <w:spacing w:after="0" w:line="219" w:lineRule="auto"/>
        <w:tabs>
          <w:tab w:leader="none" w:pos="187"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PureTech level cash, cash equivalents and short-term investments as of June 30, 2025, were $319.6 million</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(December 31, 2024: $366.8 million) and consolidated cash, cash equivalents and short-term investments as of June 30, 2025, were $319.9 million</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(December 31, 2024: $367.3 million).</w:t>
      </w:r>
    </w:p>
    <w:p>
      <w:pPr>
        <w:spacing w:after="0" w:line="73"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expenses for the six months ended June 30, 2025, were $49.8 million (June 30, 2024: $66.7 million).</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June 30, 2025, the Company maintains an expected operational runway into 2028.</w:t>
      </w:r>
    </w:p>
    <w:p>
      <w:pPr>
        <w:spacing w:after="0" w:line="103" w:lineRule="exact"/>
        <w:rPr>
          <w:rFonts w:ascii="Arial" w:cs="Arial" w:eastAsia="Arial" w:hAnsi="Arial"/>
          <w:sz w:val="18"/>
          <w:szCs w:val="18"/>
          <w:color w:val="auto"/>
        </w:rPr>
      </w:pPr>
    </w:p>
    <w:p>
      <w:pPr>
        <w:ind w:left="220" w:right="240" w:hanging="212"/>
        <w:spacing w:after="0" w:line="287" w:lineRule="auto"/>
        <w:tabs>
          <w:tab w:leader="none" w:pos="187"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PureTech expects a significant reduction in operational expenses over the course of 2026 as operational support for Celea and Gallop is expected to transition fully to their respective Founded Entities or other external structures.</w:t>
      </w:r>
    </w:p>
    <w:p>
      <w:pPr>
        <w:spacing w:after="0" w:line="31" w:lineRule="exact"/>
        <w:rPr>
          <w:rFonts w:ascii="Arial" w:cs="Arial" w:eastAsia="Arial" w:hAnsi="Arial"/>
          <w:sz w:val="18"/>
          <w:szCs w:val="18"/>
          <w:color w:val="auto"/>
        </w:rPr>
      </w:pPr>
    </w:p>
    <w:p>
      <w:pPr>
        <w:ind w:left="220" w:right="1140" w:hanging="212"/>
        <w:spacing w:after="0" w:line="287" w:lineRule="auto"/>
        <w:tabs>
          <w:tab w:leader="none" w:pos="187"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June 26, 2025, PureTech completed the divestment of its remaining equity holdings in Vor, with gross cash proceeds of approximately $2.8 million before expenses.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About PureTech Health</w:t>
      </w:r>
    </w:p>
    <w:p>
      <w:pPr>
        <w:spacing w:after="0" w:line="19"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PureTech Health is a hub-and-spoke biotherapeutics company dedicated to giving life to science and transforming innovation into value. We do this through a proven, capital-efficient R&amp;D model focused on opportunities with validated pharmacology and untapped potential to address significant patient needs. This strategy has produced dozens of therapeutic candidates, including three that have received U.S. FDA approval. By identifying, shaping, and de-risking these high-conviction assets, and scaling them through dedicated structures backed by external capital, we accelerate their path to patients while creating sustainable value for shareholders.</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For more information, visit www.puretechhealth.com or connect with us on X (formerly Twitter) @puretechh.</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Cautionary Note Regarding Forward-Looking Statements</w:t>
      </w:r>
    </w:p>
    <w:p>
      <w:pPr>
        <w:spacing w:after="0" w:line="100"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that relate to our expectations around our and our Founded Entities’ therapeutic candidates and approach towards addressing major diseases, our plans for our Founded Entities, operational plans, future prospects, objectives, developments, strategies and expectations, the progress and timing of clinical trials and data readouts, the timing of regulatory approvals or clearances from the FDA, our future results of operations and financial outlook, including our anticipated cash runway and our forecasted cash, cash equivalents and short-term investments, and our ability to return capital to and realize value for our shareholders.</w:t>
      </w:r>
    </w:p>
    <w:p>
      <w:pPr>
        <w:spacing w:after="0" w:line="54"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the following: our history of incurring significant operating losses since our inception; our ability to realize value from our Founded Entities; our need for additional funding to achieve our business goals, which may not be available and which may force us to delay, limit or terminate certain of our therapeutic development efforts; our limited information about and limited control or influence over our Non-Controlled Founded Entities; the lengthy and expensive process of preclinical and clinical drug development, which has an uncertain outcome and potential for substantial delays; potential difficulties with enrolling patients in clinical trials, which could delay our clinical development activities; side effects, adverse events or other safety risks which could be associated with our therapeutic candidates and delay or halt their clinical development; our ability to obtain regulatory approval for and commercialize our therapeutic candidates; our ability to compete with companies currently marketing or engaged in the development of treatments for indications within our programs are designed to target; our ability to realize the benefits of our collaborations, licenses and other arrangements; the impact of government laws and</w:t>
      </w:r>
    </w:p>
    <w:p>
      <w:pPr>
        <w:sectPr>
          <w:pgSz w:w="11900" w:h="16838" w:orient="portrait"/>
          <w:cols w:equalWidth="0" w:num="1">
            <w:col w:w="11240"/>
          </w:cols>
          <w:pgMar w:left="320" w:top="1235" w:right="339" w:bottom="1440" w:gutter="0" w:footer="0" w:header="0"/>
        </w:sectPr>
      </w:pPr>
    </w:p>
    <w:bookmarkStart w:id="7" w:name="page8"/>
    <w:bookmarkEnd w:id="7"/>
    <w:p>
      <w:pPr>
        <w:ind w:right="60"/>
        <w:spacing w:after="0" w:line="260" w:lineRule="auto"/>
        <w:rPr>
          <w:sz w:val="20"/>
          <w:szCs w:val="20"/>
          <w:color w:val="auto"/>
        </w:rPr>
      </w:pPr>
      <w:r>
        <w:rPr>
          <w:rFonts w:ascii="Arial" w:cs="Arial" w:eastAsia="Arial" w:hAnsi="Arial"/>
          <w:sz w:val="15"/>
          <w:szCs w:val="15"/>
          <w:color w:val="auto"/>
        </w:rPr>
        <w:t>regulations; our ability to maintain and protect our intellectual property rights; our reliance on third parties, including clinical research organizations, clinical investigators and manufacturers; our vulnerability to natural disasters, global economic factors, geo-political actions and unexpected events; and the risks, uncertainties and other important factors described under the caption "Risk Factors" in our Annual Report on Form 20-F for the year ended December 31, 2024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Non-IFRS Financial Information</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Cash flow and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220" w:type="dxa"/>
            <w:vAlign w:val="bottom"/>
          </w:tcPr>
          <w:p>
            <w:pPr>
              <w:ind w:left="20"/>
              <w:spacing w:after="0"/>
              <w:rPr>
                <w:sz w:val="20"/>
                <w:szCs w:val="20"/>
                <w:color w:val="auto"/>
              </w:rPr>
            </w:pPr>
            <w:r>
              <w:rPr>
                <w:rFonts w:ascii="Arial" w:cs="Arial" w:eastAsia="Arial" w:hAnsi="Arial"/>
                <w:sz w:val="15"/>
                <w:szCs w:val="15"/>
                <w:color w:val="auto"/>
              </w:rPr>
              <w:t>PureTech Level cash, cash</w:t>
            </w:r>
          </w:p>
        </w:tc>
        <w:tc>
          <w:tcPr>
            <w:tcW w:w="9020" w:type="dxa"/>
            <w:vAlign w:val="bottom"/>
          </w:tcPr>
          <w:p>
            <w:pPr>
              <w:ind w:left="380"/>
              <w:spacing w:after="0"/>
              <w:rPr>
                <w:sz w:val="20"/>
                <w:szCs w:val="20"/>
                <w:color w:val="auto"/>
              </w:rPr>
            </w:pPr>
            <w:r>
              <w:rPr>
                <w:rFonts w:ascii="Arial" w:cs="Arial" w:eastAsia="Arial" w:hAnsi="Arial"/>
                <w:sz w:val="15"/>
                <w:szCs w:val="15"/>
                <w:b w:val="1"/>
                <w:bCs w:val="1"/>
                <w:color w:val="auto"/>
              </w:rPr>
              <w:t xml:space="preserve">Measure type: </w:t>
            </w:r>
            <w:r>
              <w:rPr>
                <w:rFonts w:ascii="Arial" w:cs="Arial" w:eastAsia="Arial" w:hAnsi="Arial"/>
                <w:sz w:val="15"/>
                <w:szCs w:val="15"/>
                <w:color w:val="auto"/>
              </w:rPr>
              <w:t>Core performance</w:t>
            </w: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5"/>
                <w:szCs w:val="15"/>
                <w:color w:val="auto"/>
              </w:rPr>
              <w:t>equivalents and short-term</w:t>
            </w:r>
          </w:p>
        </w:tc>
        <w:tc>
          <w:tcPr>
            <w:tcW w:w="9020" w:type="dxa"/>
            <w:vAlign w:val="bottom"/>
            <w:vMerge w:val="restart"/>
          </w:tcPr>
          <w:p>
            <w:pPr>
              <w:ind w:left="380"/>
              <w:spacing w:after="0"/>
              <w:rPr>
                <w:sz w:val="20"/>
                <w:szCs w:val="20"/>
                <w:color w:val="auto"/>
              </w:rPr>
            </w:pPr>
            <w:r>
              <w:rPr>
                <w:rFonts w:ascii="Arial" w:cs="Arial" w:eastAsia="Arial" w:hAnsi="Arial"/>
                <w:sz w:val="15"/>
                <w:szCs w:val="15"/>
                <w:b w:val="1"/>
                <w:bCs w:val="1"/>
                <w:color w:val="auto"/>
              </w:rPr>
              <w:t xml:space="preserve">Definition: </w:t>
            </w:r>
            <w:r>
              <w:rPr>
                <w:rFonts w:ascii="Arial" w:cs="Arial" w:eastAsia="Arial" w:hAnsi="Arial"/>
                <w:sz w:val="15"/>
                <w:szCs w:val="15"/>
                <w:color w:val="auto"/>
              </w:rPr>
              <w:t>Cash and cash equivalents and short-term investments held at PureTech Health plc and our wholly-owned</w:t>
            </w:r>
          </w:p>
        </w:tc>
        <w:tc>
          <w:tcPr>
            <w:tcW w:w="0" w:type="dxa"/>
            <w:vAlign w:val="bottom"/>
          </w:tcPr>
          <w:p>
            <w:pPr>
              <w:spacing w:after="0"/>
              <w:rPr>
                <w:sz w:val="1"/>
                <w:szCs w:val="1"/>
                <w:color w:val="auto"/>
              </w:rPr>
            </w:pPr>
          </w:p>
        </w:tc>
      </w:tr>
      <w:tr>
        <w:trPr>
          <w:trHeight w:val="152"/>
        </w:trPr>
        <w:tc>
          <w:tcPr>
            <w:tcW w:w="2220" w:type="dxa"/>
            <w:vAlign w:val="bottom"/>
          </w:tcPr>
          <w:p>
            <w:pPr>
              <w:ind w:left="20"/>
              <w:spacing w:after="0" w:line="153" w:lineRule="exact"/>
              <w:rPr>
                <w:sz w:val="20"/>
                <w:szCs w:val="20"/>
                <w:color w:val="auto"/>
              </w:rPr>
            </w:pPr>
            <w:r>
              <w:rPr>
                <w:rFonts w:ascii="Arial" w:cs="Arial" w:eastAsia="Arial" w:hAnsi="Arial"/>
                <w:sz w:val="15"/>
                <w:szCs w:val="15"/>
                <w:color w:val="auto"/>
              </w:rPr>
              <w:t>investments</w:t>
            </w: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220" w:type="dxa"/>
            <w:vAlign w:val="bottom"/>
          </w:tcPr>
          <w:p>
            <w:pPr>
              <w:spacing w:after="0"/>
              <w:rPr>
                <w:sz w:val="17"/>
                <w:szCs w:val="17"/>
                <w:color w:val="auto"/>
              </w:rPr>
            </w:pPr>
          </w:p>
        </w:tc>
        <w:tc>
          <w:tcPr>
            <w:tcW w:w="9020" w:type="dxa"/>
            <w:vAlign w:val="bottom"/>
          </w:tcPr>
          <w:p>
            <w:pPr>
              <w:ind w:left="380"/>
              <w:spacing w:after="0"/>
              <w:rPr>
                <w:sz w:val="20"/>
                <w:szCs w:val="20"/>
                <w:color w:val="auto"/>
              </w:rPr>
            </w:pPr>
            <w:r>
              <w:rPr>
                <w:rFonts w:ascii="Arial" w:cs="Arial" w:eastAsia="Arial" w:hAnsi="Arial"/>
                <w:sz w:val="15"/>
                <w:szCs w:val="15"/>
                <w:color w:val="auto"/>
              </w:rPr>
              <w:t>subsidiaries.</w:t>
            </w:r>
          </w:p>
        </w:tc>
        <w:tc>
          <w:tcPr>
            <w:tcW w:w="0" w:type="dxa"/>
            <w:vAlign w:val="bottom"/>
          </w:tcPr>
          <w:p>
            <w:pPr>
              <w:spacing w:after="0"/>
              <w:rPr>
                <w:sz w:val="1"/>
                <w:szCs w:val="1"/>
                <w:color w:val="auto"/>
              </w:rPr>
            </w:pPr>
          </w:p>
        </w:tc>
      </w:tr>
      <w:tr>
        <w:trPr>
          <w:trHeight w:val="295"/>
        </w:trPr>
        <w:tc>
          <w:tcPr>
            <w:tcW w:w="2220" w:type="dxa"/>
            <w:vAlign w:val="bottom"/>
          </w:tcPr>
          <w:p>
            <w:pPr>
              <w:spacing w:after="0"/>
              <w:rPr>
                <w:sz w:val="24"/>
                <w:szCs w:val="24"/>
                <w:color w:val="auto"/>
              </w:rPr>
            </w:pPr>
          </w:p>
        </w:tc>
        <w:tc>
          <w:tcPr>
            <w:tcW w:w="9020" w:type="dxa"/>
            <w:vAlign w:val="bottom"/>
          </w:tcPr>
          <w:p>
            <w:pPr>
              <w:ind w:left="380"/>
              <w:spacing w:after="0"/>
              <w:rPr>
                <w:sz w:val="20"/>
                <w:szCs w:val="20"/>
                <w:color w:val="auto"/>
              </w:rPr>
            </w:pPr>
            <w:r>
              <w:rPr>
                <w:rFonts w:ascii="Arial" w:cs="Arial" w:eastAsia="Arial" w:hAnsi="Arial"/>
                <w:sz w:val="15"/>
                <w:szCs w:val="15"/>
                <w:b w:val="1"/>
                <w:bCs w:val="1"/>
                <w:color w:val="auto"/>
              </w:rPr>
              <w:t xml:space="preserve">Why we use it: </w:t>
            </w:r>
            <w:r>
              <w:rPr>
                <w:rFonts w:ascii="Arial" w:cs="Arial" w:eastAsia="Arial" w:hAnsi="Arial"/>
                <w:sz w:val="15"/>
                <w:szCs w:val="15"/>
                <w:color w:val="auto"/>
              </w:rPr>
              <w:t>PureTech Level cash, cash equivalents and short-term investments is a measure that provides valuable</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9020" w:type="dxa"/>
            <w:vAlign w:val="bottom"/>
          </w:tcPr>
          <w:p>
            <w:pPr>
              <w:ind w:left="380"/>
              <w:spacing w:after="0"/>
              <w:rPr>
                <w:sz w:val="20"/>
                <w:szCs w:val="20"/>
                <w:color w:val="auto"/>
              </w:rPr>
            </w:pPr>
            <w:r>
              <w:rPr>
                <w:rFonts w:ascii="Arial" w:cs="Arial" w:eastAsia="Arial" w:hAnsi="Arial"/>
                <w:sz w:val="15"/>
                <w:szCs w:val="15"/>
                <w:color w:val="auto"/>
              </w:rPr>
              <w:t>additional information with respect to cash, cash equivalents and short-term investments available to fund the Wholly-Owned</w:t>
            </w:r>
          </w:p>
        </w:tc>
        <w:tc>
          <w:tcPr>
            <w:tcW w:w="0" w:type="dxa"/>
            <w:vAlign w:val="bottom"/>
          </w:tcPr>
          <w:p>
            <w:pPr>
              <w:spacing w:after="0"/>
              <w:rPr>
                <w:sz w:val="1"/>
                <w:szCs w:val="1"/>
                <w:color w:val="auto"/>
              </w:rPr>
            </w:pPr>
          </w:p>
        </w:tc>
      </w:tr>
      <w:tr>
        <w:trPr>
          <w:trHeight w:val="200"/>
        </w:trPr>
        <w:tc>
          <w:tcPr>
            <w:tcW w:w="2220" w:type="dxa"/>
            <w:vAlign w:val="bottom"/>
          </w:tcPr>
          <w:p>
            <w:pPr>
              <w:spacing w:after="0"/>
              <w:rPr>
                <w:sz w:val="17"/>
                <w:szCs w:val="17"/>
                <w:color w:val="auto"/>
              </w:rPr>
            </w:pPr>
          </w:p>
        </w:tc>
        <w:tc>
          <w:tcPr>
            <w:tcW w:w="9020" w:type="dxa"/>
            <w:vAlign w:val="bottom"/>
          </w:tcPr>
          <w:p>
            <w:pPr>
              <w:ind w:left="380"/>
              <w:spacing w:after="0"/>
              <w:rPr>
                <w:sz w:val="20"/>
                <w:szCs w:val="20"/>
                <w:color w:val="auto"/>
              </w:rPr>
            </w:pPr>
            <w:r>
              <w:rPr>
                <w:rFonts w:ascii="Arial" w:cs="Arial" w:eastAsia="Arial" w:hAnsi="Arial"/>
                <w:sz w:val="15"/>
                <w:szCs w:val="15"/>
                <w:color w:val="auto"/>
              </w:rPr>
              <w:t>Programs and make certain investments in Founded Entities.</w:t>
            </w:r>
          </w:p>
        </w:tc>
        <w:tc>
          <w:tcPr>
            <w:tcW w:w="0" w:type="dxa"/>
            <w:vAlign w:val="bottom"/>
          </w:tcPr>
          <w:p>
            <w:pPr>
              <w:spacing w:after="0"/>
              <w:rPr>
                <w:sz w:val="1"/>
                <w:szCs w:val="1"/>
                <w:color w:val="auto"/>
              </w:rPr>
            </w:pPr>
          </w:p>
        </w:tc>
      </w:tr>
      <w:tr>
        <w:trPr>
          <w:trHeight w:val="114"/>
        </w:trPr>
        <w:tc>
          <w:tcPr>
            <w:tcW w:w="2220" w:type="dxa"/>
            <w:vAlign w:val="bottom"/>
            <w:tcBorders>
              <w:bottom w:val="single" w:sz="8" w:color="183964"/>
            </w:tcBorders>
          </w:tcPr>
          <w:p>
            <w:pPr>
              <w:spacing w:after="0"/>
              <w:rPr>
                <w:sz w:val="9"/>
                <w:szCs w:val="9"/>
                <w:color w:val="auto"/>
              </w:rPr>
            </w:pPr>
          </w:p>
        </w:tc>
        <w:tc>
          <w:tcPr>
            <w:tcW w:w="9020" w:type="dxa"/>
            <w:vAlign w:val="bottom"/>
            <w:tcBorders>
              <w:bottom w:val="single" w:sz="8" w:color="183964"/>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Non-IFRS Measures Reconciliation</w:t>
      </w:r>
    </w:p>
    <w:p>
      <w:pPr>
        <w:spacing w:after="0" w:line="113" w:lineRule="exact"/>
        <w:rPr>
          <w:sz w:val="20"/>
          <w:szCs w:val="20"/>
          <w:color w:val="auto"/>
        </w:rPr>
      </w:pPr>
    </w:p>
    <w:p>
      <w:pPr>
        <w:ind w:right="160"/>
        <w:spacing w:after="0" w:line="283" w:lineRule="auto"/>
        <w:rPr>
          <w:sz w:val="20"/>
          <w:szCs w:val="20"/>
          <w:color w:val="auto"/>
        </w:rPr>
      </w:pPr>
      <w:r>
        <w:rPr>
          <w:rFonts w:ascii="Arial" w:cs="Arial" w:eastAsia="Arial" w:hAnsi="Arial"/>
          <w:sz w:val="15"/>
          <w:szCs w:val="15"/>
          <w:color w:val="auto"/>
        </w:rPr>
        <w:t>The following is the reconciliation of the amounts appearing in our Condensed Consolidated Statement of Financial Position to the alternative performance measure described above: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2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183964"/>
                <w:w w:val="98"/>
              </w:rPr>
              <w:t>December 31, 2024</w:t>
            </w:r>
          </w:p>
        </w:tc>
        <w:tc>
          <w:tcPr>
            <w:tcW w:w="0" w:type="dxa"/>
            <w:vAlign w:val="bottom"/>
          </w:tcPr>
          <w:p>
            <w:pPr>
              <w:spacing w:after="0"/>
              <w:rPr>
                <w:sz w:val="1"/>
                <w:szCs w:val="1"/>
                <w:color w:val="auto"/>
              </w:rPr>
            </w:pPr>
          </w:p>
        </w:tc>
      </w:tr>
      <w:tr>
        <w:trPr>
          <w:trHeight w:val="176"/>
        </w:trPr>
        <w:tc>
          <w:tcPr>
            <w:tcW w:w="6780" w:type="dxa"/>
            <w:vAlign w:val="bottom"/>
            <w:tcBorders>
              <w:bottom w:val="single" w:sz="8" w:color="001544"/>
            </w:tcBorders>
            <w:vMerge w:val="continue"/>
          </w:tcPr>
          <w:p>
            <w:pPr>
              <w:spacing w:after="0"/>
              <w:rPr>
                <w:sz w:val="15"/>
                <w:szCs w:val="15"/>
                <w:color w:val="auto"/>
              </w:rPr>
            </w:pPr>
          </w:p>
        </w:tc>
        <w:tc>
          <w:tcPr>
            <w:tcW w:w="2240" w:type="dxa"/>
            <w:vAlign w:val="bottom"/>
            <w:tcBorders>
              <w:bottom w:val="single" w:sz="8" w:color="001544"/>
            </w:tcBorders>
          </w:tcPr>
          <w:p>
            <w:pPr>
              <w:spacing w:after="0"/>
              <w:rPr>
                <w:sz w:val="15"/>
                <w:szCs w:val="15"/>
                <w:color w:val="auto"/>
              </w:rPr>
            </w:pPr>
          </w:p>
        </w:tc>
        <w:tc>
          <w:tcPr>
            <w:tcW w:w="920" w:type="dxa"/>
            <w:vAlign w:val="bottom"/>
            <w:tcBorders>
              <w:bottom w:val="single" w:sz="8" w:color="001544"/>
            </w:tcBorders>
          </w:tcPr>
          <w:p>
            <w:pPr>
              <w:jc w:val="right"/>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001544"/>
            </w:tcBorders>
          </w:tcPr>
          <w:p>
            <w:pPr>
              <w:spacing w:after="0"/>
              <w:rPr>
                <w:sz w:val="15"/>
                <w:szCs w:val="15"/>
                <w:color w:val="auto"/>
              </w:rPr>
            </w:pPr>
          </w:p>
        </w:tc>
        <w:tc>
          <w:tcPr>
            <w:tcW w:w="1160" w:type="dxa"/>
            <w:vAlign w:val="bottom"/>
            <w:tcBorders>
              <w:bottom w:val="single" w:sz="8" w:color="001544"/>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2240" w:type="dxa"/>
            <w:vAlign w:val="bottom"/>
          </w:tcPr>
          <w:p>
            <w:pPr>
              <w:jc w:val="right"/>
              <w:ind w:right="204"/>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7"/>
              <w:spacing w:after="0"/>
              <w:rPr>
                <w:sz w:val="20"/>
                <w:szCs w:val="20"/>
                <w:color w:val="auto"/>
              </w:rPr>
            </w:pPr>
            <w:r>
              <w:rPr>
                <w:rFonts w:ascii="Arial" w:cs="Arial" w:eastAsia="Arial" w:hAnsi="Arial"/>
                <w:sz w:val="15"/>
                <w:szCs w:val="15"/>
                <w:b w:val="1"/>
                <w:bCs w:val="1"/>
                <w:color w:val="auto"/>
              </w:rPr>
              <w:t>260,604</w:t>
            </w:r>
          </w:p>
        </w:tc>
        <w:tc>
          <w:tcPr>
            <w:tcW w:w="120" w:type="dxa"/>
            <w:vAlign w:val="bottom"/>
          </w:tcPr>
          <w:p>
            <w:pPr>
              <w:jc w:val="right"/>
              <w:spacing w:after="0"/>
              <w:rPr>
                <w:sz w:val="20"/>
                <w:szCs w:val="20"/>
                <w:color w:val="auto"/>
              </w:rPr>
            </w:pPr>
            <w:r>
              <w:rPr>
                <w:rFonts w:ascii="Arial" w:cs="Arial" w:eastAsia="Arial" w:hAnsi="Arial"/>
                <w:sz w:val="15"/>
                <w:szCs w:val="15"/>
                <w:color w:val="183964"/>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183964"/>
              </w:rPr>
              <w:t>280,641</w:t>
            </w:r>
          </w:p>
        </w:tc>
        <w:tc>
          <w:tcPr>
            <w:tcW w:w="0" w:type="dxa"/>
            <w:vAlign w:val="bottom"/>
          </w:tcPr>
          <w:p>
            <w:pPr>
              <w:spacing w:after="0"/>
              <w:rPr>
                <w:sz w:val="1"/>
                <w:szCs w:val="1"/>
                <w:color w:val="auto"/>
              </w:rPr>
            </w:pPr>
          </w:p>
        </w:tc>
      </w:tr>
      <w:tr>
        <w:trPr>
          <w:trHeight w:val="25"/>
        </w:trPr>
        <w:tc>
          <w:tcPr>
            <w:tcW w:w="6780" w:type="dxa"/>
            <w:vAlign w:val="bottom"/>
            <w:tcBorders>
              <w:bottom w:val="single" w:sz="8" w:color="001544"/>
            </w:tcBorders>
          </w:tcPr>
          <w:p>
            <w:pPr>
              <w:spacing w:after="0"/>
              <w:rPr>
                <w:sz w:val="2"/>
                <w:szCs w:val="2"/>
                <w:color w:val="auto"/>
              </w:rPr>
            </w:pPr>
          </w:p>
        </w:tc>
        <w:tc>
          <w:tcPr>
            <w:tcW w:w="2240" w:type="dxa"/>
            <w:vAlign w:val="bottom"/>
            <w:tcBorders>
              <w:bottom w:val="single" w:sz="8" w:color="001544"/>
            </w:tcBorders>
          </w:tcPr>
          <w:p>
            <w:pPr>
              <w:spacing w:after="0"/>
              <w:rPr>
                <w:sz w:val="2"/>
                <w:szCs w:val="2"/>
                <w:color w:val="auto"/>
              </w:rPr>
            </w:pPr>
          </w:p>
        </w:tc>
        <w:tc>
          <w:tcPr>
            <w:tcW w:w="920" w:type="dxa"/>
            <w:vAlign w:val="bottom"/>
            <w:tcBorders>
              <w:bottom w:val="single" w:sz="8" w:color="001544"/>
            </w:tcBorders>
          </w:tcPr>
          <w:p>
            <w:pPr>
              <w:spacing w:after="0"/>
              <w:rPr>
                <w:sz w:val="2"/>
                <w:szCs w:val="2"/>
                <w:color w:val="auto"/>
              </w:rPr>
            </w:pPr>
          </w:p>
        </w:tc>
        <w:tc>
          <w:tcPr>
            <w:tcW w:w="120" w:type="dxa"/>
            <w:vAlign w:val="bottom"/>
            <w:tcBorders>
              <w:bottom w:val="single" w:sz="8" w:color="001544"/>
            </w:tcBorders>
          </w:tcPr>
          <w:p>
            <w:pPr>
              <w:spacing w:after="0"/>
              <w:rPr>
                <w:sz w:val="2"/>
                <w:szCs w:val="2"/>
                <w:color w:val="auto"/>
              </w:rPr>
            </w:pPr>
          </w:p>
        </w:tc>
        <w:tc>
          <w:tcPr>
            <w:tcW w:w="1160" w:type="dxa"/>
            <w:vAlign w:val="bottom"/>
            <w:tcBorders>
              <w:bottom w:val="single" w:sz="8" w:color="001544"/>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780" w:type="dxa"/>
            <w:vAlign w:val="bottom"/>
          </w:tcPr>
          <w:p>
            <w:pPr>
              <w:ind w:left="20"/>
              <w:spacing w:after="0"/>
              <w:rPr>
                <w:sz w:val="20"/>
                <w:szCs w:val="20"/>
                <w:color w:val="auto"/>
              </w:rPr>
            </w:pPr>
            <w:r>
              <w:rPr>
                <w:rFonts w:ascii="Arial" w:cs="Arial" w:eastAsia="Arial" w:hAnsi="Arial"/>
                <w:sz w:val="15"/>
                <w:szCs w:val="15"/>
                <w:color w:val="auto"/>
              </w:rPr>
              <w:t>Short-term investments</w:t>
            </w:r>
          </w:p>
        </w:tc>
        <w:tc>
          <w:tcPr>
            <w:tcW w:w="2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59,303</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183964"/>
              </w:rPr>
              <w:t>86,666</w:t>
            </w:r>
          </w:p>
        </w:tc>
        <w:tc>
          <w:tcPr>
            <w:tcW w:w="0" w:type="dxa"/>
            <w:vAlign w:val="bottom"/>
          </w:tcPr>
          <w:p>
            <w:pPr>
              <w:spacing w:after="0"/>
              <w:rPr>
                <w:sz w:val="1"/>
                <w:szCs w:val="1"/>
                <w:color w:val="auto"/>
              </w:rPr>
            </w:pPr>
          </w:p>
        </w:tc>
      </w:tr>
      <w:tr>
        <w:trPr>
          <w:trHeight w:val="25"/>
        </w:trPr>
        <w:tc>
          <w:tcPr>
            <w:tcW w:w="6780" w:type="dxa"/>
            <w:vAlign w:val="bottom"/>
            <w:tcBorders>
              <w:bottom w:val="single" w:sz="8" w:color="001544"/>
            </w:tcBorders>
          </w:tcPr>
          <w:p>
            <w:pPr>
              <w:spacing w:after="0"/>
              <w:rPr>
                <w:sz w:val="2"/>
                <w:szCs w:val="2"/>
                <w:color w:val="auto"/>
              </w:rPr>
            </w:pPr>
          </w:p>
        </w:tc>
        <w:tc>
          <w:tcPr>
            <w:tcW w:w="2240" w:type="dxa"/>
            <w:vAlign w:val="bottom"/>
            <w:tcBorders>
              <w:bottom w:val="single" w:sz="8" w:color="001544"/>
            </w:tcBorders>
          </w:tcPr>
          <w:p>
            <w:pPr>
              <w:spacing w:after="0"/>
              <w:rPr>
                <w:sz w:val="2"/>
                <w:szCs w:val="2"/>
                <w:color w:val="auto"/>
              </w:rPr>
            </w:pPr>
          </w:p>
        </w:tc>
        <w:tc>
          <w:tcPr>
            <w:tcW w:w="920" w:type="dxa"/>
            <w:vAlign w:val="bottom"/>
            <w:tcBorders>
              <w:bottom w:val="single" w:sz="8" w:color="001544"/>
            </w:tcBorders>
          </w:tcPr>
          <w:p>
            <w:pPr>
              <w:spacing w:after="0"/>
              <w:rPr>
                <w:sz w:val="2"/>
                <w:szCs w:val="2"/>
                <w:color w:val="auto"/>
              </w:rPr>
            </w:pPr>
          </w:p>
        </w:tc>
        <w:tc>
          <w:tcPr>
            <w:tcW w:w="120" w:type="dxa"/>
            <w:vAlign w:val="bottom"/>
            <w:tcBorders>
              <w:bottom w:val="single" w:sz="8" w:color="001544"/>
            </w:tcBorders>
          </w:tcPr>
          <w:p>
            <w:pPr>
              <w:spacing w:after="0"/>
              <w:rPr>
                <w:sz w:val="2"/>
                <w:szCs w:val="2"/>
                <w:color w:val="auto"/>
              </w:rPr>
            </w:pPr>
          </w:p>
        </w:tc>
        <w:tc>
          <w:tcPr>
            <w:tcW w:w="1160" w:type="dxa"/>
            <w:vAlign w:val="bottom"/>
            <w:tcBorders>
              <w:bottom w:val="single" w:sz="8" w:color="001544"/>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780" w:type="dxa"/>
            <w:vAlign w:val="bottom"/>
          </w:tcPr>
          <w:p>
            <w:pPr>
              <w:ind w:left="20"/>
              <w:spacing w:after="0"/>
              <w:rPr>
                <w:sz w:val="20"/>
                <w:szCs w:val="20"/>
                <w:color w:val="auto"/>
              </w:rPr>
            </w:pPr>
            <w:r>
              <w:rPr>
                <w:rFonts w:ascii="Arial" w:cs="Arial" w:eastAsia="Arial" w:hAnsi="Arial"/>
                <w:sz w:val="15"/>
                <w:szCs w:val="15"/>
                <w:b w:val="1"/>
                <w:bCs w:val="1"/>
                <w:color w:val="auto"/>
              </w:rPr>
              <w:t>Consolidated cash, cash equivalents and short-term investments</w:t>
            </w:r>
          </w:p>
        </w:tc>
        <w:tc>
          <w:tcPr>
            <w:tcW w:w="2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319,907</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183964"/>
              </w:rPr>
              <w:t>367,307</w:t>
            </w:r>
          </w:p>
        </w:tc>
        <w:tc>
          <w:tcPr>
            <w:tcW w:w="0" w:type="dxa"/>
            <w:vAlign w:val="bottom"/>
          </w:tcPr>
          <w:p>
            <w:pPr>
              <w:spacing w:after="0"/>
              <w:rPr>
                <w:sz w:val="1"/>
                <w:szCs w:val="1"/>
                <w:color w:val="auto"/>
              </w:rPr>
            </w:pPr>
          </w:p>
        </w:tc>
      </w:tr>
      <w:tr>
        <w:trPr>
          <w:trHeight w:val="25"/>
        </w:trPr>
        <w:tc>
          <w:tcPr>
            <w:tcW w:w="6780" w:type="dxa"/>
            <w:vAlign w:val="bottom"/>
            <w:tcBorders>
              <w:bottom w:val="single" w:sz="8" w:color="001544"/>
            </w:tcBorders>
          </w:tcPr>
          <w:p>
            <w:pPr>
              <w:spacing w:after="0"/>
              <w:rPr>
                <w:sz w:val="2"/>
                <w:szCs w:val="2"/>
                <w:color w:val="auto"/>
              </w:rPr>
            </w:pPr>
          </w:p>
        </w:tc>
        <w:tc>
          <w:tcPr>
            <w:tcW w:w="2240" w:type="dxa"/>
            <w:vAlign w:val="bottom"/>
            <w:tcBorders>
              <w:bottom w:val="single" w:sz="8" w:color="001544"/>
            </w:tcBorders>
          </w:tcPr>
          <w:p>
            <w:pPr>
              <w:spacing w:after="0"/>
              <w:rPr>
                <w:sz w:val="2"/>
                <w:szCs w:val="2"/>
                <w:color w:val="auto"/>
              </w:rPr>
            </w:pPr>
          </w:p>
        </w:tc>
        <w:tc>
          <w:tcPr>
            <w:tcW w:w="920" w:type="dxa"/>
            <w:vAlign w:val="bottom"/>
            <w:tcBorders>
              <w:bottom w:val="single" w:sz="8" w:color="001544"/>
            </w:tcBorders>
          </w:tcPr>
          <w:p>
            <w:pPr>
              <w:spacing w:after="0"/>
              <w:rPr>
                <w:sz w:val="2"/>
                <w:szCs w:val="2"/>
                <w:color w:val="auto"/>
              </w:rPr>
            </w:pPr>
          </w:p>
        </w:tc>
        <w:tc>
          <w:tcPr>
            <w:tcW w:w="120" w:type="dxa"/>
            <w:vAlign w:val="bottom"/>
            <w:tcBorders>
              <w:bottom w:val="single" w:sz="8" w:color="001544"/>
            </w:tcBorders>
          </w:tcPr>
          <w:p>
            <w:pPr>
              <w:spacing w:after="0"/>
              <w:rPr>
                <w:sz w:val="2"/>
                <w:szCs w:val="2"/>
                <w:color w:val="auto"/>
              </w:rPr>
            </w:pPr>
          </w:p>
        </w:tc>
        <w:tc>
          <w:tcPr>
            <w:tcW w:w="1160" w:type="dxa"/>
            <w:vAlign w:val="bottom"/>
            <w:tcBorders>
              <w:bottom w:val="single" w:sz="8" w:color="001544"/>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780" w:type="dxa"/>
            <w:vAlign w:val="bottom"/>
          </w:tcPr>
          <w:p>
            <w:pPr>
              <w:ind w:left="20"/>
              <w:spacing w:after="0"/>
              <w:rPr>
                <w:sz w:val="20"/>
                <w:szCs w:val="20"/>
                <w:color w:val="auto"/>
              </w:rPr>
            </w:pPr>
            <w:r>
              <w:rPr>
                <w:rFonts w:ascii="Arial" w:cs="Arial" w:eastAsia="Arial" w:hAnsi="Arial"/>
                <w:sz w:val="15"/>
                <w:szCs w:val="15"/>
                <w:color w:val="auto"/>
              </w:rPr>
              <w:t>Less: cash and cash equivalents held at non-wholly owned subsidiaries</w:t>
            </w:r>
          </w:p>
        </w:tc>
        <w:tc>
          <w:tcPr>
            <w:tcW w:w="2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(286)</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183964"/>
              </w:rPr>
              <w:t>(493)</w:t>
            </w:r>
          </w:p>
        </w:tc>
        <w:tc>
          <w:tcPr>
            <w:tcW w:w="0" w:type="dxa"/>
            <w:vAlign w:val="bottom"/>
          </w:tcPr>
          <w:p>
            <w:pPr>
              <w:spacing w:after="0"/>
              <w:rPr>
                <w:sz w:val="1"/>
                <w:szCs w:val="1"/>
                <w:color w:val="auto"/>
              </w:rPr>
            </w:pPr>
          </w:p>
        </w:tc>
      </w:tr>
      <w:tr>
        <w:trPr>
          <w:trHeight w:val="25"/>
        </w:trPr>
        <w:tc>
          <w:tcPr>
            <w:tcW w:w="6780" w:type="dxa"/>
            <w:vAlign w:val="bottom"/>
            <w:tcBorders>
              <w:bottom w:val="single" w:sz="8" w:color="001544"/>
            </w:tcBorders>
          </w:tcPr>
          <w:p>
            <w:pPr>
              <w:spacing w:after="0"/>
              <w:rPr>
                <w:sz w:val="2"/>
                <w:szCs w:val="2"/>
                <w:color w:val="auto"/>
              </w:rPr>
            </w:pPr>
          </w:p>
        </w:tc>
        <w:tc>
          <w:tcPr>
            <w:tcW w:w="2240" w:type="dxa"/>
            <w:vAlign w:val="bottom"/>
            <w:tcBorders>
              <w:bottom w:val="single" w:sz="8" w:color="001544"/>
            </w:tcBorders>
          </w:tcPr>
          <w:p>
            <w:pPr>
              <w:spacing w:after="0"/>
              <w:rPr>
                <w:sz w:val="2"/>
                <w:szCs w:val="2"/>
                <w:color w:val="auto"/>
              </w:rPr>
            </w:pPr>
          </w:p>
        </w:tc>
        <w:tc>
          <w:tcPr>
            <w:tcW w:w="920" w:type="dxa"/>
            <w:vAlign w:val="bottom"/>
            <w:tcBorders>
              <w:bottom w:val="single" w:sz="8" w:color="001544"/>
            </w:tcBorders>
          </w:tcPr>
          <w:p>
            <w:pPr>
              <w:spacing w:after="0"/>
              <w:rPr>
                <w:sz w:val="2"/>
                <w:szCs w:val="2"/>
                <w:color w:val="auto"/>
              </w:rPr>
            </w:pPr>
          </w:p>
        </w:tc>
        <w:tc>
          <w:tcPr>
            <w:tcW w:w="120" w:type="dxa"/>
            <w:vAlign w:val="bottom"/>
            <w:tcBorders>
              <w:bottom w:val="single" w:sz="8" w:color="001544"/>
            </w:tcBorders>
          </w:tcPr>
          <w:p>
            <w:pPr>
              <w:spacing w:after="0"/>
              <w:rPr>
                <w:sz w:val="2"/>
                <w:szCs w:val="2"/>
                <w:color w:val="auto"/>
              </w:rPr>
            </w:pPr>
          </w:p>
        </w:tc>
        <w:tc>
          <w:tcPr>
            <w:tcW w:w="1160" w:type="dxa"/>
            <w:vAlign w:val="bottom"/>
            <w:tcBorders>
              <w:bottom w:val="single" w:sz="8" w:color="001544"/>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780" w:type="dxa"/>
            <w:vAlign w:val="bottom"/>
          </w:tcPr>
          <w:p>
            <w:pPr>
              <w:ind w:left="20"/>
              <w:spacing w:after="0"/>
              <w:rPr>
                <w:sz w:val="20"/>
                <w:szCs w:val="20"/>
                <w:color w:val="auto"/>
              </w:rPr>
            </w:pPr>
            <w:r>
              <w:rPr>
                <w:rFonts w:ascii="Arial" w:cs="Arial" w:eastAsia="Arial" w:hAnsi="Arial"/>
                <w:sz w:val="15"/>
                <w:szCs w:val="15"/>
                <w:b w:val="1"/>
                <w:bCs w:val="1"/>
                <w:color w:val="auto"/>
              </w:rPr>
              <w:t>PureTech Level cash, cash equivalents and short-term investments</w:t>
            </w:r>
          </w:p>
        </w:tc>
        <w:tc>
          <w:tcPr>
            <w:tcW w:w="2240" w:type="dxa"/>
            <w:vAlign w:val="bottom"/>
          </w:tcPr>
          <w:p>
            <w:pPr>
              <w:jc w:val="right"/>
              <w:ind w:right="204"/>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7"/>
              <w:spacing w:after="0"/>
              <w:rPr>
                <w:sz w:val="20"/>
                <w:szCs w:val="20"/>
                <w:color w:val="auto"/>
              </w:rPr>
            </w:pPr>
            <w:r>
              <w:rPr>
                <w:rFonts w:ascii="Arial" w:cs="Arial" w:eastAsia="Arial" w:hAnsi="Arial"/>
                <w:sz w:val="15"/>
                <w:szCs w:val="15"/>
                <w:b w:val="1"/>
                <w:bCs w:val="1"/>
                <w:color w:val="auto"/>
              </w:rPr>
              <w:t>319,621</w:t>
            </w:r>
          </w:p>
        </w:tc>
        <w:tc>
          <w:tcPr>
            <w:tcW w:w="120" w:type="dxa"/>
            <w:vAlign w:val="bottom"/>
          </w:tcPr>
          <w:p>
            <w:pPr>
              <w:jc w:val="right"/>
              <w:spacing w:after="0"/>
              <w:rPr>
                <w:sz w:val="20"/>
                <w:szCs w:val="20"/>
                <w:color w:val="auto"/>
              </w:rPr>
            </w:pPr>
            <w:r>
              <w:rPr>
                <w:rFonts w:ascii="Arial" w:cs="Arial" w:eastAsia="Arial" w:hAnsi="Arial"/>
                <w:sz w:val="15"/>
                <w:szCs w:val="15"/>
                <w:color w:val="183964"/>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183964"/>
              </w:rPr>
              <w:t>366,813</w:t>
            </w:r>
          </w:p>
        </w:tc>
        <w:tc>
          <w:tcPr>
            <w:tcW w:w="0" w:type="dxa"/>
            <w:vAlign w:val="bottom"/>
          </w:tcPr>
          <w:p>
            <w:pPr>
              <w:spacing w:after="0"/>
              <w:rPr>
                <w:sz w:val="1"/>
                <w:szCs w:val="1"/>
                <w:color w:val="auto"/>
              </w:rPr>
            </w:pPr>
          </w:p>
        </w:tc>
      </w:tr>
      <w:tr>
        <w:trPr>
          <w:trHeight w:val="25"/>
        </w:trPr>
        <w:tc>
          <w:tcPr>
            <w:tcW w:w="6780" w:type="dxa"/>
            <w:vAlign w:val="bottom"/>
            <w:tcBorders>
              <w:bottom w:val="single" w:sz="8" w:color="001544"/>
            </w:tcBorders>
          </w:tcPr>
          <w:p>
            <w:pPr>
              <w:spacing w:after="0"/>
              <w:rPr>
                <w:sz w:val="2"/>
                <w:szCs w:val="2"/>
                <w:color w:val="auto"/>
              </w:rPr>
            </w:pPr>
          </w:p>
        </w:tc>
        <w:tc>
          <w:tcPr>
            <w:tcW w:w="2240" w:type="dxa"/>
            <w:vAlign w:val="bottom"/>
            <w:tcBorders>
              <w:bottom w:val="single" w:sz="8" w:color="001544"/>
            </w:tcBorders>
          </w:tcPr>
          <w:p>
            <w:pPr>
              <w:spacing w:after="0"/>
              <w:rPr>
                <w:sz w:val="2"/>
                <w:szCs w:val="2"/>
                <w:color w:val="auto"/>
              </w:rPr>
            </w:pPr>
          </w:p>
        </w:tc>
        <w:tc>
          <w:tcPr>
            <w:tcW w:w="920" w:type="dxa"/>
            <w:vAlign w:val="bottom"/>
            <w:tcBorders>
              <w:bottom w:val="single" w:sz="8" w:color="001544"/>
            </w:tcBorders>
          </w:tcPr>
          <w:p>
            <w:pPr>
              <w:spacing w:after="0"/>
              <w:rPr>
                <w:sz w:val="2"/>
                <w:szCs w:val="2"/>
                <w:color w:val="auto"/>
              </w:rPr>
            </w:pPr>
          </w:p>
        </w:tc>
        <w:tc>
          <w:tcPr>
            <w:tcW w:w="120" w:type="dxa"/>
            <w:vAlign w:val="bottom"/>
            <w:tcBorders>
              <w:bottom w:val="single" w:sz="8" w:color="001544"/>
            </w:tcBorders>
          </w:tcPr>
          <w:p>
            <w:pPr>
              <w:spacing w:after="0"/>
              <w:rPr>
                <w:sz w:val="2"/>
                <w:szCs w:val="2"/>
                <w:color w:val="auto"/>
              </w:rPr>
            </w:pPr>
          </w:p>
        </w:tc>
        <w:tc>
          <w:tcPr>
            <w:tcW w:w="1160" w:type="dxa"/>
            <w:vAlign w:val="bottom"/>
            <w:tcBorders>
              <w:bottom w:val="single" w:sz="8" w:color="001544"/>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43"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t>Contact: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PureTech</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Public Relations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publicrelations@puretechhealth.com</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Investor Relations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IR@puretechhealth.com</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UK Corporate Brokers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UBS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Christopher Binks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christopher.binks@ubs.com</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Peel Hunt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James Steel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james.steel@peelhunt.com</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UK/EU Media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FTI Consulting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 Atwell, Rob Winder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+44 (0) 20 3727 1000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puretech@fticonsulting.com</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Media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Ten Bridge Communications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Justin Chen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+1 609 578 7230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jchen@tenbridgecommunications.com</w:t>
      </w:r>
    </w:p>
    <w:p>
      <w:pPr>
        <w:spacing w:after="0" w:line="379" w:lineRule="exact"/>
        <w:rPr>
          <w:sz w:val="20"/>
          <w:szCs w:val="20"/>
          <w:color w:val="auto"/>
        </w:rPr>
      </w:pPr>
    </w:p>
    <w:p>
      <w:pPr>
        <w:spacing w:after="0"/>
        <w:rPr>
          <w:sz w:val="20"/>
          <w:szCs w:val="20"/>
          <w:color w:val="auto"/>
        </w:rPr>
      </w:pPr>
      <w:r>
        <w:rPr>
          <w:rFonts w:ascii="Arial" w:cs="Arial" w:eastAsia="Arial" w:hAnsi="Arial"/>
          <w:sz w:val="10"/>
          <w:szCs w:val="10"/>
          <w:color w:val="183964"/>
        </w:rPr>
        <w:t>1 Portfolio comprises (1) the Company’s current and future therapeutic candidates and technologies that are developed by the Company's wholly-owned subsidiaries, whether they were announced as a Founded Entity or not, and will</w:t>
      </w:r>
    </w:p>
    <w:p>
      <w:pPr>
        <w:spacing w:after="0" w:line="27" w:lineRule="exact"/>
        <w:rPr>
          <w:sz w:val="20"/>
          <w:szCs w:val="20"/>
          <w:color w:val="auto"/>
        </w:rPr>
      </w:pPr>
    </w:p>
    <w:p>
      <w:pPr>
        <w:ind w:left="220" w:right="100"/>
        <w:spacing w:after="0" w:line="246" w:lineRule="auto"/>
        <w:rPr>
          <w:sz w:val="20"/>
          <w:szCs w:val="20"/>
          <w:color w:val="auto"/>
        </w:rPr>
      </w:pPr>
      <w:r>
        <w:rPr>
          <w:rFonts w:ascii="Arial" w:cs="Arial" w:eastAsia="Arial" w:hAnsi="Arial"/>
          <w:sz w:val="11"/>
          <w:szCs w:val="11"/>
          <w:color w:val="183964"/>
        </w:rPr>
        <w:t>be advanced through with either the Company's funding or non-dilutive sources of financing, and (2) companies founded by PureTech in which PureTech maintains ownership of an equity interest and, in certain cases, is eligible to receive sublicense income and royalties on product sales.</w:t>
      </w:r>
    </w:p>
    <w:p>
      <w:pPr>
        <w:spacing w:after="0" w:line="31" w:lineRule="exact"/>
        <w:rPr>
          <w:sz w:val="20"/>
          <w:szCs w:val="20"/>
          <w:color w:val="auto"/>
        </w:rPr>
      </w:pPr>
    </w:p>
    <w:p>
      <w:pPr>
        <w:ind w:left="220" w:right="400" w:hanging="203"/>
        <w:spacing w:after="0" w:line="259" w:lineRule="auto"/>
        <w:rPr>
          <w:sz w:val="20"/>
          <w:szCs w:val="20"/>
          <w:color w:val="auto"/>
        </w:rPr>
      </w:pPr>
      <w:r>
        <w:rPr>
          <w:rFonts w:ascii="Arial" w:cs="Arial" w:eastAsia="Arial" w:hAnsi="Arial"/>
          <w:sz w:val="11"/>
          <w:szCs w:val="11"/>
          <w:color w:val="183964"/>
        </w:rPr>
        <w:t>2 Core Programs represents announced programs of strategic focus that will drive material future value within PureTech’s portfolio and/or that may receive potential future material capital allocation in the form of investment from PureTech.</w:t>
      </w:r>
    </w:p>
    <w:p>
      <w:pPr>
        <w:spacing w:after="0" w:line="24" w:lineRule="exact"/>
        <w:rPr>
          <w:sz w:val="20"/>
          <w:szCs w:val="20"/>
          <w:color w:val="auto"/>
        </w:rPr>
      </w:pPr>
    </w:p>
    <w:p>
      <w:pPr>
        <w:ind w:left="220" w:right="20" w:hanging="203"/>
        <w:spacing w:after="0" w:line="259" w:lineRule="auto"/>
        <w:rPr>
          <w:sz w:val="20"/>
          <w:szCs w:val="20"/>
          <w:color w:val="auto"/>
        </w:rPr>
      </w:pPr>
      <w:r>
        <w:rPr>
          <w:rFonts w:ascii="Arial" w:cs="Arial" w:eastAsia="Arial" w:hAnsi="Arial"/>
          <w:sz w:val="11"/>
          <w:szCs w:val="11"/>
          <w:color w:val="183964"/>
        </w:rPr>
        <w:t>3 Legacy Holdings represent our interests in historical Founded Entities. We retain potential upside from these positions but do not expect them to be material value drivers for PureTech and only expect to allocate modest, if any, capital to these entities. To the extent we believe that these holdings could produce material value to PureTech or receive material investment from PureTech, we would move them into the Core Programs category.</w:t>
      </w:r>
    </w:p>
    <w:p>
      <w:pPr>
        <w:spacing w:after="0" w:line="11" w:lineRule="exact"/>
        <w:rPr>
          <w:sz w:val="20"/>
          <w:szCs w:val="20"/>
          <w:color w:val="auto"/>
        </w:rPr>
      </w:pPr>
    </w:p>
    <w:p>
      <w:pPr>
        <w:ind w:left="220" w:hanging="203"/>
        <w:spacing w:after="0" w:line="288" w:lineRule="auto"/>
        <w:rPr>
          <w:sz w:val="20"/>
          <w:szCs w:val="20"/>
          <w:color w:val="auto"/>
        </w:rPr>
      </w:pPr>
      <w:r>
        <w:rPr>
          <w:rFonts w:ascii="Arial" w:cs="Arial" w:eastAsia="Arial" w:hAnsi="Arial"/>
          <w:sz w:val="10"/>
          <w:szCs w:val="10"/>
          <w:color w:val="183964"/>
        </w:rPr>
        <w:t>4 Relevant ownership interests for Celea Therapeutics, Gallop Oncology, Inc., Seaport Therapeutics, Inc., and Entrega, Inc. were calculated on a partially diluted basis (as opposed to a voting basis) as of June 30, 2025, and for Sonde Health, Inc. as of August 27, 2025 including outstanding shares, options and warrants, but excluding unallocated shares authorized to be issued pursuant to equity incentive plans. Sonde Health, Inc. completed a modest convertible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0"/>
          <w:szCs w:val="10"/>
          <w:color w:val="183964"/>
        </w:rPr>
        <w:t>debt financing in July 2025, which,if converted in a future financing, could further dilute PureTech’s position from what is noted here. Ownership interests for Vedanta were calculated on a fully-diluted basis as of August 27, 2025.</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1"/>
          <w:szCs w:val="11"/>
          <w:color w:val="183964"/>
        </w:rPr>
        <w:t>PureTech controls Gallop Oncology, Inc. and Celea Therapeutics.</w:t>
      </w:r>
    </w:p>
    <w:p>
      <w:pPr>
        <w:spacing w:after="0" w:line="26" w:lineRule="exact"/>
        <w:rPr>
          <w:sz w:val="20"/>
          <w:szCs w:val="20"/>
          <w:color w:val="auto"/>
        </w:rPr>
      </w:pPr>
    </w:p>
    <w:p>
      <w:pPr>
        <w:ind w:left="220" w:hanging="203"/>
        <w:spacing w:after="0" w:line="270" w:lineRule="auto"/>
        <w:rPr>
          <w:sz w:val="20"/>
          <w:szCs w:val="20"/>
          <w:color w:val="auto"/>
        </w:rPr>
      </w:pPr>
      <w:r>
        <w:rPr>
          <w:rFonts w:ascii="Arial" w:cs="Arial" w:eastAsia="Arial" w:hAnsi="Arial"/>
          <w:sz w:val="11"/>
          <w:szCs w:val="11"/>
          <w:color w:val="183964"/>
        </w:rPr>
        <w:t>5 This represents a non-IFRS number and is comprised of Cash, cash equivalents and short-term investments held at PureTech Health plc and our following wholly-owned subsidiaries: PureTech LYT, Inc., PureTech LYT 100, Inc., Alivio Therapeutics, Inc., PureTech Management, Inc., PureTech Health LLC, PureTech Securities Corp., PureTech Securities II Corp. For a reconciliation of this number to the IFRS equivalent number, please refer to the "Non-IFRS Financial Information” section of this report.</w:t>
      </w:r>
    </w:p>
    <w:p>
      <w:pPr>
        <w:spacing w:after="0" w:line="5" w:lineRule="exact"/>
        <w:rPr>
          <w:sz w:val="20"/>
          <w:szCs w:val="20"/>
          <w:color w:val="auto"/>
        </w:rPr>
      </w:pPr>
    </w:p>
    <w:p>
      <w:pPr>
        <w:ind w:left="220" w:hanging="203"/>
        <w:spacing w:after="0" w:line="259" w:lineRule="auto"/>
        <w:rPr>
          <w:sz w:val="20"/>
          <w:szCs w:val="20"/>
          <w:color w:val="auto"/>
        </w:rPr>
      </w:pPr>
      <w:r>
        <w:rPr>
          <w:rFonts w:ascii="Arial" w:cs="Arial" w:eastAsia="Arial" w:hAnsi="Arial"/>
          <w:sz w:val="11"/>
          <w:szCs w:val="11"/>
          <w:color w:val="183964"/>
        </w:rPr>
        <w:t>6 Cash, cash equivalents and short-term investments as of June 30, 2025, and as of December 31, 2024 held at PureTech Health plc and consolidated subsidiaries. For more information, please see below under the heading "Non-IFRS Financial Information.”</w:t>
      </w:r>
    </w:p>
    <w:p>
      <w:pPr>
        <w:sectPr>
          <w:pgSz w:w="11900" w:h="16838" w:orient="portrait"/>
          <w:cols w:equalWidth="0" w:num="1">
            <w:col w:w="11220"/>
          </w:cols>
          <w:pgMar w:left="320" w:top="1295" w:right="359" w:bottom="1440" w:gutter="0" w:footer="0" w:header="0"/>
        </w:sectPr>
      </w:pPr>
    </w:p>
    <w:bookmarkStart w:id="9" w:name="page10"/>
    <w:bookmarkEnd w:id="9"/>
    <w:p>
      <w:pPr>
        <w:ind w:left="10040"/>
        <w:spacing w:after="0"/>
        <w:rPr>
          <w:sz w:val="20"/>
          <w:szCs w:val="20"/>
          <w:color w:val="auto"/>
        </w:rPr>
      </w:pPr>
      <w:r>
        <w:rPr>
          <w:rFonts w:ascii="Arial" w:cs="Arial" w:eastAsia="Arial" w:hAnsi="Arial"/>
          <w:sz w:val="21"/>
          <w:szCs w:val="21"/>
          <w:b w:val="1"/>
          <w:bCs w:val="1"/>
          <w:color w:val="183964"/>
        </w:rPr>
        <w:t>Exhibit 99.2</w:t>
      </w:r>
    </w:p>
    <w:p>
      <w:pPr>
        <w:spacing w:after="0" w:line="12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Interim Management Report and Financial Review</w:t>
      </w:r>
    </w:p>
    <w:p>
      <w:pPr>
        <w:spacing w:after="0" w:line="266" w:lineRule="exact"/>
        <w:rPr>
          <w:sz w:val="20"/>
          <w:szCs w:val="20"/>
          <w:color w:val="auto"/>
        </w:rPr>
      </w:pPr>
    </w:p>
    <w:p>
      <w:pPr>
        <w:spacing w:after="0"/>
        <w:rPr>
          <w:sz w:val="20"/>
          <w:szCs w:val="20"/>
          <w:color w:val="auto"/>
        </w:rPr>
      </w:pPr>
      <w:r>
        <w:rPr>
          <w:rFonts w:ascii="Arial" w:cs="Arial" w:eastAsia="Arial" w:hAnsi="Arial"/>
          <w:sz w:val="31"/>
          <w:szCs w:val="31"/>
          <w:b w:val="1"/>
          <w:bCs w:val="1"/>
          <w:color w:val="183964"/>
        </w:rPr>
        <w:t>Interim Management Report</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Introduction</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183964"/>
        </w:rPr>
        <w:t>Refining our model to create more value, more efficiently</w:t>
      </w:r>
    </w:p>
    <w:p>
      <w:pPr>
        <w:spacing w:after="0" w:line="17" w:lineRule="exact"/>
        <w:rPr>
          <w:sz w:val="20"/>
          <w:szCs w:val="20"/>
          <w:color w:val="auto"/>
        </w:rPr>
      </w:pPr>
    </w:p>
    <w:p>
      <w:pPr>
        <w:ind w:right="180"/>
        <w:spacing w:after="0" w:line="272" w:lineRule="auto"/>
        <w:rPr>
          <w:sz w:val="20"/>
          <w:szCs w:val="20"/>
          <w:color w:val="auto"/>
        </w:rPr>
      </w:pPr>
      <w:r>
        <w:rPr>
          <w:rFonts w:ascii="Arial" w:cs="Arial" w:eastAsia="Arial" w:hAnsi="Arial"/>
          <w:sz w:val="15"/>
          <w:szCs w:val="15"/>
          <w:color w:val="auto"/>
        </w:rPr>
        <w:t>The first half of 2025 has been a period of meaningful progress and reflection for PureTech. Our work advancing deupirfenidone (LYT-100) to the cusp of Phase 3— supported by compelling open-label extension (OLE) data from the ELEVATE IPF study—demonstrates the strength of our internal ability to progress high-impact programs to late-stage readiness.</w:t>
      </w:r>
    </w:p>
    <w:p>
      <w:pPr>
        <w:spacing w:after="0" w:line="48" w:lineRule="exact"/>
        <w:rPr>
          <w:sz w:val="20"/>
          <w:szCs w:val="20"/>
          <w:color w:val="auto"/>
        </w:rPr>
      </w:pPr>
    </w:p>
    <w:p>
      <w:pPr>
        <w:ind w:right="140"/>
        <w:spacing w:after="0" w:line="263" w:lineRule="auto"/>
        <w:rPr>
          <w:sz w:val="20"/>
          <w:szCs w:val="20"/>
          <w:color w:val="auto"/>
        </w:rPr>
      </w:pPr>
      <w:r>
        <w:rPr>
          <w:rFonts w:ascii="Arial" w:cs="Arial" w:eastAsia="Arial" w:hAnsi="Arial"/>
          <w:sz w:val="15"/>
          <w:szCs w:val="15"/>
          <w:color w:val="auto"/>
        </w:rPr>
        <w:t>At the same time, this experience has sharpened our conviction in the advantages of our hub-and-spoke model. We will continue to identify, shape, and clinically de-risk promising candidates at the PureTech hub, but our focus is firmly on optimizing spend to reach key inflection points, after which point programs are advanced through Founded Entities or other structures with dedicated operational capacity and external financing early in the development process. This will allow us to concentrate internal resources on de-risking and value creation, while enabling our Founded Entities to move programs forward at pace, reducing the impact to PureTech’s cost base.</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183964"/>
        </w:rPr>
        <w:t>A return to our core strengths</w:t>
      </w:r>
    </w:p>
    <w:p>
      <w:pPr>
        <w:spacing w:after="0" w:line="28" w:lineRule="exact"/>
        <w:rPr>
          <w:sz w:val="20"/>
          <w:szCs w:val="20"/>
          <w:color w:val="auto"/>
        </w:rPr>
      </w:pPr>
    </w:p>
    <w:p>
      <w:pPr>
        <w:jc w:val="both"/>
        <w:ind w:right="120"/>
        <w:spacing w:after="0" w:line="265" w:lineRule="auto"/>
        <w:rPr>
          <w:sz w:val="20"/>
          <w:szCs w:val="20"/>
          <w:color w:val="auto"/>
        </w:rPr>
      </w:pPr>
      <w:r>
        <w:rPr>
          <w:rFonts w:ascii="Arial" w:cs="Arial" w:eastAsia="Arial" w:hAnsi="Arial"/>
          <w:sz w:val="15"/>
          <w:szCs w:val="15"/>
          <w:color w:val="auto"/>
        </w:rPr>
        <w:t>This approach is, in many ways, a return to the model behind our greatest successes. Karuna Therapeutics, now a wholly owned subsidiary of Bristol Myers Squibb, remains a prime example, having transformed the treatment landscape for schizophrenia and generated more than $1 billion in proceeds to PureTech from a modest initial investment. By concentrating on what we do best, we can operate with greater discipline, flexibility, and long-term upside for shareholders.</w:t>
      </w:r>
    </w:p>
    <w:p>
      <w:pPr>
        <w:spacing w:after="0" w:line="52" w:lineRule="exact"/>
        <w:rPr>
          <w:sz w:val="20"/>
          <w:szCs w:val="20"/>
          <w:color w:val="auto"/>
        </w:rPr>
      </w:pPr>
    </w:p>
    <w:p>
      <w:pPr>
        <w:ind w:right="220"/>
        <w:spacing w:after="0" w:line="282" w:lineRule="auto"/>
        <w:rPr>
          <w:sz w:val="20"/>
          <w:szCs w:val="20"/>
          <w:color w:val="auto"/>
        </w:rPr>
      </w:pPr>
      <w:r>
        <w:rPr>
          <w:rFonts w:ascii="Arial" w:cs="Arial" w:eastAsia="Arial" w:hAnsi="Arial"/>
          <w:sz w:val="15"/>
          <w:szCs w:val="15"/>
          <w:color w:val="auto"/>
        </w:rPr>
        <w:t>Our priorities are clear: advance our current Founded Entities, make targeted investments in the next wave of high-conviction programs, and deliver value to shareholders. We have returned $150 million to shareholders since 2022, and the Board will continue to evaluate opportunities for further returns in light of portfolio progress, financial position, and market conditions.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183964"/>
        </w:rPr>
        <w:t>Strengthening our UK market presence</w:t>
      </w:r>
    </w:p>
    <w:p>
      <w:pPr>
        <w:spacing w:after="0" w:line="28" w:lineRule="exact"/>
        <w:rPr>
          <w:sz w:val="20"/>
          <w:szCs w:val="20"/>
          <w:color w:val="auto"/>
        </w:rPr>
      </w:pPr>
    </w:p>
    <w:p>
      <w:pPr>
        <w:ind w:right="240"/>
        <w:spacing w:after="0" w:line="258" w:lineRule="auto"/>
        <w:rPr>
          <w:sz w:val="20"/>
          <w:szCs w:val="20"/>
          <w:color w:val="auto"/>
        </w:rPr>
      </w:pPr>
      <w:r>
        <w:rPr>
          <w:rFonts w:ascii="Arial" w:cs="Arial" w:eastAsia="Arial" w:hAnsi="Arial"/>
          <w:sz w:val="15"/>
          <w:szCs w:val="15"/>
          <w:color w:val="auto"/>
        </w:rPr>
        <w:t>We remain committed to our London Stock Exchange listing, which we view as a strategic advantage and an important part of our identity. PureTech offers UK investors unique access to globally competitive, high-conviction biotherapeutics programs under the stewardship of a proven team in Boston—the world’s leading biotech hub. To deepen this engagement, we have recently appointed UBS and Peel Hunt as joint UK corporate brokers and will be initiating a search for up to two Non-Executive Directors to include deep UK capital markets expertise.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183964"/>
        </w:rPr>
        <w:t>Focused on impact</w:t>
      </w:r>
    </w:p>
    <w:p>
      <w:pPr>
        <w:spacing w:after="0" w:line="17"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Looking ahead, we are committed to advancing our current portfolio efficiently, maintaining a strong balance sheet, and taking a disciplined approach to new innovation, as we have done so successfully in the past. As part of this commitment, we expect operational support for Celea and Gallop to transition fully to their respective Founded Entities or other external structures in the coming months. This is intended to significantly reduce PureTech’s cash burn over the course of 2026, while preserving our potential upside in both programs.</w:t>
      </w:r>
    </w:p>
    <w:p>
      <w:pPr>
        <w:spacing w:after="0" w:line="53" w:lineRule="exact"/>
        <w:rPr>
          <w:sz w:val="20"/>
          <w:szCs w:val="20"/>
          <w:color w:val="auto"/>
        </w:rPr>
      </w:pPr>
    </w:p>
    <w:p>
      <w:pPr>
        <w:ind w:right="220"/>
        <w:spacing w:after="0" w:line="301" w:lineRule="auto"/>
        <w:rPr>
          <w:sz w:val="20"/>
          <w:szCs w:val="20"/>
          <w:color w:val="auto"/>
        </w:rPr>
      </w:pPr>
      <w:r>
        <w:rPr>
          <w:rFonts w:ascii="Arial" w:cs="Arial" w:eastAsia="Arial" w:hAnsi="Arial"/>
          <w:sz w:val="15"/>
          <w:szCs w:val="15"/>
          <w:color w:val="auto"/>
        </w:rPr>
        <w:t>Together, our focused portfolio, distinctive approach to advancing high-impact science, and disciplined, capital-efficient model position us to deliver on both sides of our mission: bringing transformative medicines to patients and building enduring value for shareholders.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Notable Developments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183964"/>
        </w:rPr>
        <w:t>Celea Therapeutics</w:t>
      </w:r>
    </w:p>
    <w:p>
      <w:pPr>
        <w:spacing w:after="0" w:line="28"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color w:val="auto"/>
        </w:rPr>
        <w:t>In the August 2025 post-period, PureTech launched Celea Therapeutics (“Celea”) to advance deupirfenidone (LYT-100), a Phase 3-ready therapeutic candidate with the potential to serve as a new standard of care for idiopathic pulmonary fibrosis (IPF), a rare, progressive, and fatal lung disease, as well as other fibrotic lung diseases. Sven Dethlefs, PhD, who had served as PureTech’s Entrepreneur-in-Residence for more than a year and played a central role in advancing deupirfenidone, was appointed to lead the new Founded Entity. Dr. Dethlefs brings more than 25 years of pharmaceutical leadership experience, most recently as Executive Vice President and CEO of Teva North America.</w:t>
      </w:r>
    </w:p>
    <w:p>
      <w:pPr>
        <w:spacing w:after="0" w:line="57"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Deupirfenidone is a deuterated form of pirfenidone, which – along with nintedanib – is one of the two FDA-approved treatments for IPF. Both approved therapies offer only modest efficacy in slowing lung function decline, largely due to tolerability challenges that limit the ability to achieve higher doses that could significantly improve patient outcomes. These limitations have contributed to low treatment uptake and poor adherence, with approximately 25% of people with IPF in the U.S. ever receiving either drug. Despite this, combined peak global sales exceeded $5 billion, representing a significant market opportunity in IPF and other fibrotic lung diseases.</w:t>
      </w:r>
      <w:r>
        <w:rPr>
          <w:rFonts w:ascii="Arial" w:cs="Arial" w:eastAsia="Arial" w:hAnsi="Arial"/>
          <w:sz w:val="19"/>
          <w:szCs w:val="19"/>
          <w:color w:val="auto"/>
          <w:vertAlign w:val="superscript"/>
        </w:rPr>
        <w:t>1</w:t>
      </w:r>
    </w:p>
    <w:p>
      <w:pPr>
        <w:spacing w:after="0" w:line="188" w:lineRule="exact"/>
        <w:rPr>
          <w:sz w:val="20"/>
          <w:szCs w:val="20"/>
          <w:color w:val="auto"/>
        </w:rPr>
      </w:pPr>
    </w:p>
    <w:p>
      <w:pPr>
        <w:ind w:right="140"/>
        <w:spacing w:after="0" w:line="269" w:lineRule="auto"/>
        <w:rPr>
          <w:sz w:val="20"/>
          <w:szCs w:val="20"/>
          <w:color w:val="auto"/>
        </w:rPr>
      </w:pPr>
      <w:r>
        <w:rPr>
          <w:rFonts w:ascii="Arial" w:cs="Arial" w:eastAsia="Arial" w:hAnsi="Arial"/>
          <w:sz w:val="15"/>
          <w:szCs w:val="15"/>
          <w:color w:val="auto"/>
        </w:rPr>
        <w:t>The launch of Celea followed significant clinical and scientific progress in the first half of 2025 and the post-period, including a late-breaking oral presentation in May at the American Thoracic Society (ATS) International Conference and a robust presence in August at the IPF Summit. Data presented reinforced the strength and durability of deupirfenidone’s treatment effect, its favorable tolerability profile, and its potential to slow lung function decline to rates similar to those expected in healthy older adults, while also underscoring PureTech’s sophisticated clinical development strategy and comprehensive planning for Phase 3 and beyond.</w:t>
      </w:r>
    </w:p>
    <w:p>
      <w:pPr>
        <w:sectPr>
          <w:pgSz w:w="11900" w:h="16838" w:orient="portrait"/>
          <w:cols w:equalWidth="0" w:num="1">
            <w:col w:w="11240"/>
          </w:cols>
          <w:pgMar w:left="320" w:top="1245" w:right="339" w:bottom="1440" w:gutter="0" w:footer="0" w:header="0"/>
        </w:sectPr>
      </w:pPr>
    </w:p>
    <w:bookmarkStart w:id="10" w:name="page11"/>
    <w:bookmarkEnd w:id="10"/>
    <w:p>
      <w:pPr>
        <w:ind w:right="140"/>
        <w:spacing w:after="0" w:line="247" w:lineRule="auto"/>
        <w:rPr>
          <w:sz w:val="20"/>
          <w:szCs w:val="20"/>
          <w:color w:val="auto"/>
        </w:rPr>
      </w:pPr>
      <w:r>
        <w:rPr>
          <w:rFonts w:ascii="Arial" w:cs="Arial" w:eastAsia="Arial" w:hAnsi="Arial"/>
          <w:sz w:val="15"/>
          <w:szCs w:val="15"/>
          <w:color w:val="auto"/>
        </w:rPr>
        <w:t>Notably, initial data from the ongoing OLE study showed that the treatment effect with deupirfenidone 825 mg TID was sustained out to at least 52 weeks. As of May 9, 2025, a total of 101 patients had received at least 52 weeks of treatment. Those in the deupirfenidone 825 mg TID arm experienced a decline in forced vital capacity (FVC) of -32.8 mL over the 52-week period, which is similar to the expected natural decline in lung function in healthy older adults over one year (approximately -30 to -50 mL).</w:t>
      </w:r>
      <w:r>
        <w:rPr>
          <w:rFonts w:ascii="Arial" w:cs="Arial" w:eastAsia="Arial" w:hAnsi="Arial"/>
          <w:sz w:val="19"/>
          <w:szCs w:val="19"/>
          <w:color w:val="auto"/>
          <w:vertAlign w:val="superscript"/>
        </w:rPr>
        <w:t>2</w:t>
      </w:r>
      <w:r>
        <w:rPr>
          <w:rFonts w:ascii="Arial" w:cs="Arial" w:eastAsia="Arial" w:hAnsi="Arial"/>
          <w:sz w:val="15"/>
          <w:szCs w:val="15"/>
          <w:color w:val="auto"/>
        </w:rPr>
        <w:t xml:space="preserve"> These longer-term data support the durability of the treatment effect and reinforce its potential to stabilize lung function decline over time while maintaining favorable safety and tolerability.</w:t>
      </w:r>
    </w:p>
    <w:p>
      <w:pPr>
        <w:spacing w:after="0" w:line="64" w:lineRule="exact"/>
        <w:rPr>
          <w:sz w:val="20"/>
          <w:szCs w:val="20"/>
          <w:color w:val="auto"/>
        </w:rPr>
      </w:pPr>
    </w:p>
    <w:p>
      <w:pPr>
        <w:jc w:val="both"/>
        <w:ind w:right="200"/>
        <w:spacing w:after="0" w:line="273" w:lineRule="auto"/>
        <w:rPr>
          <w:sz w:val="20"/>
          <w:szCs w:val="20"/>
          <w:color w:val="auto"/>
        </w:rPr>
      </w:pPr>
      <w:r>
        <w:rPr>
          <w:rFonts w:ascii="Arial" w:cs="Arial" w:eastAsia="Arial" w:hAnsi="Arial"/>
          <w:sz w:val="15"/>
          <w:szCs w:val="15"/>
          <w:color w:val="auto"/>
        </w:rPr>
        <w:t>Additional findings from the OLE will be shared at the European Respiratory Society (ERS) International Congress in September 2025, including “switch data” from participants who transitioned to deupirfenidone in OLE after initially receiving placebo or pirfenidone during the 26-week blinded portion of the Phase 2b trial. These data will provide further insight into deupirfenidone’s differentiated profile and potential to deliver meaningful clinical benefit.</w:t>
      </w:r>
    </w:p>
    <w:p>
      <w:pPr>
        <w:spacing w:after="0" w:line="59" w:lineRule="exact"/>
        <w:rPr>
          <w:sz w:val="20"/>
          <w:szCs w:val="20"/>
          <w:color w:val="auto"/>
        </w:rPr>
      </w:pPr>
    </w:p>
    <w:p>
      <w:pPr>
        <w:jc w:val="both"/>
        <w:ind w:right="220"/>
        <w:spacing w:after="0" w:line="273" w:lineRule="auto"/>
        <w:rPr>
          <w:sz w:val="20"/>
          <w:szCs w:val="20"/>
          <w:color w:val="auto"/>
        </w:rPr>
      </w:pPr>
      <w:r>
        <w:rPr>
          <w:rFonts w:ascii="Arial" w:cs="Arial" w:eastAsia="Arial" w:hAnsi="Arial"/>
          <w:sz w:val="15"/>
          <w:szCs w:val="15"/>
          <w:color w:val="auto"/>
        </w:rPr>
        <w:t>PureTech has taken a thoughtful and data-driven approach to prepare for deupirfenidone’s next regulatory milestone. This includes conducting a full analysis of the Phase 2b dataset, integration of maturing data from the ongoing OLE, and engagement with industry-leading regulatory advisors and key opinion leaders. As such, Celea expects to meet with the FDA by the end of the third quarter of 2025 and, pending alignment, aims to initiate its Phase 3 trial in IPF in the first half of 2026.</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183964"/>
        </w:rPr>
        <w:t>Gallop Oncology</w:t>
      </w:r>
    </w:p>
    <w:p>
      <w:pPr>
        <w:spacing w:after="0" w:line="28" w:lineRule="exact"/>
        <w:rPr>
          <w:sz w:val="20"/>
          <w:szCs w:val="20"/>
          <w:color w:val="auto"/>
        </w:rPr>
      </w:pPr>
    </w:p>
    <w:p>
      <w:pPr>
        <w:ind w:right="120"/>
        <w:spacing w:after="0" w:line="267" w:lineRule="auto"/>
        <w:rPr>
          <w:sz w:val="20"/>
          <w:szCs w:val="20"/>
          <w:color w:val="auto"/>
        </w:rPr>
      </w:pPr>
      <w:r>
        <w:rPr>
          <w:rFonts w:ascii="Arial" w:cs="Arial" w:eastAsia="Arial" w:hAnsi="Arial"/>
          <w:sz w:val="15"/>
          <w:szCs w:val="15"/>
          <w:color w:val="auto"/>
        </w:rPr>
        <w:t>Gallop Oncology, Inc. (“Gallop”) is pioneering novel therapies for the treatment of hematological malignancies and solid tumors. Its lead candidate, LYT-200, is a fully human monoclonal antibody targeting galectin-9, an oncogenic driver and potent immunosuppressor in cancer.</w:t>
      </w:r>
    </w:p>
    <w:p>
      <w:pPr>
        <w:spacing w:after="0" w:line="64" w:lineRule="exact"/>
        <w:rPr>
          <w:sz w:val="20"/>
          <w:szCs w:val="20"/>
          <w:color w:val="auto"/>
        </w:rPr>
      </w:pPr>
    </w:p>
    <w:p>
      <w:pPr>
        <w:ind w:right="460"/>
        <w:spacing w:after="0" w:line="273" w:lineRule="auto"/>
        <w:rPr>
          <w:sz w:val="20"/>
          <w:szCs w:val="20"/>
          <w:color w:val="auto"/>
        </w:rPr>
      </w:pPr>
      <w:r>
        <w:rPr>
          <w:rFonts w:ascii="Arial" w:cs="Arial" w:eastAsia="Arial" w:hAnsi="Arial"/>
          <w:sz w:val="15"/>
          <w:szCs w:val="15"/>
          <w:color w:val="auto"/>
        </w:rPr>
        <w:t>FDA has granted multiple designations to LYT-200, including Fast Track for AML, Fast Track for metastatic head and neck cancer in combination with anti-PD-1 therapy, and Orphan Drug designation for AML. This recognition highlights the significant unmet need and underscores the quality of efficacy and safety data generated with LYT-200, positioning it as a differentiated therapeutic approach.</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i w:val="1"/>
          <w:iCs w:val="1"/>
          <w:color w:val="183964"/>
        </w:rPr>
        <w:t>Hematological Malignancies (AML and MDS)</w:t>
      </w:r>
    </w:p>
    <w:p>
      <w:pPr>
        <w:spacing w:after="0" w:line="28" w:lineRule="exact"/>
        <w:rPr>
          <w:sz w:val="20"/>
          <w:szCs w:val="20"/>
          <w:color w:val="auto"/>
        </w:rPr>
      </w:pPr>
    </w:p>
    <w:p>
      <w:pPr>
        <w:ind w:right="180"/>
        <w:spacing w:after="0" w:line="265" w:lineRule="auto"/>
        <w:rPr>
          <w:sz w:val="20"/>
          <w:szCs w:val="20"/>
          <w:color w:val="auto"/>
        </w:rPr>
      </w:pPr>
      <w:r>
        <w:rPr>
          <w:rFonts w:ascii="Arial" w:cs="Arial" w:eastAsia="Arial" w:hAnsi="Arial"/>
          <w:sz w:val="15"/>
          <w:szCs w:val="15"/>
          <w:color w:val="auto"/>
        </w:rPr>
        <w:t>Enrollment has been completed in the Phase 1b trial evaluating LYT-200 as a monotherapy and in combination with venetoclax/hypomethylating agents (HMA) for acute myeloid leukemia (AML) and myelodysplastic syndrome (MDS). LYT-200 has shown a favorable safety/tolerability profile across both arms and all dose levels studied, with no dose-limiting toxicities, as well as clinical efficacy, hematological improvement, and sustained disease management and survival benefit.</w:t>
      </w:r>
    </w:p>
    <w:p>
      <w:pPr>
        <w:spacing w:after="0" w:line="52"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As of April 28, 2025, patients have received LYT-200 at five dose levels (2.0 mg/kg to 16.0 mg/kg) in the monotherapy arm. Across all dose levels, LYT-200 has demonstrated clinical benefit and responses in heavily pre-treated, relapsed/refractory AML/MDS patients, even in those with complex cytogenetics and mutations such as KRAS, NRAS, and BRAF, as well as patients previously fully refractory to standard of care. At dose levels of 7.5mg/kg and above, treatment with LYT-200 has resulted in 1 complete response (CR), 3 partial responses (PRs), and more than 50% of patients treated experienced stable disease. The average treatment duration with the single agent was 3.5 months as of the data cutoff, which is meaningful in this heavily pretreated population who have already exhausted all standard-of-care options.</w:t>
      </w:r>
    </w:p>
    <w:p>
      <w:pPr>
        <w:spacing w:after="0" w:line="54"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When administered in combination with venetoclax/HMA, results as of April 28, 2025, demonstrate that LYT-200 may enhance the efficacy of standard-of-care therapies, even in relapsed or refractory patients. In the combination arm, patients received LYT-200 across three dose levels (4.0 mg/kg, 7.5 mg/kg, and 12.0 mg/kg), resulting in 6 CRs, 1 morphological leukemia-free state (MLFS), and 50% of patients experienced stable disease. The average time on combination therapy was 4 months as of the data cutoff, which is meaningful in a patient population whose time to progression tends to be less than 1 month and whose overall survival averages 1.7–2.4 months with standard-of-care therapy. Patients who benefit show hematological improvement as well as achieve transfusion independence.</w:t>
      </w:r>
    </w:p>
    <w:p>
      <w:pPr>
        <w:spacing w:after="0" w:line="49"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Since the April data cutoff, patients have continued to demonstrate meaningful and sustained clinical benefit, resulting in longer treatment durations and extended follow-up. This has allowed for the collection of a more mature dataset and the selection of a dose to be proposed to regulators for advancement into Phase 2. With the strength of the responses observed to date and the longer treatment durations achieved, topline efficacy results are now expected in the fourth quarter of 2025, with additional efficacy and overall survival data anticipated in the first half of 2026. These milestones will provide a more robust foundation for regulatory discussions and will help further de-risk the design of Phase 2 studies and inform the broader development strategy.</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i w:val="1"/>
          <w:iCs w:val="1"/>
          <w:color w:val="183964"/>
        </w:rPr>
        <w:t>Solid Tumors</w:t>
      </w:r>
    </w:p>
    <w:p>
      <w:pPr>
        <w:spacing w:after="0" w:line="28"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Gallop has also advanced LYT-200 in solid tumors, where outcomes for patients with relapsed or refractory disease remain poor. The Phase 1b trial evaluating LYT-200 as a monotherapy and in combination with the anti-PD-1 antibody tislelizumab successfully completed in the first half of 2025. LYT-200 demonstrated a favorable safety profile in all cohorts and showed disease control and initial efficacy signals. The study enrolled 44 heavily pretreated patients across 13 U.S. sites, including individuals with head and neck and urothelial cancers.</w:t>
      </w:r>
    </w:p>
    <w:p>
      <w:pPr>
        <w:spacing w:after="0" w:line="53" w:lineRule="exact"/>
        <w:rPr>
          <w:sz w:val="20"/>
          <w:szCs w:val="20"/>
          <w:color w:val="auto"/>
        </w:rPr>
      </w:pPr>
    </w:p>
    <w:p>
      <w:pPr>
        <w:ind w:right="360"/>
        <w:spacing w:after="0" w:line="263" w:lineRule="auto"/>
        <w:rPr>
          <w:sz w:val="20"/>
          <w:szCs w:val="20"/>
          <w:color w:val="auto"/>
        </w:rPr>
      </w:pPr>
      <w:r>
        <w:rPr>
          <w:rFonts w:ascii="Arial" w:cs="Arial" w:eastAsia="Arial" w:hAnsi="Arial"/>
          <w:sz w:val="15"/>
          <w:szCs w:val="15"/>
          <w:color w:val="auto"/>
        </w:rPr>
        <w:t>In the single-agent cohorts, patients received LYT-200 between 0.2–16 mg/kg every two weeks (Q2W) or 10 mg/kg weekly (QW). Among 20 all-comer patients, treatment was well tolerated with no LYT-200–related serious adverse events, and disease control was observed at dose levels of 6.3 mg/kg and above. In the combination cohorts, patients were treated with LYT-200 plus tislelizumab. Among the 24 patients enrolled (19 head and neck, 5 urothelial), outcomes were most pronounced in head and neck cancer, where one patient achieved a complete response lasting more than two years, two patients had partial responses, and two patients had stable disease, for an overall response rate of 33% and a disease control rate of 50% at the 6.3 mg/kg dose.</w:t>
      </w:r>
    </w:p>
    <w:p>
      <w:pPr>
        <w:spacing w:after="0" w:line="67"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Together, these findings reinforce the potential of LYT-200 both as a single agent and in rational immunotherapy combinations. The safety and early efficacy observed in head and neck cancer, in particular, provide a strong foundation for advancing LYT-200 into further clinical evaluation.</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183964"/>
        </w:rPr>
        <w:t>Seaport Therapeutics</w:t>
      </w:r>
    </w:p>
    <w:p>
      <w:pPr>
        <w:spacing w:after="0" w:line="17"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Seaport Therapeutics, Inc. (“Seaport”) is advancing a clinical-stage pipeline of novel neuropsychiatric medicines based on its proprietary Glyph™ platform, which was validated and initially advanced at PureTech and is now exclusively licensed and assigned</w:t>
      </w:r>
    </w:p>
    <w:p>
      <w:pPr>
        <w:sectPr>
          <w:pgSz w:w="11900" w:h="16838" w:orient="portrait"/>
          <w:cols w:equalWidth="0" w:num="1">
            <w:col w:w="11240"/>
          </w:cols>
          <w:pgMar w:left="320" w:top="1243" w:right="339" w:bottom="1440" w:gutter="0" w:footer="0" w:header="0"/>
        </w:sectPr>
      </w:pPr>
    </w:p>
    <w:bookmarkStart w:id="11" w:name="page12"/>
    <w:bookmarkEnd w:id="11"/>
    <w:p>
      <w:pPr>
        <w:ind w:right="200"/>
        <w:spacing w:after="0" w:line="263" w:lineRule="auto"/>
        <w:rPr>
          <w:sz w:val="20"/>
          <w:szCs w:val="20"/>
          <w:color w:val="auto"/>
        </w:rPr>
      </w:pPr>
      <w:r>
        <w:rPr>
          <w:rFonts w:ascii="Arial" w:cs="Arial" w:eastAsia="Arial" w:hAnsi="Arial"/>
          <w:sz w:val="15"/>
          <w:szCs w:val="15"/>
          <w:color w:val="auto"/>
        </w:rPr>
        <w:t>to Seaport. Glyph uses the lymphatic system to enable and enhance the oral administration of drugs, which are absorbed like dietary fats through the intestinal lymphatic system and transported into circulation. The Glyph platform has the potential to be widely applied to many therapeutic molecules that have high first-pass metabolism otherwise leading to low bioavailability and/or side effects, including liver enzyme elevations or hepatotoxicity. For each program, Seaport leverages its Glyph platform to create unique sets of prodrugs with differentiated profiles, including lymphatic transport and conversion characteristics, as potential candidates to advance into preclinical and clinical proof-of-concept studies.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In the July 2025 post-period, Seaport announced that the first patient had been dosed in the Phase 2b BUOY-1 study of GlyphAllo™ (SPT-300 or Glyph</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Allopregnanolone) in major depressive disorder (MDD) with or without anxious distress. GlyphAllo is an oral prodrug of allopregnanolone, which is an endogenous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molecule that has been shown to dampen stress, has antidepressant and anxiolytic activity and sleep-promoting effects but poor oral bioavailability due to substantial</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first-pass hepatic metabolism. Allopregnanolone was previously only approved as an intravenous infusion, which limited the scope of its clinical use. A synthetic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analog of allopregnanolone was previously evaluated in MDD and showed promise but may not retain the activity, potency and the breadth of the natural biological</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response of endogenous allopregnanolone. In a Phase 1 clinical study, GlyphAllo demonstrated oral bioavailability, tolerability and γ-aminobutyric-acid type A</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(GABA</w:t>
      </w:r>
      <w:r>
        <w:rPr>
          <w:rFonts w:ascii="Arial" w:cs="Arial" w:eastAsia="Arial" w:hAnsi="Arial"/>
          <w:sz w:val="9"/>
          <w:szCs w:val="9"/>
          <w:color w:val="auto"/>
        </w:rPr>
        <w:t>A</w:t>
      </w:r>
      <w:r>
        <w:rPr>
          <w:rFonts w:ascii="Arial" w:cs="Arial" w:eastAsia="Arial" w:hAnsi="Arial"/>
          <w:sz w:val="15"/>
          <w:szCs w:val="15"/>
          <w:color w:val="auto"/>
        </w:rPr>
        <w:t>) receptor target engagement in healthy volunteers. In a Phase 2a clinical study, GlyphAllo demonstrated initial proof-of-concept in the Trier Social Stress Test,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 validated clinical model of anxiety in healthy volunteers.</w:t>
      </w:r>
    </w:p>
    <w:p>
      <w:pPr>
        <w:spacing w:after="0" w:line="97"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In February 2025, Seaport also announced the publication of new research in Molecular Pharmaceutics, demonstrating the Glyph platform’s unique ability to enhance drug transport through the lymphatic system for increased therapeutic exposure. The paper is the first to show the impact of changing the drug attachment point of a lymph-directed prodrug on lymphatic drug transport and targeted drug exposure. A newly examined phenol attachment point showed the highest lymphatic transport of an immunomodulatory drug, MPA, reported to date – approximately 55 percent – and up to two-fold higher release in lymph nodes compared to the previously reported acid attachment point. This research deepened the evidence supporting Glyph’s ability to render a wide variety of molecules, including immunomodulators, more amenable to lymphatic transport and thus provide them with direct access to the immune system.</w:t>
      </w:r>
    </w:p>
    <w:p>
      <w:pPr>
        <w:spacing w:after="0" w:line="54" w:lineRule="exact"/>
        <w:rPr>
          <w:sz w:val="20"/>
          <w:szCs w:val="20"/>
          <w:color w:val="auto"/>
        </w:rPr>
      </w:pPr>
    </w:p>
    <w:p>
      <w:pPr>
        <w:ind w:right="140"/>
        <w:spacing w:after="0" w:line="273" w:lineRule="auto"/>
        <w:rPr>
          <w:sz w:val="20"/>
          <w:szCs w:val="20"/>
          <w:color w:val="auto"/>
        </w:rPr>
      </w:pPr>
      <w:r>
        <w:rPr>
          <w:rFonts w:ascii="Arial" w:cs="Arial" w:eastAsia="Arial" w:hAnsi="Arial"/>
          <w:sz w:val="15"/>
          <w:szCs w:val="15"/>
          <w:color w:val="auto"/>
        </w:rPr>
        <w:t>Seaport’s pipeline also includes GlyphAgo™ (SPT-320 or Glyph Agomelatine), a novel prodrug of agomelatine, for generalized anxiety disorder; and Glyph2BLSD™ (SPT-348 or Glyph-2-bromo-LSD), a prodrug of 2-bromo-LSD that has the potential for treatment-resistant depression, headache disorders, and other conditions. Beyond these programs, Seaport has multiple discovery and preclinical programs underway.</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Vedanta Biosciences</w:t>
      </w:r>
    </w:p>
    <w:p>
      <w:pPr>
        <w:spacing w:after="0" w:line="100"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color w:val="auto"/>
        </w:rPr>
        <w:t>Vedanta Biosciences, Inc. (“Vedanta”) is advancing the development of a potential new category of oral therapies utilizing defined consortia of bacteria isolated from the human microbiome and grown from pure clonal cell banks. In the first half of 2025, Vedanta continued to enroll patients into the Phase 3 RESTORATiVE303 registrational study of VE303, an orally administered defined bacterial consortium candidate for the prevention of recurrent C. difficile infection (rCDI), with topline data expected in 2026. The RESTORATiVE303 trial is evaluating the efficacy and safety of VE303 in patients with rCDI and is intended to form the basis for a BLA to be filed with the FDA. In January 2025, Vedanta published additional VE303 Phase 2 results in Nature Medicine supporting clinical results from Vedanta’s successful Phase 2 study, which demonstrated that the higher dose of VE303 studied was well tolerated and reduced the odds of CDI recurrence by more than 80% compared with placebo. Vedanta also continued to advance the VE707 program for reducing colonization and preventing subsequent infections caused by multidrug-resistant organisms, with submission of an investigational new drug (IND) application expected in 2026. In the August 2025 post-period, Vedanta announced that the Phase 2 COLLECTiVE202 study of VE202 for the treatment of patients with mild-to-moderate ulcerative colitis (UC) did not achieve the primary endpoint. Analyses of bacterial colonization, histological findings, and immune responses are ongoing and will be shared in future scientific forums, though the company is re-allocating its efforts and resources on other pipeline programs.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Sonde Health</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Sonde Health, Inc. (“Sonde”) is progressing a voice-based artificial intelligence platform that detects changes in the sound of voice that are linked to health conditions</w:t>
      </w:r>
    </w:p>
    <w:p>
      <w:pPr>
        <w:spacing w:after="0" w:line="28" w:lineRule="exact"/>
        <w:rPr>
          <w:sz w:val="20"/>
          <w:szCs w:val="20"/>
          <w:color w:val="auto"/>
        </w:rPr>
      </w:pPr>
    </w:p>
    <w:p>
      <w:pPr>
        <w:ind w:right="200"/>
        <w:spacing w:after="0" w:line="257" w:lineRule="auto"/>
        <w:rPr>
          <w:sz w:val="20"/>
          <w:szCs w:val="20"/>
          <w:color w:val="auto"/>
        </w:rPr>
      </w:pPr>
      <w:r>
        <w:rPr>
          <w:rFonts w:ascii="Arial" w:cs="Arial" w:eastAsia="Arial" w:hAnsi="Arial"/>
          <w:sz w:val="15"/>
          <w:szCs w:val="15"/>
          <w:color w:val="auto"/>
        </w:rPr>
        <w:t>– such as depression, anxiety and respiratory disease – to provide health tracking and monitoring. In January 2025, Sonde integrated its voice-based health monitoring technology into Qualcomm’s Snapdragon® S7+ Gen 1 Sound Platform. Building on its longtime partnership with Qualcomm, Sonde optimized its technology to operate within the strict power and processing constraints of audio earbud and headset devices while maintaining its industry-leading accuracy. In February 2025, Sonde successfully completed a large-scale trial with one of the top oil and gas conglomerates in the world. During the 6-week trial, over 4,000 workers across 60 sites used Sonde’s Mental Fitness tracking app and insight dashboard with Sonde effectively identifying at-risk workers and enabling proactive intervention as well as delivering significant positive predictive value for a healthy population. In May 2025, Sonde Health and Saaya Health forged a strategic partnership to improve workforce performance and wellness for blue-collar enterprises. This collaboration integrates Sonde’s advanced vocal biomarker technology with Saaya Health’s holistic wellbeing platform, offering an end-to-end solution that empowers employers to monitor, assess, and enhance the mental and cognitive health of their frontline workers. By the end of June 2025, Sonde has successfully completed two pilots with the US Air Force demonstrating its feasibility to provide mental fitness health tracking on actual missions.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Entrega</w:t>
      </w:r>
    </w:p>
    <w:p>
      <w:pPr>
        <w:spacing w:after="0" w:line="33"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Entrega, Inc. (“Entrega”) is progressing a technology platform to enable the oral administration of biologics, vaccines and other drugs that are otherwise not efficiently absorbed when taken orally. Entrega’s innovative approach uses a proprietary, customizable hydrogel dosage form to control local fluid microenvironments in the gastrointestinal tract in an effort to both enhance absorption and reduce the variability of drug exposure. Entrega has generated preclinical proof-of-concept data demonstrating administration of therapeutic peptides into the bloodstream of large animals.</w:t>
      </w:r>
    </w:p>
    <w:p>
      <w:pPr>
        <w:sectPr>
          <w:pgSz w:w="11900" w:h="16838" w:orient="portrait"/>
          <w:cols w:equalWidth="0" w:num="1">
            <w:col w:w="11240"/>
          </w:cols>
          <w:pgMar w:left="320" w:top="1243" w:right="33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color w:val="183964"/>
        </w:rPr>
        <w:t>Vor Biopharma</w:t>
      </w:r>
    </w:p>
    <w:p>
      <w:pPr>
        <w:spacing w:after="0" w:line="100"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auto"/>
        </w:rPr>
        <w:t>Vor Biopharma Inc. (Nasdaq: VOR) (“Vor”) announced in May 2025 that it was exploring strategic alternatives based on the available clinical data and the challenging fundraising environment. Effective June 26, 2025, PureTech completed the divestment of its remaining equity holdings in Vor, with proceeds of approximately $2.8 million before expenses.</w:t>
      </w:r>
    </w:p>
    <w:p>
      <w:pPr>
        <w:spacing w:after="0" w:line="388" w:lineRule="exact"/>
        <w:rPr>
          <w:sz w:val="20"/>
          <w:szCs w:val="20"/>
          <w:color w:val="auto"/>
        </w:rPr>
      </w:pPr>
    </w:p>
    <w:p>
      <w:pPr>
        <w:ind w:left="220" w:right="220" w:hanging="203"/>
        <w:spacing w:after="0" w:line="281" w:lineRule="auto"/>
        <w:rPr>
          <w:sz w:val="20"/>
          <w:szCs w:val="20"/>
          <w:color w:val="auto"/>
        </w:rPr>
      </w:pPr>
      <w:r>
        <w:rPr>
          <w:rFonts w:ascii="Arial" w:cs="Arial" w:eastAsia="Arial" w:hAnsi="Arial"/>
          <w:sz w:val="11"/>
          <w:szCs w:val="11"/>
          <w:color w:val="183964"/>
        </w:rPr>
        <w:t>1 Esbriet peak sales (2020) per Roche 2021 Financial Results &amp; Ofev peak sales (2024) per Boehringer Ingelheim 2024 Financial Results. Ofev sales include those for all approved indications – IPF, PF-ILD, and systemic sclerosis-associated interstitial lung disease (SSc-ILD).</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183964"/>
        </w:rPr>
        <w:t>2 Valenzuela, C., Bonella, F., Moor, C., Weimann, G., Miede, C., Stowasser, S., &amp; Maher, T. (2024, September).Decline in forced vital capacity (FVC) in subjects with idiopathic pulmonary fibrosis (IPF) and progressive pulmonary fibrosis</w:t>
      </w:r>
    </w:p>
    <w:p>
      <w:pPr>
        <w:spacing w:after="0" w:line="27" w:lineRule="exact"/>
        <w:rPr>
          <w:sz w:val="20"/>
          <w:szCs w:val="20"/>
          <w:color w:val="auto"/>
        </w:rPr>
      </w:pPr>
    </w:p>
    <w:p>
      <w:pPr>
        <w:ind w:left="220" w:right="300"/>
        <w:spacing w:after="0" w:line="246" w:lineRule="auto"/>
        <w:rPr>
          <w:sz w:val="20"/>
          <w:szCs w:val="20"/>
          <w:color w:val="auto"/>
        </w:rPr>
      </w:pPr>
      <w:r>
        <w:rPr>
          <w:rFonts w:ascii="Arial" w:cs="Arial" w:eastAsia="Arial" w:hAnsi="Arial"/>
          <w:sz w:val="11"/>
          <w:szCs w:val="11"/>
          <w:color w:val="183964"/>
        </w:rPr>
        <w:t>(PPF) compared with healthy references[Poster presentation]. European Respiratory Society International Congress, Vienna, Austria; and Luoto, J., Pihlsgård, M., Wollmer, P., &amp; Elmståhl, S. (2019). Relative and absolute lung function change in a general population aged 60–102 years. European Respiratory Journal, 53(3), 1701812. https://doi.org/10.1183/13993003.01812-2017</w:t>
      </w:r>
    </w:p>
    <w:p>
      <w:pPr>
        <w:sectPr>
          <w:pgSz w:w="11900" w:h="16838" w:orient="portrait"/>
          <w:cols w:equalWidth="0" w:num="1">
            <w:col w:w="11220"/>
          </w:cols>
          <w:pgMar w:left="320" w:top="1322" w:right="359" w:bottom="1440" w:gutter="0" w:footer="0" w:header="0"/>
        </w:sectPr>
      </w:pPr>
    </w:p>
    <w:bookmarkStart w:id="13" w:name="page14"/>
    <w:bookmarkEnd w:id="13"/>
    <w:p>
      <w:pPr>
        <w:spacing w:after="0"/>
        <w:rPr>
          <w:sz w:val="20"/>
          <w:szCs w:val="20"/>
          <w:color w:val="auto"/>
        </w:rPr>
      </w:pPr>
      <w:r>
        <w:rPr>
          <w:rFonts w:ascii="Arial" w:cs="Arial" w:eastAsia="Arial" w:hAnsi="Arial"/>
          <w:sz w:val="31"/>
          <w:szCs w:val="31"/>
          <w:b w:val="1"/>
          <w:bCs w:val="1"/>
          <w:color w:val="183964"/>
        </w:rPr>
        <w:t>Financial Review</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Reporting Framework</w:t>
      </w:r>
    </w:p>
    <w:p>
      <w:pPr>
        <w:spacing w:after="0" w:line="100" w:lineRule="exact"/>
        <w:rPr>
          <w:sz w:val="20"/>
          <w:szCs w:val="20"/>
          <w:color w:val="auto"/>
        </w:rPr>
      </w:pPr>
    </w:p>
    <w:p>
      <w:pPr>
        <w:ind w:right="240"/>
        <w:spacing w:after="0" w:line="263" w:lineRule="auto"/>
        <w:rPr>
          <w:sz w:val="20"/>
          <w:szCs w:val="20"/>
          <w:color w:val="auto"/>
        </w:rPr>
      </w:pPr>
      <w:r>
        <w:rPr>
          <w:rFonts w:ascii="Arial" w:cs="Arial" w:eastAsia="Arial" w:hAnsi="Arial"/>
          <w:sz w:val="15"/>
          <w:szCs w:val="15"/>
          <w:color w:val="auto"/>
        </w:rPr>
        <w:t>You should read the following discussion and analysis together with our Condensed Consolidated Financial Statements, including the notes thereto, set forth elsewhere in this report. Some of the information contained in this discussion and analysis or set forth elsewhere in this report, including information with respect to our plans and strategy for our business and financing our business, includes forward-looking statements that involve risks and uncertainties. You should read this discussion and analysis in conjunction with the risks identified in the “Risk Factor Annex" on pages 182 to 219 of our “Annual Report and Accounts 2024”, also included as Exhibit 15.1 to the Form 20-F for the fiscal year ended December 31, 2024 filed with the Securities and Exchange Commission on April 30, 2025. As a result of many factors, our actual results could differ materially from the results described in or implied by these forward-looking statements.</w:t>
      </w:r>
    </w:p>
    <w:p>
      <w:pPr>
        <w:spacing w:after="0" w:line="67"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 xml:space="preserve">Our unaudited Condensed Consolidated Financial Statements as of June 30, 2025, and for the six months ended June 30, 2025, and 2024, have been prepared in accordance with International Accounting Standard (“IAS”) 34 </w:t>
      </w:r>
      <w:r>
        <w:rPr>
          <w:rFonts w:ascii="Arial" w:cs="Arial" w:eastAsia="Arial" w:hAnsi="Arial"/>
          <w:sz w:val="15"/>
          <w:szCs w:val="15"/>
          <w:i w:val="1"/>
          <w:iCs w:val="1"/>
          <w:color w:val="auto"/>
        </w:rPr>
        <w:t>Interim Financial Reporting</w:t>
      </w:r>
      <w:r>
        <w:rPr>
          <w:rFonts w:ascii="Arial" w:cs="Arial" w:eastAsia="Arial" w:hAnsi="Arial"/>
          <w:sz w:val="15"/>
          <w:szCs w:val="15"/>
          <w:color w:val="auto"/>
        </w:rPr>
        <w:t xml:space="preserve"> as adopted for use in the UK and also comply fully with IAS 34 as issued by the International Accounting Standards Board ("IASB"). This report should be read in conjunction with the Group’s 2024 Annual Reports and Accounts as of and for the year ended December 31, 2024.</w:t>
      </w:r>
    </w:p>
    <w:p>
      <w:pPr>
        <w:spacing w:after="0" w:line="67"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The following discussion contains references to the Consolidated Financial Statements of PureTech Health plc (the "Parent") and its consolidated subsidiaries, together "the Group". These financial statements consolidate PureTech Health plc’s subsidiaries and include the Group’s interest in associates by way of equity method, as well as investments held at fair value. Subsidiaries are those entities over which the Group maintains control. Associates are those entities in which the Group does not have control for financial accounting purposes but maintains significant influence over financial and operating policies. Where the Group has neither control nor significant influence for financial accounting purposes, or when the investment in associates is not in instruments that would be considered equity for accounting purposes, we recognize our holdings in such entity as an investment at fair value with changes in fair value being recorded in the Condensed Consolidated Statement of Comprehensive Income/(Loss). For purposes of our Condensed Consolidated Financial Statements, each of our Founded Entities</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are considered to be either a “subsidiary", an “associate” or an "investment held at fair value" depending on whether the Group controls or maintains significant influence over the financial and operating policies of the respective entity at the respective period end date, and depending on the form of the investment. For additional information regarding the accounting treatment of these entities, see Note 1. Material Accounting Policies to our Consolidated Financial Statements included in our 2024 Annual Report and Accounts. For additional information regarding our operating structure, see “Basis of Presentation and Consolidation” below.</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Business Background and Results Overview</w:t>
      </w:r>
    </w:p>
    <w:p>
      <w:pPr>
        <w:spacing w:after="0" w:line="113" w:lineRule="exact"/>
        <w:rPr>
          <w:sz w:val="20"/>
          <w:szCs w:val="20"/>
          <w:color w:val="auto"/>
        </w:rPr>
      </w:pPr>
    </w:p>
    <w:p>
      <w:pPr>
        <w:ind w:right="320"/>
        <w:spacing w:after="0" w:line="281" w:lineRule="auto"/>
        <w:rPr>
          <w:sz w:val="20"/>
          <w:szCs w:val="20"/>
          <w:color w:val="auto"/>
        </w:rPr>
      </w:pPr>
      <w:r>
        <w:rPr>
          <w:rFonts w:ascii="Arial" w:cs="Arial" w:eastAsia="Arial" w:hAnsi="Arial"/>
          <w:sz w:val="15"/>
          <w:szCs w:val="15"/>
          <w:color w:val="auto"/>
        </w:rPr>
        <w:t>The business background is discussed above in the Interim Management Report, which describes the business development of our overall portfolio, including our Wholly-Owned Programs</w:t>
      </w:r>
      <w:r>
        <w:rPr>
          <w:rFonts w:ascii="Arial" w:cs="Arial" w:eastAsia="Arial" w:hAnsi="Arial"/>
          <w:sz w:val="19"/>
          <w:szCs w:val="19"/>
          <w:color w:val="auto"/>
          <w:vertAlign w:val="superscript"/>
        </w:rPr>
        <w:t>3</w:t>
      </w:r>
      <w:r>
        <w:rPr>
          <w:rFonts w:ascii="Arial" w:cs="Arial" w:eastAsia="Arial" w:hAnsi="Arial"/>
          <w:sz w:val="15"/>
          <w:szCs w:val="15"/>
          <w:color w:val="auto"/>
        </w:rPr>
        <w:t xml:space="preserve"> and Founded Entities.</w:t>
      </w:r>
    </w:p>
    <w:p>
      <w:pPr>
        <w:spacing w:after="0" w:line="1"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Our ability to achieve profitability will depend on the successful monetization of our Founded Entities or Wholly-Owned Programs or other revenue generating activities. Such monetization will largely depend on the successful development of one or more therapeutic candidates of our Founded Entities, which may or may not occur.</w:t>
      </w:r>
    </w:p>
    <w:p>
      <w:pPr>
        <w:spacing w:after="0" w:line="226" w:lineRule="exact"/>
        <w:rPr>
          <w:sz w:val="20"/>
          <w:szCs w:val="20"/>
          <w:color w:val="auto"/>
        </w:rPr>
      </w:pPr>
    </w:p>
    <w:p>
      <w:pPr>
        <w:ind w:right="180"/>
        <w:spacing w:after="0" w:line="301" w:lineRule="auto"/>
        <w:rPr>
          <w:sz w:val="20"/>
          <w:szCs w:val="20"/>
          <w:color w:val="auto"/>
        </w:rPr>
      </w:pPr>
      <w:r>
        <w:rPr>
          <w:rFonts w:ascii="Arial" w:cs="Arial" w:eastAsia="Arial" w:hAnsi="Arial"/>
          <w:sz w:val="15"/>
          <w:szCs w:val="15"/>
          <w:color w:val="auto"/>
        </w:rPr>
        <w:t>Monetization includes the sale of our equity interest in our Founded Entities, the receipt of, or the sale of rights to, royalties, entering into strategic partnerships, and other related business development activities.</w:t>
      </w:r>
    </w:p>
    <w:p>
      <w:pPr>
        <w:spacing w:after="0" w:line="26"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We deconsolidated a number of our Founded Entities, specifically Seaport Therapeutics, Inc. ("Seaport") in October 2024, Vedanta Biosciences, Inc. ("Vedanta") in 2023, Sonde Health Inc. ("Sonde") in 2022, Karuna Therapeutics, Inc. ("Karuna"), Vor Biopharma Inc. ("Vor") and Gelesis, Inc. (“Gelesis”) in 2019, and Akili Interactive Labs, Inc. (“Akili”) in 2018.</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Any deconsolidation affects our financials in the following manner:</w:t>
      </w:r>
    </w:p>
    <w:p>
      <w:pPr>
        <w:spacing w:after="0" w:line="111"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ownership interest does not provide us with a controlling financial interest;</w:t>
      </w:r>
    </w:p>
    <w:p>
      <w:pPr>
        <w:spacing w:after="0" w:line="17" w:lineRule="exact"/>
        <w:rPr>
          <w:rFonts w:ascii="Arial" w:cs="Arial" w:eastAsia="Arial" w:hAnsi="Arial"/>
          <w:sz w:val="15"/>
          <w:szCs w:val="15"/>
          <w:color w:val="auto"/>
        </w:rPr>
      </w:pPr>
    </w:p>
    <w:p>
      <w:pPr>
        <w:ind w:left="180" w:hanging="172"/>
        <w:spacing w:after="0"/>
        <w:tabs>
          <w:tab w:leader="none" w:pos="18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no longer control the Founded Entity's assets and liabilities, and as a result, we derecognize the assets, liabilities and non-controlling interests related to the</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Founded Entity from our financial statements;</w:t>
      </w:r>
    </w:p>
    <w:p>
      <w:pPr>
        <w:spacing w:after="0" w:line="6"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record our retained investment in the Founded Entity at fair value; and</w:t>
      </w:r>
    </w:p>
    <w:p>
      <w:pPr>
        <w:spacing w:after="0" w:line="13" w:lineRule="exact"/>
        <w:rPr>
          <w:rFonts w:ascii="Arial" w:cs="Arial" w:eastAsia="Arial" w:hAnsi="Arial"/>
          <w:sz w:val="15"/>
          <w:szCs w:val="15"/>
          <w:color w:val="auto"/>
        </w:rPr>
      </w:pPr>
    </w:p>
    <w:p>
      <w:pPr>
        <w:ind w:left="180" w:hanging="172"/>
        <w:spacing w:after="0"/>
        <w:tabs>
          <w:tab w:leader="none" w:pos="18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resulting amount of any gain or loss is recognized.</w:t>
      </w:r>
    </w:p>
    <w:p>
      <w:pPr>
        <w:spacing w:after="0" w:line="86"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Whilst we do not plan to fully fund our deupirfenidone (LYT-100) or LYT-200 programs, we anticipate that we will invest in the respective Founded Entities that house those programs, Celea Therapeutics and Gallop Oncology, in conjunction with external investors. We also anticipate we will be providing a certain level of funding in 2025 and potentially in 2026 while we seek external sources of funding. Consequently, we anticipate our expenses to increase in the short term as we continue to advance our Wholly-Owned Programs. However, we anticipate a decrease in our expenses in the mid- and long-term in connection with execution of our current strategy of housing these Wholly-Owned Programs in Founded Entities and accessing external sources of funding at the Founded Entity level, which, over time, could lead to the deconsolidation of the Founded Entities. The increase in our expenses and capital requirements in the near term will involve:</w:t>
      </w:r>
    </w:p>
    <w:p>
      <w:pPr>
        <w:spacing w:after="0" w:line="54"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continued research and development efforts to advance our clinical programs through development; and</w:t>
      </w:r>
    </w:p>
    <w:p>
      <w:pPr>
        <w:spacing w:after="0" w:line="27" w:lineRule="exact"/>
        <w:rPr>
          <w:rFonts w:ascii="Arial" w:cs="Arial" w:eastAsia="Arial" w:hAnsi="Arial"/>
          <w:sz w:val="15"/>
          <w:szCs w:val="15"/>
          <w:color w:val="auto"/>
        </w:rPr>
      </w:pPr>
    </w:p>
    <w:p>
      <w:pPr>
        <w:ind w:left="220" w:right="580" w:hanging="212"/>
        <w:spacing w:after="0" w:line="285" w:lineRule="auto"/>
        <w:tabs>
          <w:tab w:leader="none" w:pos="191" w:val="left"/>
        </w:tabs>
        <w:numPr>
          <w:ilvl w:val="0"/>
          <w:numId w:val="10"/>
        </w:numPr>
        <w:rPr>
          <w:rFonts w:ascii="Arial" w:cs="Arial" w:eastAsia="Arial" w:hAnsi="Arial"/>
          <w:sz w:val="15"/>
          <w:szCs w:val="15"/>
          <w:color w:val="auto"/>
        </w:rPr>
      </w:pPr>
      <w:r>
        <w:rPr>
          <w:rFonts w:ascii="Arial" w:cs="Arial" w:eastAsia="Arial" w:hAnsi="Arial"/>
          <w:sz w:val="15"/>
          <w:szCs w:val="15"/>
          <w:color w:val="auto"/>
        </w:rPr>
        <w:t>addition of clinical, scientific, operational, financial and management information systems and maintaining appropriate levels of personnel to execute on our strategic initiatives.</w:t>
      </w:r>
    </w:p>
    <w:p>
      <w:pPr>
        <w:spacing w:after="0" w:line="42" w:lineRule="exact"/>
        <w:rPr>
          <w:sz w:val="20"/>
          <w:szCs w:val="20"/>
          <w:color w:val="auto"/>
        </w:rPr>
      </w:pPr>
    </w:p>
    <w:p>
      <w:pPr>
        <w:ind w:left="220" w:right="240" w:hanging="212"/>
        <w:spacing w:after="0" w:line="257" w:lineRule="auto"/>
        <w:tabs>
          <w:tab w:leader="none" w:pos="214" w:val="left"/>
        </w:tabs>
        <w:numPr>
          <w:ilvl w:val="0"/>
          <w:numId w:val="11"/>
        </w:numPr>
        <w:rPr>
          <w:rFonts w:ascii="Arial" w:cs="Arial" w:eastAsia="Arial" w:hAnsi="Arial"/>
          <w:sz w:val="11"/>
          <w:szCs w:val="11"/>
          <w:color w:val="183964"/>
        </w:rPr>
      </w:pPr>
      <w:r>
        <w:rPr>
          <w:rFonts w:ascii="Arial" w:cs="Arial" w:eastAsia="Arial" w:hAnsi="Arial"/>
          <w:sz w:val="11"/>
          <w:szCs w:val="11"/>
          <w:color w:val="183964"/>
        </w:rPr>
        <w:t>Founded Entities are comprised of the entities which the Company incorporated and announced the incorporation as a Founded Entity externally. It includes certain of the Company’s wholly-owned subsidiaries which have been announced by the Company as Founded Entities, Controlled Founded Entities</w:t>
      </w:r>
      <w:r>
        <w:rPr>
          <w:rFonts w:ascii="Arial" w:cs="Arial" w:eastAsia="Arial" w:hAnsi="Arial"/>
          <w:sz w:val="7"/>
          <w:szCs w:val="7"/>
          <w:color w:val="183964"/>
        </w:rPr>
        <w:t>2</w:t>
      </w:r>
      <w:r>
        <w:rPr>
          <w:rFonts w:ascii="Arial" w:cs="Arial" w:eastAsia="Arial" w:hAnsi="Arial"/>
          <w:sz w:val="11"/>
          <w:szCs w:val="11"/>
          <w:color w:val="183964"/>
        </w:rPr>
        <w:t xml:space="preserve"> and deconsolidated Founded Entities. As of June 30, 2025, deconsolidated Founded Entities included Gelesis, Inc., Sonde Health, Inc., Vedanta Biosciences, Inc., and Seaport Therapeutics, Inc.</w:t>
      </w:r>
    </w:p>
    <w:p>
      <w:pPr>
        <w:spacing w:after="0" w:line="12" w:lineRule="exact"/>
        <w:rPr>
          <w:rFonts w:ascii="Arial" w:cs="Arial" w:eastAsia="Arial" w:hAnsi="Arial"/>
          <w:sz w:val="11"/>
          <w:szCs w:val="11"/>
          <w:color w:val="183964"/>
        </w:rPr>
      </w:pPr>
    </w:p>
    <w:p>
      <w:pPr>
        <w:ind w:left="220" w:right="400" w:hanging="212"/>
        <w:spacing w:after="0" w:line="281" w:lineRule="auto"/>
        <w:tabs>
          <w:tab w:leader="none" w:pos="214" w:val="left"/>
        </w:tabs>
        <w:numPr>
          <w:ilvl w:val="0"/>
          <w:numId w:val="11"/>
        </w:numPr>
        <w:rPr>
          <w:rFonts w:ascii="Arial" w:cs="Arial" w:eastAsia="Arial" w:hAnsi="Arial"/>
          <w:sz w:val="11"/>
          <w:szCs w:val="11"/>
          <w:color w:val="183964"/>
        </w:rPr>
      </w:pPr>
      <w:r>
        <w:rPr>
          <w:rFonts w:ascii="Arial" w:cs="Arial" w:eastAsia="Arial" w:hAnsi="Arial"/>
          <w:sz w:val="11"/>
          <w:szCs w:val="11"/>
          <w:color w:val="183964"/>
        </w:rPr>
        <w:t>Controlled Founded Entities are comprised of the Company’s consolidated operational subsidiaries that currently have already raised third-party dilutive capital. As of June 30, 2025, Controlled Founded Entities included only Entrega. Inc.</w:t>
      </w:r>
    </w:p>
    <w:p>
      <w:pPr>
        <w:ind w:left="220" w:right="100" w:hanging="212"/>
        <w:spacing w:after="0" w:line="285" w:lineRule="auto"/>
        <w:tabs>
          <w:tab w:leader="none" w:pos="214" w:val="left"/>
        </w:tabs>
        <w:numPr>
          <w:ilvl w:val="0"/>
          <w:numId w:val="11"/>
        </w:numPr>
        <w:rPr>
          <w:rFonts w:ascii="Arial" w:cs="Arial" w:eastAsia="Arial" w:hAnsi="Arial"/>
          <w:sz w:val="11"/>
          <w:szCs w:val="11"/>
          <w:color w:val="183964"/>
        </w:rPr>
      </w:pPr>
      <w:r>
        <w:rPr>
          <w:rFonts w:ascii="Arial" w:cs="Arial" w:eastAsia="Arial" w:hAnsi="Arial"/>
          <w:sz w:val="11"/>
          <w:szCs w:val="11"/>
          <w:color w:val="183964"/>
        </w:rPr>
        <w:t>Wholly-Owned Programs are comprised of the Company’s current and future therapeutic candidates and technologies that are developed by the Company's wholly-owned subsidiaries, whether they were announced as a Founded Entity or not, and will be advanced through with either the Company's funding or non-dilutive sources of financing. As of</w:t>
      </w:r>
    </w:p>
    <w:p>
      <w:pPr>
        <w:sectPr>
          <w:pgSz w:w="11900" w:h="16838" w:orient="portrait"/>
          <w:cols w:equalWidth="0" w:num="1">
            <w:col w:w="11240"/>
          </w:cols>
          <w:pgMar w:left="320" w:top="1235" w:right="339" w:bottom="1440" w:gutter="0" w:footer="0" w:header="0"/>
        </w:sectPr>
      </w:pPr>
    </w:p>
    <w:bookmarkStart w:id="14" w:name="page15"/>
    <w:bookmarkEnd w:id="14"/>
    <w:p>
      <w:pPr>
        <w:ind w:left="220" w:right="100"/>
        <w:spacing w:after="0" w:line="259" w:lineRule="auto"/>
        <w:rPr>
          <w:sz w:val="20"/>
          <w:szCs w:val="20"/>
          <w:color w:val="auto"/>
        </w:rPr>
      </w:pPr>
      <w:r>
        <w:rPr>
          <w:rFonts w:ascii="Arial" w:cs="Arial" w:eastAsia="Arial" w:hAnsi="Arial"/>
          <w:sz w:val="11"/>
          <w:szCs w:val="11"/>
          <w:color w:val="183964"/>
        </w:rPr>
        <w:t>June 30 ,2025, Wholly-Owned Programs were developed by the wholly-owned subsidiaries including PureTech LYT, Inc., PureTech LYT 100, Inc. and Gallop Oncology, Inc. and included primarily the programs deupirfenidone, and LYT-200.</w:t>
      </w:r>
    </w:p>
    <w:p>
      <w:pPr>
        <w:spacing w:after="0" w:line="60" w:lineRule="exact"/>
        <w:rPr>
          <w:sz w:val="20"/>
          <w:szCs w:val="20"/>
          <w:color w:val="auto"/>
        </w:rPr>
      </w:pPr>
    </w:p>
    <w:p>
      <w:pPr>
        <w:ind w:right="340"/>
        <w:spacing w:after="0" w:line="268" w:lineRule="auto"/>
        <w:rPr>
          <w:sz w:val="20"/>
          <w:szCs w:val="20"/>
          <w:color w:val="auto"/>
        </w:rPr>
      </w:pPr>
      <w:r>
        <w:rPr>
          <w:rFonts w:ascii="Arial" w:cs="Arial" w:eastAsia="Arial" w:hAnsi="Arial"/>
          <w:sz w:val="15"/>
          <w:szCs w:val="15"/>
          <w:color w:val="auto"/>
        </w:rPr>
        <w:t>In addition, with respect to our Founded Entities’ programs, we anticipate that we will continue to fund a small portion of development costs by strategically participating in such companies’ financings when we believe participation in such financings is in the best interests of our shareholders. The form of any such participation may include investment in public or private financings, collaboration, partnership arrangements, and/or licensing arrangements, among others. Our management and strategic decision makers, who is our Board of Directors, consider the future funding needs of our Founded Entities and evaluate rigorously the needs and opportunities for returns with respect to each of these Founded Entities routinely and on a case-by-case basis.</w:t>
      </w:r>
    </w:p>
    <w:p>
      <w:pPr>
        <w:spacing w:after="0" w:line="49"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As a result, we may need access to additional funding in the future at the PureTech level, following the period described below in the Funding Requirements section, to support our continuing operations and pursue our strategic objectives, including participating in financing activities at the Founded Entity level and pursuing early stage innovation and development of new assets. We expect to finance our operations through a combination of monetization of our interests in our Founded Entities, collaborations with third parties, or other sources. We may be unable to access additional funds or enter into such other agreements or arrangements when needed on favorable terms, or at all. If we are unable to raise capital or enter into such agreements, as and when needed, we may have to delay, scale back or discontinue our continuing operations and pursuit of our strategic objectives, including participating in financing activities at the Founded Entity level and pursuing early stage innovation and development of new assets. Further, if we are unable to obtain external funding for our deupirfenidone and LYT-200 programs, we may have to delay, scale back or discontinue the development and commercialization of one or more of these Wholly-Owned programs.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Measuring Performance</w:t>
      </w:r>
    </w:p>
    <w:p>
      <w:pPr>
        <w:spacing w:after="0" w:line="100"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auto"/>
        </w:rPr>
        <w:t>The Financial Review discusses our operating and financial performance, our cash flows and liquidity as well as our financial position and our resources. The results of current period are compared with the results of the comparative period in the prior year.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183964"/>
        </w:rPr>
        <w:t>Reported Performance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Reported performance considers all factors that have affected the results of our business, as reflected in our Condensed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183964"/>
        </w:rPr>
        <w:t>Core Performance</w:t>
      </w:r>
    </w:p>
    <w:p>
      <w:pPr>
        <w:spacing w:after="0" w:line="28" w:lineRule="exact"/>
        <w:rPr>
          <w:sz w:val="20"/>
          <w:szCs w:val="20"/>
          <w:color w:val="auto"/>
        </w:rPr>
      </w:pPr>
    </w:p>
    <w:p>
      <w:pPr>
        <w:ind w:right="180"/>
        <w:spacing w:after="0" w:line="259" w:lineRule="auto"/>
        <w:rPr>
          <w:sz w:val="20"/>
          <w:szCs w:val="20"/>
          <w:color w:val="auto"/>
        </w:rPr>
      </w:pPr>
      <w:r>
        <w:rPr>
          <w:rFonts w:ascii="Arial" w:cs="Arial" w:eastAsia="Arial" w:hAnsi="Arial"/>
          <w:sz w:val="15"/>
          <w:szCs w:val="15"/>
          <w:color w:val="auto"/>
        </w:rPr>
        <w:t>Core performance measures are alternative performance measures, which are adjusted and non-IFRS measures. These measures cannot be derived directly from our Condensed Consolidated Financial Statements. We believe that these non-IFRS performance measures, when provided in combination with reported performance, will provide investors, analysts and other stakeholders with helpful complementary information to better understand our financial performance and our financial position from period to period. The measures are also used by management for planning and reporting purposes. The measures are not substitutable for IFRS financial information and should not be considered superior to financial information presented in accordance with IFRS.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Cash flow and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160" w:type="dxa"/>
            <w:vAlign w:val="bottom"/>
          </w:tcPr>
          <w:p>
            <w:pPr>
              <w:ind w:left="20"/>
              <w:spacing w:after="0"/>
              <w:rPr>
                <w:sz w:val="20"/>
                <w:szCs w:val="20"/>
                <w:color w:val="auto"/>
              </w:rPr>
            </w:pPr>
            <w:r>
              <w:rPr>
                <w:rFonts w:ascii="Arial" w:cs="Arial" w:eastAsia="Arial" w:hAnsi="Arial"/>
                <w:sz w:val="15"/>
                <w:szCs w:val="15"/>
                <w:color w:val="auto"/>
              </w:rPr>
              <w:t>PureTech Level cash, cash</w:t>
            </w:r>
          </w:p>
        </w:tc>
        <w:tc>
          <w:tcPr>
            <w:tcW w:w="9060" w:type="dxa"/>
            <w:vAlign w:val="bottom"/>
          </w:tcPr>
          <w:p>
            <w:pPr>
              <w:ind w:left="300"/>
              <w:spacing w:after="0"/>
              <w:rPr>
                <w:sz w:val="20"/>
                <w:szCs w:val="20"/>
                <w:color w:val="auto"/>
              </w:rPr>
            </w:pPr>
            <w:r>
              <w:rPr>
                <w:rFonts w:ascii="Arial" w:cs="Arial" w:eastAsia="Arial" w:hAnsi="Arial"/>
                <w:sz w:val="15"/>
                <w:szCs w:val="15"/>
                <w:b w:val="1"/>
                <w:bCs w:val="1"/>
                <w:color w:val="auto"/>
              </w:rPr>
              <w:t xml:space="preserve">Measure type: </w:t>
            </w:r>
            <w:r>
              <w:rPr>
                <w:rFonts w:ascii="Arial" w:cs="Arial" w:eastAsia="Arial" w:hAnsi="Arial"/>
                <w:sz w:val="15"/>
                <w:szCs w:val="15"/>
                <w:color w:val="auto"/>
              </w:rPr>
              <w:t>Core performance</w:t>
            </w:r>
          </w:p>
        </w:tc>
        <w:tc>
          <w:tcPr>
            <w:tcW w:w="0" w:type="dxa"/>
            <w:vAlign w:val="bottom"/>
          </w:tcPr>
          <w:p>
            <w:pPr>
              <w:spacing w:after="0"/>
              <w:rPr>
                <w:sz w:val="1"/>
                <w:szCs w:val="1"/>
                <w:color w:val="auto"/>
              </w:rPr>
            </w:pPr>
          </w:p>
        </w:tc>
      </w:tr>
      <w:tr>
        <w:trPr>
          <w:trHeight w:val="175"/>
        </w:trPr>
        <w:tc>
          <w:tcPr>
            <w:tcW w:w="2160" w:type="dxa"/>
            <w:vAlign w:val="bottom"/>
          </w:tcPr>
          <w:p>
            <w:pPr>
              <w:ind w:left="20"/>
              <w:spacing w:after="0"/>
              <w:rPr>
                <w:sz w:val="20"/>
                <w:szCs w:val="20"/>
                <w:color w:val="auto"/>
              </w:rPr>
            </w:pPr>
            <w:r>
              <w:rPr>
                <w:rFonts w:ascii="Arial" w:cs="Arial" w:eastAsia="Arial" w:hAnsi="Arial"/>
                <w:sz w:val="15"/>
                <w:szCs w:val="15"/>
                <w:color w:val="auto"/>
              </w:rPr>
              <w:t>equivalents and short-term</w:t>
            </w:r>
          </w:p>
        </w:tc>
        <w:tc>
          <w:tcPr>
            <w:tcW w:w="906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 xml:space="preserve">Definition: </w:t>
            </w:r>
            <w:r>
              <w:rPr>
                <w:rFonts w:ascii="Arial" w:cs="Arial" w:eastAsia="Arial" w:hAnsi="Arial"/>
                <w:sz w:val="15"/>
                <w:szCs w:val="15"/>
                <w:color w:val="auto"/>
              </w:rPr>
              <w:t>Cash and cash equivalents and short-term investments held at PureTech Health plc and our wholly-owned</w:t>
            </w:r>
          </w:p>
        </w:tc>
        <w:tc>
          <w:tcPr>
            <w:tcW w:w="0" w:type="dxa"/>
            <w:vAlign w:val="bottom"/>
          </w:tcPr>
          <w:p>
            <w:pPr>
              <w:spacing w:after="0"/>
              <w:rPr>
                <w:sz w:val="1"/>
                <w:szCs w:val="1"/>
                <w:color w:val="auto"/>
              </w:rPr>
            </w:pPr>
          </w:p>
        </w:tc>
      </w:tr>
      <w:tr>
        <w:trPr>
          <w:trHeight w:val="68"/>
        </w:trPr>
        <w:tc>
          <w:tcPr>
            <w:tcW w:w="2160" w:type="dxa"/>
            <w:vAlign w:val="bottom"/>
            <w:vMerge w:val="restart"/>
          </w:tcPr>
          <w:p>
            <w:pPr>
              <w:ind w:left="20"/>
              <w:spacing w:after="0"/>
              <w:rPr>
                <w:sz w:val="20"/>
                <w:szCs w:val="20"/>
                <w:color w:val="auto"/>
              </w:rPr>
            </w:pPr>
            <w:r>
              <w:rPr>
                <w:rFonts w:ascii="Arial" w:cs="Arial" w:eastAsia="Arial" w:hAnsi="Arial"/>
                <w:sz w:val="15"/>
                <w:szCs w:val="15"/>
                <w:color w:val="auto"/>
              </w:rPr>
              <w:t>investments</w:t>
            </w:r>
          </w:p>
        </w:tc>
        <w:tc>
          <w:tcPr>
            <w:tcW w:w="9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160" w:type="dxa"/>
            <w:vAlign w:val="bottom"/>
            <w:vMerge w:val="continue"/>
          </w:tcPr>
          <w:p>
            <w:pPr>
              <w:spacing w:after="0"/>
              <w:rPr>
                <w:sz w:val="11"/>
                <w:szCs w:val="11"/>
                <w:color w:val="auto"/>
              </w:rPr>
            </w:pPr>
          </w:p>
        </w:tc>
        <w:tc>
          <w:tcPr>
            <w:tcW w:w="9060" w:type="dxa"/>
            <w:vAlign w:val="bottom"/>
            <w:vMerge w:val="restart"/>
          </w:tcPr>
          <w:p>
            <w:pPr>
              <w:ind w:left="300"/>
              <w:spacing w:after="0"/>
              <w:rPr>
                <w:sz w:val="20"/>
                <w:szCs w:val="20"/>
                <w:color w:val="auto"/>
              </w:rPr>
            </w:pPr>
            <w:r>
              <w:rPr>
                <w:rFonts w:ascii="Arial" w:cs="Arial" w:eastAsia="Arial" w:hAnsi="Arial"/>
                <w:sz w:val="15"/>
                <w:szCs w:val="15"/>
                <w:color w:val="auto"/>
              </w:rPr>
              <w:t>subsidiaries.</w:t>
            </w:r>
          </w:p>
        </w:tc>
        <w:tc>
          <w:tcPr>
            <w:tcW w:w="0" w:type="dxa"/>
            <w:vAlign w:val="bottom"/>
          </w:tcPr>
          <w:p>
            <w:pPr>
              <w:spacing w:after="0"/>
              <w:rPr>
                <w:sz w:val="1"/>
                <w:szCs w:val="1"/>
                <w:color w:val="auto"/>
              </w:rPr>
            </w:pPr>
          </w:p>
        </w:tc>
      </w:tr>
      <w:tr>
        <w:trPr>
          <w:trHeight w:val="68"/>
        </w:trPr>
        <w:tc>
          <w:tcPr>
            <w:tcW w:w="2160" w:type="dxa"/>
            <w:vAlign w:val="bottom"/>
          </w:tcPr>
          <w:p>
            <w:pPr>
              <w:spacing w:after="0"/>
              <w:rPr>
                <w:sz w:val="5"/>
                <w:szCs w:val="5"/>
                <w:color w:val="auto"/>
              </w:rPr>
            </w:pPr>
          </w:p>
        </w:tc>
        <w:tc>
          <w:tcPr>
            <w:tcW w:w="9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160" w:type="dxa"/>
            <w:vAlign w:val="bottom"/>
          </w:tcPr>
          <w:p>
            <w:pPr>
              <w:spacing w:after="0"/>
              <w:rPr>
                <w:sz w:val="18"/>
                <w:szCs w:val="18"/>
                <w:color w:val="auto"/>
              </w:rPr>
            </w:pPr>
          </w:p>
        </w:tc>
        <w:tc>
          <w:tcPr>
            <w:tcW w:w="9060" w:type="dxa"/>
            <w:vAlign w:val="bottom"/>
          </w:tcPr>
          <w:p>
            <w:pPr>
              <w:ind w:left="300"/>
              <w:spacing w:after="0"/>
              <w:rPr>
                <w:sz w:val="20"/>
                <w:szCs w:val="20"/>
                <w:color w:val="auto"/>
              </w:rPr>
            </w:pPr>
            <w:r>
              <w:rPr>
                <w:rFonts w:ascii="Arial" w:cs="Arial" w:eastAsia="Arial" w:hAnsi="Arial"/>
                <w:sz w:val="15"/>
                <w:szCs w:val="15"/>
                <w:b w:val="1"/>
                <w:bCs w:val="1"/>
                <w:color w:val="auto"/>
              </w:rPr>
              <w:t xml:space="preserve">Why we use it: </w:t>
            </w:r>
            <w:r>
              <w:rPr>
                <w:rFonts w:ascii="Arial" w:cs="Arial" w:eastAsia="Arial" w:hAnsi="Arial"/>
                <w:sz w:val="15"/>
                <w:szCs w:val="15"/>
                <w:color w:val="auto"/>
              </w:rPr>
              <w:t>PureTech Level cash, cash equivalents and short-term investments is a measure that provides valuable</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9060" w:type="dxa"/>
            <w:vAlign w:val="bottom"/>
          </w:tcPr>
          <w:p>
            <w:pPr>
              <w:ind w:left="300"/>
              <w:spacing w:after="0"/>
              <w:rPr>
                <w:sz w:val="20"/>
                <w:szCs w:val="20"/>
                <w:color w:val="auto"/>
              </w:rPr>
            </w:pPr>
            <w:r>
              <w:rPr>
                <w:rFonts w:ascii="Arial" w:cs="Arial" w:eastAsia="Arial" w:hAnsi="Arial"/>
                <w:sz w:val="15"/>
                <w:szCs w:val="15"/>
                <w:color w:val="auto"/>
              </w:rPr>
              <w:t>additional information with respect to cash, cash equivalents and short-term investments available to fund the Wholly-Owned</w:t>
            </w:r>
          </w:p>
        </w:tc>
        <w:tc>
          <w:tcPr>
            <w:tcW w:w="0" w:type="dxa"/>
            <w:vAlign w:val="bottom"/>
          </w:tcPr>
          <w:p>
            <w:pPr>
              <w:spacing w:after="0"/>
              <w:rPr>
                <w:sz w:val="1"/>
                <w:szCs w:val="1"/>
                <w:color w:val="auto"/>
              </w:rPr>
            </w:pPr>
          </w:p>
        </w:tc>
      </w:tr>
      <w:tr>
        <w:trPr>
          <w:trHeight w:val="200"/>
        </w:trPr>
        <w:tc>
          <w:tcPr>
            <w:tcW w:w="2160" w:type="dxa"/>
            <w:vAlign w:val="bottom"/>
          </w:tcPr>
          <w:p>
            <w:pPr>
              <w:spacing w:after="0"/>
              <w:rPr>
                <w:sz w:val="17"/>
                <w:szCs w:val="17"/>
                <w:color w:val="auto"/>
              </w:rPr>
            </w:pPr>
          </w:p>
        </w:tc>
        <w:tc>
          <w:tcPr>
            <w:tcW w:w="9060" w:type="dxa"/>
            <w:vAlign w:val="bottom"/>
          </w:tcPr>
          <w:p>
            <w:pPr>
              <w:ind w:left="300"/>
              <w:spacing w:after="0"/>
              <w:rPr>
                <w:sz w:val="20"/>
                <w:szCs w:val="20"/>
                <w:color w:val="auto"/>
              </w:rPr>
            </w:pPr>
            <w:r>
              <w:rPr>
                <w:rFonts w:ascii="Arial" w:cs="Arial" w:eastAsia="Arial" w:hAnsi="Arial"/>
                <w:sz w:val="15"/>
                <w:szCs w:val="15"/>
                <w:color w:val="auto"/>
              </w:rPr>
              <w:t>Programs and make certain investments in Founded Entities.</w:t>
            </w:r>
          </w:p>
        </w:tc>
        <w:tc>
          <w:tcPr>
            <w:tcW w:w="0" w:type="dxa"/>
            <w:vAlign w:val="bottom"/>
          </w:tcPr>
          <w:p>
            <w:pPr>
              <w:spacing w:after="0"/>
              <w:rPr>
                <w:sz w:val="1"/>
                <w:szCs w:val="1"/>
                <w:color w:val="auto"/>
              </w:rPr>
            </w:pPr>
          </w:p>
        </w:tc>
      </w:tr>
      <w:tr>
        <w:trPr>
          <w:trHeight w:val="33"/>
        </w:trPr>
        <w:tc>
          <w:tcPr>
            <w:tcW w:w="2160" w:type="dxa"/>
            <w:vAlign w:val="bottom"/>
            <w:tcBorders>
              <w:bottom w:val="single" w:sz="8" w:color="183964"/>
            </w:tcBorders>
          </w:tcPr>
          <w:p>
            <w:pPr>
              <w:spacing w:after="0"/>
              <w:rPr>
                <w:sz w:val="2"/>
                <w:szCs w:val="2"/>
                <w:color w:val="auto"/>
              </w:rPr>
            </w:pPr>
          </w:p>
        </w:tc>
        <w:tc>
          <w:tcPr>
            <w:tcW w:w="9060" w:type="dxa"/>
            <w:vAlign w:val="bottom"/>
            <w:tcBorders>
              <w:bottom w:val="single" w:sz="8" w:color="1839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Recent Developments (subsequent to June 30, 2025)</w:t>
      </w:r>
    </w:p>
    <w:p>
      <w:pPr>
        <w:spacing w:after="0" w:line="113"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 Group has evaluated subsequent events after June 30, 2025 up to the date of issuance, August 28, 2025, of the Condensed Consolidated Financial Statements, and has not identified any recordable or disclosable events not otherwise reported in these Condensed Consolidated Financial Statements or notes thereto, except for the following.</w:t>
      </w:r>
    </w:p>
    <w:p>
      <w:pPr>
        <w:spacing w:after="0" w:line="46"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In August 2025, the Group launched a new Founded Entity Celea Therapeutics to advance deupirfenidone, a Phase 3-ready therapeutic candidate from the Wholly-Owned Programs segment. The financial results of this program were included in the Wholly-Owned Programs segment in the footnotes to the Condensed Consolidated Financial Statements, as of June 30, 2025 and December 31, 2024, and for the six months ended June 30, 2025 and June 30, 2024, respectively. Upon raising dilutive third-party financing, the financial results of this entity will be included in the Controlled Founded Entities segment to the extent that the Group maintains control over this entity.</w:t>
      </w:r>
    </w:p>
    <w:p>
      <w:pPr>
        <w:spacing w:after="0" w:line="67"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In August 2025, Vedanta Biosciences, Inc. (Vedanta), one of the Group's Founded Entities, was recapitalized through the completion of a Series A preferred stock financing. As a result of the recapitalization, the Group’s existing investment in Vedanta’s convertible preferred shares was converted into shares of Vedanta common stock and Series A-2 preferred stock. In addition, the secured convertible promissory note held by the Group from Vedanta, in the principal amount of $5.0 million, was converted into shares of Vedanta Series A-1 preferred stock. Through the Series A preferred stock financing, the Group invested $0.9 million and received 1,477,692 shares of Series A preferred stock.</w:t>
      </w:r>
    </w:p>
    <w:p>
      <w:pPr>
        <w:spacing w:after="0" w:line="54" w:lineRule="exact"/>
        <w:rPr>
          <w:sz w:val="20"/>
          <w:szCs w:val="20"/>
          <w:color w:val="auto"/>
        </w:rPr>
      </w:pPr>
    </w:p>
    <w:p>
      <w:pPr>
        <w:ind w:right="440"/>
        <w:spacing w:after="0" w:line="301" w:lineRule="auto"/>
        <w:rPr>
          <w:sz w:val="20"/>
          <w:szCs w:val="20"/>
          <w:color w:val="auto"/>
        </w:rPr>
      </w:pPr>
      <w:r>
        <w:rPr>
          <w:rFonts w:ascii="Arial" w:cs="Arial" w:eastAsia="Arial" w:hAnsi="Arial"/>
          <w:sz w:val="15"/>
          <w:szCs w:val="15"/>
          <w:color w:val="auto"/>
        </w:rPr>
        <w:t>As part of these transactions, Vedanta amended and restated its Investor Rights Agreement, which reduced the number of directors the Group has the ability to designate from four to one. The Group’s ownership stake in Vedanta has been diluted to 4.2% on a fully diluted basis.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Financial Highlights</w:t>
      </w:r>
    </w:p>
    <w:p>
      <w:pPr>
        <w:spacing w:after="0" w:line="100"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The following is the reconciliation of the amounts appearing in our Condensed Consolidated Statement of Financial Position to the non-IFRS alternative performance measure described above:</w:t>
      </w:r>
    </w:p>
    <w:p>
      <w:pPr>
        <w:sectPr>
          <w:pgSz w:w="11900" w:h="16838" w:orient="portrait"/>
          <w:cols w:equalWidth="0" w:num="1">
            <w:col w:w="11220"/>
          </w:cols>
          <w:pgMar w:left="320" w:top="1247"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2"/>
        </w:trPr>
        <w:tc>
          <w:tcPr>
            <w:tcW w:w="696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1960" w:type="dxa"/>
            <w:vAlign w:val="bottom"/>
          </w:tcPr>
          <w:p>
            <w:pPr>
              <w:spacing w:after="0"/>
              <w:rPr>
                <w:sz w:val="14"/>
                <w:szCs w:val="14"/>
                <w:color w:val="auto"/>
              </w:rPr>
            </w:pPr>
          </w:p>
        </w:tc>
        <w:tc>
          <w:tcPr>
            <w:tcW w:w="2300" w:type="dxa"/>
            <w:vAlign w:val="bottom"/>
            <w:gridSpan w:val="3"/>
          </w:tcPr>
          <w:p>
            <w:pPr>
              <w:jc w:val="right"/>
              <w:spacing w:after="0"/>
              <w:rPr>
                <w:sz w:val="20"/>
                <w:szCs w:val="20"/>
                <w:color w:val="auto"/>
              </w:rPr>
            </w:pPr>
            <w:r>
              <w:rPr>
                <w:rFonts w:ascii="Arial" w:cs="Arial" w:eastAsia="Arial" w:hAnsi="Arial"/>
                <w:sz w:val="13"/>
                <w:szCs w:val="13"/>
                <w:b w:val="1"/>
                <w:bCs w:val="1"/>
                <w:color w:val="auto"/>
              </w:rPr>
              <w:t xml:space="preserve">June 30, 2025   </w:t>
            </w:r>
            <w:r>
              <w:rPr>
                <w:rFonts w:ascii="Arial" w:cs="Arial" w:eastAsia="Arial" w:hAnsi="Arial"/>
                <w:sz w:val="13"/>
                <w:szCs w:val="13"/>
                <w:color w:val="183964"/>
              </w:rPr>
              <w:t>December 31, 2024</w:t>
            </w:r>
          </w:p>
        </w:tc>
      </w:tr>
      <w:tr>
        <w:trPr>
          <w:trHeight w:val="22"/>
        </w:trPr>
        <w:tc>
          <w:tcPr>
            <w:tcW w:w="6960" w:type="dxa"/>
            <w:vAlign w:val="bottom"/>
            <w:tcBorders>
              <w:bottom w:val="single" w:sz="8" w:color="929292"/>
            </w:tcBorders>
          </w:tcPr>
          <w:p>
            <w:pPr>
              <w:spacing w:after="0" w:line="20" w:lineRule="exact"/>
              <w:rPr>
                <w:sz w:val="1"/>
                <w:szCs w:val="1"/>
                <w:color w:val="auto"/>
              </w:rPr>
            </w:pPr>
          </w:p>
        </w:tc>
        <w:tc>
          <w:tcPr>
            <w:tcW w:w="1960" w:type="dxa"/>
            <w:vAlign w:val="bottom"/>
            <w:tcBorders>
              <w:bottom w:val="single" w:sz="8" w:color="929292"/>
            </w:tcBorders>
          </w:tcPr>
          <w:p>
            <w:pPr>
              <w:spacing w:after="0" w:line="20" w:lineRule="exact"/>
              <w:rPr>
                <w:sz w:val="1"/>
                <w:szCs w:val="1"/>
                <w:color w:val="auto"/>
              </w:rPr>
            </w:pPr>
          </w:p>
        </w:tc>
        <w:tc>
          <w:tcPr>
            <w:tcW w:w="1000" w:type="dxa"/>
            <w:vAlign w:val="bottom"/>
            <w:tcBorders>
              <w:bottom w:val="single" w:sz="8" w:color="929292"/>
            </w:tcBorders>
          </w:tcPr>
          <w:p>
            <w:pPr>
              <w:spacing w:after="0" w:line="20" w:lineRule="exact"/>
              <w:rPr>
                <w:sz w:val="1"/>
                <w:szCs w:val="1"/>
                <w:color w:val="auto"/>
              </w:rPr>
            </w:pPr>
          </w:p>
        </w:tc>
        <w:tc>
          <w:tcPr>
            <w:tcW w:w="400" w:type="dxa"/>
            <w:vAlign w:val="bottom"/>
            <w:tcBorders>
              <w:bottom w:val="single" w:sz="8" w:color="929292"/>
            </w:tcBorders>
          </w:tcPr>
          <w:p>
            <w:pPr>
              <w:spacing w:after="0" w:line="20" w:lineRule="exact"/>
              <w:rPr>
                <w:sz w:val="1"/>
                <w:szCs w:val="1"/>
                <w:color w:val="auto"/>
              </w:rPr>
            </w:pPr>
          </w:p>
        </w:tc>
        <w:tc>
          <w:tcPr>
            <w:tcW w:w="900" w:type="dxa"/>
            <w:vAlign w:val="bottom"/>
            <w:tcBorders>
              <w:bottom w:val="single" w:sz="8" w:color="929292"/>
            </w:tcBorders>
          </w:tcPr>
          <w:p>
            <w:pPr>
              <w:spacing w:after="0" w:line="20" w:lineRule="exact"/>
              <w:rPr>
                <w:sz w:val="1"/>
                <w:szCs w:val="1"/>
                <w:color w:val="auto"/>
              </w:rPr>
            </w:pPr>
          </w:p>
        </w:tc>
      </w:tr>
      <w:tr>
        <w:trPr>
          <w:trHeight w:val="212"/>
        </w:trPr>
        <w:tc>
          <w:tcPr>
            <w:tcW w:w="696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196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260,604</w:t>
            </w:r>
          </w:p>
        </w:tc>
        <w:tc>
          <w:tcPr>
            <w:tcW w:w="400" w:type="dxa"/>
            <w:vAlign w:val="bottom"/>
          </w:tcPr>
          <w:p>
            <w:pPr>
              <w:jc w:val="right"/>
              <w:ind w:right="204"/>
              <w:spacing w:after="0"/>
              <w:rPr>
                <w:sz w:val="20"/>
                <w:szCs w:val="20"/>
                <w:color w:val="auto"/>
              </w:rPr>
            </w:pPr>
            <w:r>
              <w:rPr>
                <w:rFonts w:ascii="Arial" w:cs="Arial" w:eastAsia="Arial" w:hAnsi="Arial"/>
                <w:sz w:val="15"/>
                <w:szCs w:val="15"/>
                <w:color w:val="183964"/>
              </w:rPr>
              <w:t>$</w:t>
            </w:r>
          </w:p>
        </w:tc>
        <w:tc>
          <w:tcPr>
            <w:tcW w:w="900" w:type="dxa"/>
            <w:vAlign w:val="bottom"/>
          </w:tcPr>
          <w:p>
            <w:pPr>
              <w:jc w:val="right"/>
              <w:spacing w:after="0"/>
              <w:rPr>
                <w:sz w:val="20"/>
                <w:szCs w:val="20"/>
                <w:color w:val="auto"/>
              </w:rPr>
            </w:pPr>
            <w:r>
              <w:rPr>
                <w:rFonts w:ascii="Arial" w:cs="Arial" w:eastAsia="Arial" w:hAnsi="Arial"/>
                <w:sz w:val="15"/>
                <w:szCs w:val="15"/>
                <w:color w:val="183964"/>
              </w:rPr>
              <w:t>280,641</w:t>
            </w:r>
          </w:p>
        </w:tc>
      </w:tr>
      <w:tr>
        <w:trPr>
          <w:trHeight w:val="243"/>
        </w:trPr>
        <w:tc>
          <w:tcPr>
            <w:tcW w:w="6960" w:type="dxa"/>
            <w:vAlign w:val="bottom"/>
          </w:tcPr>
          <w:p>
            <w:pPr>
              <w:ind w:left="20"/>
              <w:spacing w:after="0"/>
              <w:rPr>
                <w:sz w:val="20"/>
                <w:szCs w:val="20"/>
                <w:color w:val="auto"/>
              </w:rPr>
            </w:pPr>
            <w:r>
              <w:rPr>
                <w:rFonts w:ascii="Arial" w:cs="Arial" w:eastAsia="Arial" w:hAnsi="Arial"/>
                <w:sz w:val="15"/>
                <w:szCs w:val="15"/>
                <w:b w:val="1"/>
                <w:bCs w:val="1"/>
                <w:color w:val="auto"/>
              </w:rPr>
              <w:t>Short-term investments</w:t>
            </w:r>
          </w:p>
        </w:tc>
        <w:tc>
          <w:tcPr>
            <w:tcW w:w="19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59,303</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86,666</w:t>
            </w:r>
          </w:p>
        </w:tc>
      </w:tr>
      <w:tr>
        <w:trPr>
          <w:trHeight w:val="25"/>
        </w:trPr>
        <w:tc>
          <w:tcPr>
            <w:tcW w:w="6960" w:type="dxa"/>
            <w:vAlign w:val="bottom"/>
            <w:tcBorders>
              <w:bottom w:val="single" w:sz="8" w:color="183964"/>
            </w:tcBorders>
          </w:tcPr>
          <w:p>
            <w:pPr>
              <w:spacing w:after="0"/>
              <w:rPr>
                <w:sz w:val="2"/>
                <w:szCs w:val="2"/>
                <w:color w:val="auto"/>
              </w:rPr>
            </w:pPr>
          </w:p>
        </w:tc>
        <w:tc>
          <w:tcPr>
            <w:tcW w:w="1960" w:type="dxa"/>
            <w:vAlign w:val="bottom"/>
            <w:tcBorders>
              <w:bottom w:val="single" w:sz="8" w:color="183964"/>
            </w:tcBorders>
          </w:tcPr>
          <w:p>
            <w:pPr>
              <w:spacing w:after="0"/>
              <w:rPr>
                <w:sz w:val="2"/>
                <w:szCs w:val="2"/>
                <w:color w:val="auto"/>
              </w:rPr>
            </w:pPr>
          </w:p>
        </w:tc>
        <w:tc>
          <w:tcPr>
            <w:tcW w:w="100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r>
      <w:tr>
        <w:trPr>
          <w:trHeight w:val="211"/>
        </w:trPr>
        <w:tc>
          <w:tcPr>
            <w:tcW w:w="6960" w:type="dxa"/>
            <w:vAlign w:val="bottom"/>
          </w:tcPr>
          <w:p>
            <w:pPr>
              <w:ind w:left="20"/>
              <w:spacing w:after="0"/>
              <w:rPr>
                <w:sz w:val="20"/>
                <w:szCs w:val="20"/>
                <w:color w:val="auto"/>
              </w:rPr>
            </w:pPr>
            <w:r>
              <w:rPr>
                <w:rFonts w:ascii="Arial" w:cs="Arial" w:eastAsia="Arial" w:hAnsi="Arial"/>
                <w:sz w:val="15"/>
                <w:szCs w:val="15"/>
                <w:b w:val="1"/>
                <w:bCs w:val="1"/>
                <w:color w:val="auto"/>
              </w:rPr>
              <w:t>Consolidated cash, cash equivalents and short-term investments</w:t>
            </w:r>
          </w:p>
        </w:tc>
        <w:tc>
          <w:tcPr>
            <w:tcW w:w="19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319,907</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367,307</w:t>
            </w:r>
          </w:p>
        </w:tc>
      </w:tr>
      <w:tr>
        <w:trPr>
          <w:trHeight w:val="243"/>
        </w:trPr>
        <w:tc>
          <w:tcPr>
            <w:tcW w:w="6960" w:type="dxa"/>
            <w:vAlign w:val="bottom"/>
          </w:tcPr>
          <w:p>
            <w:pPr>
              <w:ind w:left="20"/>
              <w:spacing w:after="0"/>
              <w:rPr>
                <w:sz w:val="20"/>
                <w:szCs w:val="20"/>
                <w:color w:val="auto"/>
              </w:rPr>
            </w:pPr>
            <w:r>
              <w:rPr>
                <w:rFonts w:ascii="Arial" w:cs="Arial" w:eastAsia="Arial" w:hAnsi="Arial"/>
                <w:sz w:val="15"/>
                <w:szCs w:val="15"/>
                <w:b w:val="1"/>
                <w:bCs w:val="1"/>
                <w:color w:val="auto"/>
              </w:rPr>
              <w:t>Less: cash and cash equivalents held at non-wholly owned subsidiaries</w:t>
            </w:r>
          </w:p>
        </w:tc>
        <w:tc>
          <w:tcPr>
            <w:tcW w:w="19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(286)</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(493)</w:t>
            </w:r>
          </w:p>
        </w:tc>
      </w:tr>
      <w:tr>
        <w:trPr>
          <w:trHeight w:val="25"/>
        </w:trPr>
        <w:tc>
          <w:tcPr>
            <w:tcW w:w="6960" w:type="dxa"/>
            <w:vAlign w:val="bottom"/>
            <w:tcBorders>
              <w:bottom w:val="single" w:sz="8" w:color="183964"/>
            </w:tcBorders>
          </w:tcPr>
          <w:p>
            <w:pPr>
              <w:spacing w:after="0"/>
              <w:rPr>
                <w:sz w:val="2"/>
                <w:szCs w:val="2"/>
                <w:color w:val="auto"/>
              </w:rPr>
            </w:pPr>
          </w:p>
        </w:tc>
        <w:tc>
          <w:tcPr>
            <w:tcW w:w="1960" w:type="dxa"/>
            <w:vAlign w:val="bottom"/>
            <w:tcBorders>
              <w:bottom w:val="single" w:sz="8" w:color="183964"/>
            </w:tcBorders>
          </w:tcPr>
          <w:p>
            <w:pPr>
              <w:spacing w:after="0"/>
              <w:rPr>
                <w:sz w:val="2"/>
                <w:szCs w:val="2"/>
                <w:color w:val="auto"/>
              </w:rPr>
            </w:pPr>
          </w:p>
        </w:tc>
        <w:tc>
          <w:tcPr>
            <w:tcW w:w="100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r>
      <w:tr>
        <w:trPr>
          <w:trHeight w:val="212"/>
        </w:trPr>
        <w:tc>
          <w:tcPr>
            <w:tcW w:w="6960" w:type="dxa"/>
            <w:vAlign w:val="bottom"/>
          </w:tcPr>
          <w:p>
            <w:pPr>
              <w:ind w:left="20"/>
              <w:spacing w:after="0"/>
              <w:rPr>
                <w:sz w:val="20"/>
                <w:szCs w:val="20"/>
                <w:color w:val="auto"/>
              </w:rPr>
            </w:pPr>
            <w:r>
              <w:rPr>
                <w:rFonts w:ascii="Arial" w:cs="Arial" w:eastAsia="Arial" w:hAnsi="Arial"/>
                <w:sz w:val="15"/>
                <w:szCs w:val="15"/>
                <w:b w:val="1"/>
                <w:bCs w:val="1"/>
                <w:color w:val="auto"/>
              </w:rPr>
              <w:t>PureTech Level cash, cash equivalents and short-term investments</w:t>
            </w:r>
          </w:p>
        </w:tc>
        <w:tc>
          <w:tcPr>
            <w:tcW w:w="196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319,621</w:t>
            </w:r>
          </w:p>
        </w:tc>
        <w:tc>
          <w:tcPr>
            <w:tcW w:w="400" w:type="dxa"/>
            <w:vAlign w:val="bottom"/>
          </w:tcPr>
          <w:p>
            <w:pPr>
              <w:jc w:val="right"/>
              <w:ind w:right="204"/>
              <w:spacing w:after="0"/>
              <w:rPr>
                <w:sz w:val="20"/>
                <w:szCs w:val="20"/>
                <w:color w:val="auto"/>
              </w:rPr>
            </w:pPr>
            <w:r>
              <w:rPr>
                <w:rFonts w:ascii="Arial" w:cs="Arial" w:eastAsia="Arial" w:hAnsi="Arial"/>
                <w:sz w:val="15"/>
                <w:szCs w:val="15"/>
                <w:color w:val="183964"/>
              </w:rPr>
              <w:t>$</w:t>
            </w:r>
          </w:p>
        </w:tc>
        <w:tc>
          <w:tcPr>
            <w:tcW w:w="900" w:type="dxa"/>
            <w:vAlign w:val="bottom"/>
          </w:tcPr>
          <w:p>
            <w:pPr>
              <w:jc w:val="right"/>
              <w:spacing w:after="0"/>
              <w:rPr>
                <w:sz w:val="20"/>
                <w:szCs w:val="20"/>
                <w:color w:val="auto"/>
              </w:rPr>
            </w:pPr>
            <w:r>
              <w:rPr>
                <w:rFonts w:ascii="Arial" w:cs="Arial" w:eastAsia="Arial" w:hAnsi="Arial"/>
                <w:sz w:val="15"/>
                <w:szCs w:val="15"/>
                <w:color w:val="183964"/>
              </w:rPr>
              <w:t>366,813</w:t>
            </w:r>
          </w:p>
        </w:tc>
      </w:tr>
      <w:tr>
        <w:trPr>
          <w:trHeight w:val="25"/>
        </w:trPr>
        <w:tc>
          <w:tcPr>
            <w:tcW w:w="6960" w:type="dxa"/>
            <w:vAlign w:val="bottom"/>
            <w:tcBorders>
              <w:bottom w:val="single" w:sz="8" w:color="929292"/>
            </w:tcBorders>
          </w:tcPr>
          <w:p>
            <w:pPr>
              <w:spacing w:after="0"/>
              <w:rPr>
                <w:sz w:val="2"/>
                <w:szCs w:val="2"/>
                <w:color w:val="auto"/>
              </w:rPr>
            </w:pPr>
          </w:p>
        </w:tc>
        <w:tc>
          <w:tcPr>
            <w:tcW w:w="196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400" w:type="dxa"/>
            <w:vAlign w:val="bottom"/>
            <w:tcBorders>
              <w:bottom w:val="single" w:sz="8" w:color="929292"/>
            </w:tcBorders>
          </w:tcPr>
          <w:p>
            <w:pPr>
              <w:spacing w:after="0"/>
              <w:rPr>
                <w:sz w:val="2"/>
                <w:szCs w:val="2"/>
                <w:color w:val="auto"/>
              </w:rPr>
            </w:pPr>
          </w:p>
        </w:tc>
        <w:tc>
          <w:tcPr>
            <w:tcW w:w="900" w:type="dxa"/>
            <w:vAlign w:val="bottom"/>
            <w:tcBorders>
              <w:bottom w:val="single" w:sz="8" w:color="929292"/>
            </w:tcBorders>
          </w:tcPr>
          <w:p>
            <w:pPr>
              <w:spacing w:after="0"/>
              <w:rPr>
                <w:sz w:val="2"/>
                <w:szCs w:val="2"/>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Basis of Presentation and Consolidation</w:t>
      </w:r>
    </w:p>
    <w:p>
      <w:pPr>
        <w:spacing w:after="0" w:line="100"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Our Condensed Consolidated Financial Information consolidates the financial information of PureTech Health plc, as well as its subsidiaries, and includes our interest in associates and investments held at fair value and is reported in reportable segments as described below.</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Basis for Segmentation</w:t>
      </w:r>
    </w:p>
    <w:p>
      <w:pPr>
        <w:spacing w:after="0" w:line="113" w:lineRule="exact"/>
        <w:rPr>
          <w:sz w:val="20"/>
          <w:szCs w:val="20"/>
          <w:color w:val="auto"/>
        </w:rPr>
      </w:pPr>
    </w:p>
    <w:p>
      <w:pPr>
        <w:ind w:right="60"/>
        <w:spacing w:after="0" w:line="260" w:lineRule="auto"/>
        <w:rPr>
          <w:sz w:val="20"/>
          <w:szCs w:val="20"/>
          <w:color w:val="auto"/>
        </w:rPr>
      </w:pPr>
      <w:r>
        <w:rPr>
          <w:rFonts w:ascii="Arial" w:cs="Arial" w:eastAsia="Arial" w:hAnsi="Arial"/>
          <w:sz w:val="15"/>
          <w:szCs w:val="15"/>
          <w:color w:val="auto"/>
        </w:rPr>
        <w:t>Our Directors are our strategic decision-makers. Our operating segments are determined based on the financial information provided to our Directors periodically for the purposes of allocating resources and assessing performance. We have determined each of our Wholly-Owned Programs represents an operating segment, and we have aggregated each of these operating segments into one reportable segment, the Wholly-Owned Programs segment. Each of our Controlled Founded Entities represents an operating segment. We aggregate each Controlled Founded Entity operating segment into one reportable segment, the Controlled Founded Entities segment. The aggregation is based on the high level of operational and financial similarities of the operating segments. For our entities that do not meet the definition of an operating segment, we present this information in the Parent Company and Other column in our segment footnote to reconcile the information in the segment footnote to our Condensed Consolidated Financial Statements. Substantially all of our revenue and profit generating activities are generated within the United States and, accordingly, no geographical disclosures are provided.</w:t>
      </w:r>
    </w:p>
    <w:p>
      <w:pPr>
        <w:sectPr>
          <w:pgSz w:w="11900" w:h="16838" w:orient="portrait"/>
          <w:cols w:equalWidth="0" w:num="1">
            <w:col w:w="11220"/>
          </w:cols>
          <w:pgMar w:left="320" w:top="1296" w:right="359" w:bottom="144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color w:val="183964"/>
        </w:rPr>
        <w:t>Results of Operations</w:t>
      </w:r>
    </w:p>
    <w:p>
      <w:pPr>
        <w:spacing w:after="0" w:line="100" w:lineRule="exact"/>
        <w:rPr>
          <w:sz w:val="20"/>
          <w:szCs w:val="20"/>
          <w:color w:val="auto"/>
        </w:rPr>
      </w:pPr>
    </w:p>
    <w:p>
      <w:pPr>
        <w:ind w:right="320"/>
        <w:spacing w:after="0" w:line="283" w:lineRule="auto"/>
        <w:rPr>
          <w:sz w:val="20"/>
          <w:szCs w:val="20"/>
          <w:color w:val="auto"/>
        </w:rPr>
      </w:pPr>
      <w:r>
        <w:rPr>
          <w:rFonts w:ascii="Arial" w:cs="Arial" w:eastAsia="Arial" w:hAnsi="Arial"/>
          <w:sz w:val="15"/>
          <w:szCs w:val="15"/>
          <w:color w:val="auto"/>
        </w:rPr>
        <w:t>The following table, which has been derived from our unaudited financial statements for the six months ended June 30, 2025 and June 30, 2024, included herein, summarizes our results of operations for the periods indicated, together with the changes in those items: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5"/>
          </w:tcPr>
          <w:p>
            <w:pPr>
              <w:jc w:val="right"/>
              <w:ind w:right="144"/>
              <w:spacing w:after="0"/>
              <w:rPr>
                <w:sz w:val="20"/>
                <w:szCs w:val="20"/>
                <w:color w:val="auto"/>
              </w:rPr>
            </w:pPr>
            <w:r>
              <w:rPr>
                <w:rFonts w:ascii="Arial" w:cs="Arial" w:eastAsia="Arial" w:hAnsi="Arial"/>
                <w:sz w:val="13"/>
                <w:szCs w:val="13"/>
                <w:color w:val="183964"/>
              </w:rPr>
              <w:t>Six Months Ended June 30,</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8"/>
        </w:trPr>
        <w:tc>
          <w:tcPr>
            <w:tcW w:w="7240" w:type="dxa"/>
            <w:vAlign w:val="bottom"/>
          </w:tcPr>
          <w:p>
            <w:pPr>
              <w:spacing w:after="0"/>
              <w:rPr>
                <w:sz w:val="2"/>
                <w:szCs w:val="2"/>
                <w:color w:val="auto"/>
              </w:rPr>
            </w:pPr>
          </w:p>
        </w:tc>
        <w:tc>
          <w:tcPr>
            <w:tcW w:w="80" w:type="dxa"/>
            <w:vAlign w:val="bottom"/>
            <w:tcBorders>
              <w:bottom w:val="single" w:sz="8" w:color="183964"/>
            </w:tcBorders>
          </w:tcPr>
          <w:p>
            <w:pPr>
              <w:spacing w:after="0"/>
              <w:rPr>
                <w:sz w:val="2"/>
                <w:szCs w:val="2"/>
                <w:color w:val="auto"/>
              </w:rPr>
            </w:pPr>
          </w:p>
        </w:tc>
        <w:tc>
          <w:tcPr>
            <w:tcW w:w="360" w:type="dxa"/>
            <w:vAlign w:val="bottom"/>
            <w:tcBorders>
              <w:bottom w:val="single" w:sz="8" w:color="183964"/>
            </w:tcBorders>
          </w:tcPr>
          <w:p>
            <w:pPr>
              <w:spacing w:after="0"/>
              <w:rPr>
                <w:sz w:val="2"/>
                <w:szCs w:val="2"/>
                <w:color w:val="auto"/>
              </w:rPr>
            </w:pPr>
          </w:p>
        </w:tc>
        <w:tc>
          <w:tcPr>
            <w:tcW w:w="820" w:type="dxa"/>
            <w:vAlign w:val="bottom"/>
            <w:tcBorders>
              <w:bottom w:val="single" w:sz="8" w:color="183964"/>
            </w:tcBorders>
          </w:tcPr>
          <w:p>
            <w:pPr>
              <w:spacing w:after="0"/>
              <w:rPr>
                <w:sz w:val="2"/>
                <w:szCs w:val="2"/>
                <w:color w:val="auto"/>
              </w:rPr>
            </w:pPr>
          </w:p>
        </w:tc>
        <w:tc>
          <w:tcPr>
            <w:tcW w:w="140" w:type="dxa"/>
            <w:vAlign w:val="bottom"/>
            <w:tcBorders>
              <w:bottom w:val="single" w:sz="8" w:color="183964"/>
            </w:tcBorders>
          </w:tcPr>
          <w:p>
            <w:pPr>
              <w:spacing w:after="0"/>
              <w:rPr>
                <w:sz w:val="2"/>
                <w:szCs w:val="2"/>
                <w:color w:val="auto"/>
              </w:rPr>
            </w:pPr>
          </w:p>
        </w:tc>
        <w:tc>
          <w:tcPr>
            <w:tcW w:w="34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22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100" w:type="dxa"/>
            <w:vAlign w:val="bottom"/>
          </w:tcPr>
          <w:p>
            <w:pPr>
              <w:spacing w:after="0"/>
              <w:rPr>
                <w:sz w:val="2"/>
                <w:szCs w:val="2"/>
                <w:color w:val="auto"/>
              </w:rPr>
            </w:pPr>
          </w:p>
        </w:tc>
      </w:tr>
      <w:tr>
        <w:trPr>
          <w:trHeight w:val="151"/>
        </w:trPr>
        <w:tc>
          <w:tcPr>
            <w:tcW w:w="7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183964"/>
              </w:rPr>
              <w:t>Change</w:t>
            </w:r>
          </w:p>
        </w:tc>
      </w:tr>
      <w:tr>
        <w:trPr>
          <w:trHeight w:val="172"/>
        </w:trPr>
        <w:tc>
          <w:tcPr>
            <w:tcW w:w="724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Arial" w:cs="Arial" w:eastAsia="Arial" w:hAnsi="Arial"/>
                <w:sz w:val="13"/>
                <w:szCs w:val="13"/>
                <w:b w:val="1"/>
                <w:bCs w:val="1"/>
                <w:color w:val="auto"/>
              </w:rPr>
              <w:t>2025</w:t>
            </w:r>
          </w:p>
        </w:tc>
        <w:tc>
          <w:tcPr>
            <w:tcW w:w="340" w:type="dxa"/>
            <w:vAlign w:val="bottom"/>
          </w:tcPr>
          <w:p>
            <w:pPr>
              <w:spacing w:after="0"/>
              <w:rPr>
                <w:sz w:val="14"/>
                <w:szCs w:val="14"/>
                <w:color w:val="auto"/>
              </w:rPr>
            </w:pPr>
          </w:p>
        </w:tc>
        <w:tc>
          <w:tcPr>
            <w:tcW w:w="960" w:type="dxa"/>
            <w:vAlign w:val="bottom"/>
          </w:tcPr>
          <w:p>
            <w:pPr>
              <w:jc w:val="right"/>
              <w:ind w:right="65"/>
              <w:spacing w:after="0"/>
              <w:rPr>
                <w:sz w:val="20"/>
                <w:szCs w:val="20"/>
                <w:color w:val="auto"/>
              </w:rPr>
            </w:pPr>
            <w:r>
              <w:rPr>
                <w:rFonts w:ascii="Arial" w:cs="Arial" w:eastAsia="Arial" w:hAnsi="Arial"/>
                <w:sz w:val="13"/>
                <w:szCs w:val="13"/>
                <w:color w:val="183964"/>
              </w:rPr>
              <w:t>2024</w:t>
            </w:r>
          </w:p>
        </w:tc>
        <w:tc>
          <w:tcPr>
            <w:tcW w:w="2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183964"/>
              </w:rPr>
              <w:t>(2024 to 2025)</w:t>
            </w:r>
          </w:p>
        </w:tc>
      </w:tr>
      <w:tr>
        <w:trPr>
          <w:trHeight w:val="22"/>
        </w:trPr>
        <w:tc>
          <w:tcPr>
            <w:tcW w:w="7240" w:type="dxa"/>
            <w:vAlign w:val="bottom"/>
            <w:tcBorders>
              <w:bottom w:val="single" w:sz="8" w:color="183964"/>
            </w:tcBorders>
          </w:tcPr>
          <w:p>
            <w:pPr>
              <w:spacing w:after="0" w:line="20" w:lineRule="exact"/>
              <w:rPr>
                <w:sz w:val="1"/>
                <w:szCs w:val="1"/>
                <w:color w:val="auto"/>
              </w:rPr>
            </w:pPr>
          </w:p>
        </w:tc>
        <w:tc>
          <w:tcPr>
            <w:tcW w:w="80" w:type="dxa"/>
            <w:vAlign w:val="bottom"/>
            <w:tcBorders>
              <w:bottom w:val="single" w:sz="8" w:color="183964"/>
            </w:tcBorders>
          </w:tcPr>
          <w:p>
            <w:pPr>
              <w:spacing w:after="0" w:line="20" w:lineRule="exact"/>
              <w:rPr>
                <w:sz w:val="1"/>
                <w:szCs w:val="1"/>
                <w:color w:val="auto"/>
              </w:rPr>
            </w:pPr>
          </w:p>
        </w:tc>
        <w:tc>
          <w:tcPr>
            <w:tcW w:w="360" w:type="dxa"/>
            <w:vAlign w:val="bottom"/>
            <w:tcBorders>
              <w:bottom w:val="single" w:sz="8" w:color="183964"/>
            </w:tcBorders>
          </w:tcPr>
          <w:p>
            <w:pPr>
              <w:spacing w:after="0" w:line="20" w:lineRule="exact"/>
              <w:rPr>
                <w:sz w:val="1"/>
                <w:szCs w:val="1"/>
                <w:color w:val="auto"/>
              </w:rPr>
            </w:pPr>
          </w:p>
        </w:tc>
        <w:tc>
          <w:tcPr>
            <w:tcW w:w="820" w:type="dxa"/>
            <w:vAlign w:val="bottom"/>
            <w:tcBorders>
              <w:bottom w:val="single" w:sz="8" w:color="183964"/>
            </w:tcBorders>
          </w:tcPr>
          <w:p>
            <w:pPr>
              <w:spacing w:after="0" w:line="20" w:lineRule="exact"/>
              <w:rPr>
                <w:sz w:val="1"/>
                <w:szCs w:val="1"/>
                <w:color w:val="auto"/>
              </w:rPr>
            </w:pPr>
          </w:p>
        </w:tc>
        <w:tc>
          <w:tcPr>
            <w:tcW w:w="140" w:type="dxa"/>
            <w:vAlign w:val="bottom"/>
            <w:tcBorders>
              <w:bottom w:val="single" w:sz="8" w:color="183964"/>
            </w:tcBorders>
          </w:tcPr>
          <w:p>
            <w:pPr>
              <w:spacing w:after="0" w:line="20" w:lineRule="exact"/>
              <w:rPr>
                <w:sz w:val="1"/>
                <w:szCs w:val="1"/>
                <w:color w:val="auto"/>
              </w:rPr>
            </w:pPr>
          </w:p>
        </w:tc>
        <w:tc>
          <w:tcPr>
            <w:tcW w:w="340" w:type="dxa"/>
            <w:vAlign w:val="bottom"/>
            <w:tcBorders>
              <w:bottom w:val="single" w:sz="8" w:color="183964"/>
            </w:tcBorders>
          </w:tcPr>
          <w:p>
            <w:pPr>
              <w:spacing w:after="0" w:line="20" w:lineRule="exact"/>
              <w:rPr>
                <w:sz w:val="1"/>
                <w:szCs w:val="1"/>
                <w:color w:val="auto"/>
              </w:rPr>
            </w:pPr>
          </w:p>
        </w:tc>
        <w:tc>
          <w:tcPr>
            <w:tcW w:w="960" w:type="dxa"/>
            <w:vAlign w:val="bottom"/>
            <w:tcBorders>
              <w:bottom w:val="single" w:sz="8" w:color="183964"/>
            </w:tcBorders>
          </w:tcPr>
          <w:p>
            <w:pPr>
              <w:spacing w:after="0" w:line="20" w:lineRule="exact"/>
              <w:rPr>
                <w:sz w:val="1"/>
                <w:szCs w:val="1"/>
                <w:color w:val="auto"/>
              </w:rPr>
            </w:pPr>
          </w:p>
        </w:tc>
        <w:tc>
          <w:tcPr>
            <w:tcW w:w="220" w:type="dxa"/>
            <w:vAlign w:val="bottom"/>
            <w:tcBorders>
              <w:bottom w:val="single" w:sz="8" w:color="183964"/>
            </w:tcBorders>
          </w:tcPr>
          <w:p>
            <w:pPr>
              <w:spacing w:after="0" w:line="20" w:lineRule="exact"/>
              <w:rPr>
                <w:sz w:val="1"/>
                <w:szCs w:val="1"/>
                <w:color w:val="auto"/>
              </w:rPr>
            </w:pPr>
          </w:p>
        </w:tc>
        <w:tc>
          <w:tcPr>
            <w:tcW w:w="960" w:type="dxa"/>
            <w:vAlign w:val="bottom"/>
            <w:tcBorders>
              <w:bottom w:val="single" w:sz="8" w:color="183964"/>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240" w:type="dxa"/>
            <w:vAlign w:val="bottom"/>
          </w:tcPr>
          <w:p>
            <w:pPr>
              <w:ind w:left="20"/>
              <w:spacing w:after="0"/>
              <w:rPr>
                <w:sz w:val="20"/>
                <w:szCs w:val="20"/>
                <w:color w:val="auto"/>
              </w:rPr>
            </w:pPr>
            <w:r>
              <w:rPr>
                <w:rFonts w:ascii="Arial" w:cs="Arial" w:eastAsia="Arial" w:hAnsi="Arial"/>
                <w:sz w:val="15"/>
                <w:szCs w:val="15"/>
                <w:color w:val="auto"/>
              </w:rPr>
              <w:t>Contract revenue</w:t>
            </w:r>
          </w:p>
        </w:tc>
        <w:tc>
          <w:tcPr>
            <w:tcW w:w="4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1,851</w:t>
            </w:r>
          </w:p>
        </w:tc>
        <w:tc>
          <w:tcPr>
            <w:tcW w:w="140" w:type="dxa"/>
            <w:vAlign w:val="bottom"/>
          </w:tcPr>
          <w:p>
            <w:pPr>
              <w:jc w:val="right"/>
              <w:spacing w:after="0"/>
              <w:rPr>
                <w:sz w:val="20"/>
                <w:szCs w:val="20"/>
                <w:color w:val="auto"/>
              </w:rPr>
            </w:pPr>
            <w:r>
              <w:rPr>
                <w:rFonts w:ascii="Arial" w:cs="Arial" w:eastAsia="Arial" w:hAnsi="Arial"/>
                <w:sz w:val="15"/>
                <w:szCs w:val="15"/>
                <w:color w:val="183964"/>
              </w:rPr>
              <w:t>$</w:t>
            </w:r>
          </w:p>
        </w:tc>
        <w:tc>
          <w:tcPr>
            <w:tcW w:w="340" w:type="dxa"/>
            <w:vAlign w:val="bottom"/>
          </w:tcPr>
          <w:p>
            <w:pPr>
              <w:spacing w:after="0"/>
              <w:rPr>
                <w:sz w:val="18"/>
                <w:szCs w:val="18"/>
                <w:color w:val="auto"/>
              </w:rPr>
            </w:pPr>
          </w:p>
        </w:tc>
        <w:tc>
          <w:tcPr>
            <w:tcW w:w="960" w:type="dxa"/>
            <w:vAlign w:val="bottom"/>
          </w:tcPr>
          <w:p>
            <w:pPr>
              <w:ind w:left="620"/>
              <w:spacing w:after="0"/>
              <w:rPr>
                <w:sz w:val="20"/>
                <w:szCs w:val="20"/>
                <w:color w:val="auto"/>
              </w:rPr>
            </w:pPr>
            <w:r>
              <w:rPr>
                <w:rFonts w:ascii="Arial" w:cs="Arial" w:eastAsia="Arial" w:hAnsi="Arial"/>
                <w:sz w:val="15"/>
                <w:szCs w:val="15"/>
                <w:color w:val="183964"/>
              </w:rPr>
              <w:t>— $</w:t>
            </w:r>
          </w:p>
        </w:tc>
        <w:tc>
          <w:tcPr>
            <w:tcW w:w="220" w:type="dxa"/>
            <w:vAlign w:val="bottom"/>
          </w:tcPr>
          <w:p>
            <w:pPr>
              <w:spacing w:after="0"/>
              <w:rPr>
                <w:sz w:val="18"/>
                <w:szCs w:val="18"/>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183964"/>
              </w:rPr>
              <w:t>1,851</w:t>
            </w:r>
          </w:p>
        </w:tc>
        <w:tc>
          <w:tcPr>
            <w:tcW w:w="100" w:type="dxa"/>
            <w:vAlign w:val="bottom"/>
          </w:tcPr>
          <w:p>
            <w:pPr>
              <w:spacing w:after="0"/>
              <w:rPr>
                <w:sz w:val="18"/>
                <w:szCs w:val="18"/>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5"/>
                <w:szCs w:val="15"/>
                <w:color w:val="auto"/>
              </w:rPr>
              <w:t>Grant revenue</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05"/>
              <w:spacing w:after="0"/>
              <w:rPr>
                <w:sz w:val="20"/>
                <w:szCs w:val="20"/>
                <w:color w:val="auto"/>
              </w:rPr>
            </w:pPr>
            <w:r>
              <w:rPr>
                <w:rFonts w:ascii="Arial" w:cs="Arial" w:eastAsia="Arial" w:hAnsi="Arial"/>
                <w:sz w:val="15"/>
                <w:szCs w:val="15"/>
                <w:color w:val="183964"/>
              </w:rPr>
              <w:t>288</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183964"/>
              </w:rPr>
              <w:t>(288)</w:t>
            </w:r>
          </w:p>
        </w:tc>
        <w:tc>
          <w:tcPr>
            <w:tcW w:w="100" w:type="dxa"/>
            <w:vAlign w:val="bottom"/>
          </w:tcPr>
          <w:p>
            <w:pPr>
              <w:spacing w:after="0"/>
              <w:rPr>
                <w:sz w:val="21"/>
                <w:szCs w:val="21"/>
                <w:color w:val="auto"/>
              </w:rPr>
            </w:pPr>
          </w:p>
        </w:tc>
      </w:tr>
      <w:tr>
        <w:trPr>
          <w:trHeight w:val="25"/>
        </w:trPr>
        <w:tc>
          <w:tcPr>
            <w:tcW w:w="7240" w:type="dxa"/>
            <w:vAlign w:val="bottom"/>
            <w:tcBorders>
              <w:bottom w:val="single" w:sz="8" w:color="183964"/>
            </w:tcBorders>
          </w:tcPr>
          <w:p>
            <w:pPr>
              <w:spacing w:after="0"/>
              <w:rPr>
                <w:sz w:val="2"/>
                <w:szCs w:val="2"/>
                <w:color w:val="auto"/>
              </w:rPr>
            </w:pPr>
          </w:p>
        </w:tc>
        <w:tc>
          <w:tcPr>
            <w:tcW w:w="80" w:type="dxa"/>
            <w:vAlign w:val="bottom"/>
            <w:tcBorders>
              <w:bottom w:val="single" w:sz="8" w:color="183964"/>
            </w:tcBorders>
          </w:tcPr>
          <w:p>
            <w:pPr>
              <w:spacing w:after="0"/>
              <w:rPr>
                <w:sz w:val="2"/>
                <w:szCs w:val="2"/>
                <w:color w:val="auto"/>
              </w:rPr>
            </w:pPr>
          </w:p>
        </w:tc>
        <w:tc>
          <w:tcPr>
            <w:tcW w:w="360" w:type="dxa"/>
            <w:vAlign w:val="bottom"/>
            <w:tcBorders>
              <w:bottom w:val="single" w:sz="8" w:color="183964"/>
            </w:tcBorders>
          </w:tcPr>
          <w:p>
            <w:pPr>
              <w:spacing w:after="0"/>
              <w:rPr>
                <w:sz w:val="2"/>
                <w:szCs w:val="2"/>
                <w:color w:val="auto"/>
              </w:rPr>
            </w:pPr>
          </w:p>
        </w:tc>
        <w:tc>
          <w:tcPr>
            <w:tcW w:w="820" w:type="dxa"/>
            <w:vAlign w:val="bottom"/>
            <w:tcBorders>
              <w:bottom w:val="single" w:sz="8" w:color="183964"/>
            </w:tcBorders>
          </w:tcPr>
          <w:p>
            <w:pPr>
              <w:spacing w:after="0"/>
              <w:rPr>
                <w:sz w:val="2"/>
                <w:szCs w:val="2"/>
                <w:color w:val="auto"/>
              </w:rPr>
            </w:pPr>
          </w:p>
        </w:tc>
        <w:tc>
          <w:tcPr>
            <w:tcW w:w="140" w:type="dxa"/>
            <w:vAlign w:val="bottom"/>
            <w:tcBorders>
              <w:bottom w:val="single" w:sz="8" w:color="183964"/>
            </w:tcBorders>
          </w:tcPr>
          <w:p>
            <w:pPr>
              <w:spacing w:after="0"/>
              <w:rPr>
                <w:sz w:val="2"/>
                <w:szCs w:val="2"/>
                <w:color w:val="auto"/>
              </w:rPr>
            </w:pPr>
          </w:p>
        </w:tc>
        <w:tc>
          <w:tcPr>
            <w:tcW w:w="34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22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7240" w:type="dxa"/>
            <w:vAlign w:val="bottom"/>
          </w:tcPr>
          <w:p>
            <w:pPr>
              <w:ind w:left="20"/>
              <w:spacing w:after="0"/>
              <w:rPr>
                <w:sz w:val="20"/>
                <w:szCs w:val="20"/>
                <w:color w:val="auto"/>
              </w:rPr>
            </w:pPr>
            <w:r>
              <w:rPr>
                <w:rFonts w:ascii="Arial" w:cs="Arial" w:eastAsia="Arial" w:hAnsi="Arial"/>
                <w:sz w:val="15"/>
                <w:szCs w:val="15"/>
                <w:b w:val="1"/>
                <w:bCs w:val="1"/>
                <w:color w:val="auto"/>
              </w:rPr>
              <w:t>Total revenue</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1,851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05"/>
              <w:spacing w:after="0"/>
              <w:rPr>
                <w:sz w:val="20"/>
                <w:szCs w:val="20"/>
                <w:color w:val="auto"/>
              </w:rPr>
            </w:pPr>
            <w:r>
              <w:rPr>
                <w:rFonts w:ascii="Arial" w:cs="Arial" w:eastAsia="Arial" w:hAnsi="Arial"/>
                <w:sz w:val="15"/>
                <w:szCs w:val="15"/>
                <w:color w:val="183964"/>
              </w:rPr>
              <w:t>288</w:t>
            </w:r>
          </w:p>
        </w:tc>
        <w:tc>
          <w:tcPr>
            <w:tcW w:w="220" w:type="dxa"/>
            <w:vAlign w:val="bottom"/>
          </w:tcPr>
          <w:p>
            <w:pPr>
              <w:spacing w:after="0"/>
              <w:rPr>
                <w:sz w:val="18"/>
                <w:szCs w:val="18"/>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183964"/>
              </w:rPr>
              <w:t>1,563</w:t>
            </w:r>
          </w:p>
        </w:tc>
        <w:tc>
          <w:tcPr>
            <w:tcW w:w="100" w:type="dxa"/>
            <w:vAlign w:val="bottom"/>
          </w:tcPr>
          <w:p>
            <w:pPr>
              <w:spacing w:after="0"/>
              <w:rPr>
                <w:sz w:val="18"/>
                <w:szCs w:val="18"/>
                <w:color w:val="auto"/>
              </w:rPr>
            </w:pPr>
          </w:p>
        </w:tc>
      </w:tr>
      <w:tr>
        <w:trPr>
          <w:trHeight w:val="25"/>
        </w:trPr>
        <w:tc>
          <w:tcPr>
            <w:tcW w:w="7240" w:type="dxa"/>
            <w:vAlign w:val="bottom"/>
            <w:tcBorders>
              <w:bottom w:val="single" w:sz="8" w:color="183964"/>
            </w:tcBorders>
          </w:tcPr>
          <w:p>
            <w:pPr>
              <w:spacing w:after="0"/>
              <w:rPr>
                <w:sz w:val="2"/>
                <w:szCs w:val="2"/>
                <w:color w:val="auto"/>
              </w:rPr>
            </w:pPr>
          </w:p>
        </w:tc>
        <w:tc>
          <w:tcPr>
            <w:tcW w:w="80" w:type="dxa"/>
            <w:vAlign w:val="bottom"/>
            <w:tcBorders>
              <w:bottom w:val="single" w:sz="8" w:color="183964"/>
            </w:tcBorders>
          </w:tcPr>
          <w:p>
            <w:pPr>
              <w:spacing w:after="0"/>
              <w:rPr>
                <w:sz w:val="2"/>
                <w:szCs w:val="2"/>
                <w:color w:val="auto"/>
              </w:rPr>
            </w:pPr>
          </w:p>
        </w:tc>
        <w:tc>
          <w:tcPr>
            <w:tcW w:w="360" w:type="dxa"/>
            <w:vAlign w:val="bottom"/>
            <w:tcBorders>
              <w:bottom w:val="single" w:sz="8" w:color="183964"/>
            </w:tcBorders>
          </w:tcPr>
          <w:p>
            <w:pPr>
              <w:spacing w:after="0"/>
              <w:rPr>
                <w:sz w:val="2"/>
                <w:szCs w:val="2"/>
                <w:color w:val="auto"/>
              </w:rPr>
            </w:pPr>
          </w:p>
        </w:tc>
        <w:tc>
          <w:tcPr>
            <w:tcW w:w="820" w:type="dxa"/>
            <w:vAlign w:val="bottom"/>
            <w:tcBorders>
              <w:bottom w:val="single" w:sz="8" w:color="183964"/>
            </w:tcBorders>
          </w:tcPr>
          <w:p>
            <w:pPr>
              <w:spacing w:after="0"/>
              <w:rPr>
                <w:sz w:val="2"/>
                <w:szCs w:val="2"/>
                <w:color w:val="auto"/>
              </w:rPr>
            </w:pPr>
          </w:p>
        </w:tc>
        <w:tc>
          <w:tcPr>
            <w:tcW w:w="140" w:type="dxa"/>
            <w:vAlign w:val="bottom"/>
            <w:tcBorders>
              <w:bottom w:val="single" w:sz="8" w:color="183964"/>
            </w:tcBorders>
          </w:tcPr>
          <w:p>
            <w:pPr>
              <w:spacing w:after="0"/>
              <w:rPr>
                <w:sz w:val="2"/>
                <w:szCs w:val="2"/>
                <w:color w:val="auto"/>
              </w:rPr>
            </w:pPr>
          </w:p>
        </w:tc>
        <w:tc>
          <w:tcPr>
            <w:tcW w:w="34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22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24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7240" w:type="dxa"/>
            <w:vAlign w:val="bottom"/>
          </w:tcPr>
          <w:p>
            <w:pPr>
              <w:ind w:left="120"/>
              <w:spacing w:after="0"/>
              <w:rPr>
                <w:sz w:val="20"/>
                <w:szCs w:val="20"/>
                <w:color w:val="auto"/>
              </w:rPr>
            </w:pPr>
            <w:r>
              <w:rPr>
                <w:rFonts w:ascii="Arial" w:cs="Arial" w:eastAsia="Arial" w:hAnsi="Arial"/>
                <w:sz w:val="15"/>
                <w:szCs w:val="15"/>
                <w:color w:val="auto"/>
              </w:rPr>
              <w:t>General and administrative expenses</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(24,883)</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65"/>
              <w:spacing w:after="0"/>
              <w:rPr>
                <w:sz w:val="20"/>
                <w:szCs w:val="20"/>
                <w:color w:val="auto"/>
              </w:rPr>
            </w:pPr>
            <w:r>
              <w:rPr>
                <w:rFonts w:ascii="Arial" w:cs="Arial" w:eastAsia="Arial" w:hAnsi="Arial"/>
                <w:sz w:val="15"/>
                <w:szCs w:val="15"/>
                <w:color w:val="183964"/>
              </w:rPr>
              <w:t>(27,758)</w:t>
            </w:r>
          </w:p>
        </w:tc>
        <w:tc>
          <w:tcPr>
            <w:tcW w:w="220" w:type="dxa"/>
            <w:vAlign w:val="bottom"/>
          </w:tcPr>
          <w:p>
            <w:pPr>
              <w:spacing w:after="0"/>
              <w:rPr>
                <w:sz w:val="21"/>
                <w:szCs w:val="21"/>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183964"/>
              </w:rPr>
              <w:t>2,876</w:t>
            </w:r>
          </w:p>
        </w:tc>
        <w:tc>
          <w:tcPr>
            <w:tcW w:w="100" w:type="dxa"/>
            <w:vAlign w:val="bottom"/>
          </w:tcPr>
          <w:p>
            <w:pPr>
              <w:spacing w:after="0"/>
              <w:rPr>
                <w:sz w:val="21"/>
                <w:szCs w:val="21"/>
                <w:color w:val="auto"/>
              </w:rPr>
            </w:pPr>
          </w:p>
        </w:tc>
      </w:tr>
      <w:tr>
        <w:trPr>
          <w:trHeight w:val="243"/>
        </w:trPr>
        <w:tc>
          <w:tcPr>
            <w:tcW w:w="7240" w:type="dxa"/>
            <w:vAlign w:val="bottom"/>
          </w:tcPr>
          <w:p>
            <w:pPr>
              <w:ind w:left="120"/>
              <w:spacing w:after="0"/>
              <w:rPr>
                <w:sz w:val="20"/>
                <w:szCs w:val="20"/>
                <w:color w:val="auto"/>
              </w:rPr>
            </w:pPr>
            <w:r>
              <w:rPr>
                <w:rFonts w:ascii="Arial" w:cs="Arial" w:eastAsia="Arial" w:hAnsi="Arial"/>
                <w:sz w:val="15"/>
                <w:szCs w:val="15"/>
                <w:color w:val="auto"/>
              </w:rPr>
              <w:t>Research and development expenses</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(24,900)</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65"/>
              <w:spacing w:after="0"/>
              <w:rPr>
                <w:sz w:val="20"/>
                <w:szCs w:val="20"/>
                <w:color w:val="auto"/>
              </w:rPr>
            </w:pPr>
            <w:r>
              <w:rPr>
                <w:rFonts w:ascii="Arial" w:cs="Arial" w:eastAsia="Arial" w:hAnsi="Arial"/>
                <w:sz w:val="15"/>
                <w:szCs w:val="15"/>
                <w:color w:val="183964"/>
              </w:rPr>
              <w:t>(38,928)</w:t>
            </w:r>
          </w:p>
        </w:tc>
        <w:tc>
          <w:tcPr>
            <w:tcW w:w="220" w:type="dxa"/>
            <w:vAlign w:val="bottom"/>
          </w:tcPr>
          <w:p>
            <w:pPr>
              <w:spacing w:after="0"/>
              <w:rPr>
                <w:sz w:val="21"/>
                <w:szCs w:val="21"/>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183964"/>
              </w:rPr>
              <w:t>14,029</w:t>
            </w:r>
          </w:p>
        </w:tc>
        <w:tc>
          <w:tcPr>
            <w:tcW w:w="100" w:type="dxa"/>
            <w:vAlign w:val="bottom"/>
          </w:tcPr>
          <w:p>
            <w:pPr>
              <w:spacing w:after="0"/>
              <w:rPr>
                <w:sz w:val="21"/>
                <w:szCs w:val="21"/>
                <w:color w:val="auto"/>
              </w:rPr>
            </w:pPr>
          </w:p>
        </w:tc>
      </w:tr>
      <w:tr>
        <w:trPr>
          <w:trHeight w:val="25"/>
        </w:trPr>
        <w:tc>
          <w:tcPr>
            <w:tcW w:w="7240" w:type="dxa"/>
            <w:vAlign w:val="bottom"/>
            <w:tcBorders>
              <w:bottom w:val="single" w:sz="8" w:color="183964"/>
            </w:tcBorders>
          </w:tcPr>
          <w:p>
            <w:pPr>
              <w:spacing w:after="0"/>
              <w:rPr>
                <w:sz w:val="2"/>
                <w:szCs w:val="2"/>
                <w:color w:val="auto"/>
              </w:rPr>
            </w:pPr>
          </w:p>
        </w:tc>
        <w:tc>
          <w:tcPr>
            <w:tcW w:w="80" w:type="dxa"/>
            <w:vAlign w:val="bottom"/>
            <w:tcBorders>
              <w:bottom w:val="single" w:sz="8" w:color="183964"/>
            </w:tcBorders>
          </w:tcPr>
          <w:p>
            <w:pPr>
              <w:spacing w:after="0"/>
              <w:rPr>
                <w:sz w:val="2"/>
                <w:szCs w:val="2"/>
                <w:color w:val="auto"/>
              </w:rPr>
            </w:pPr>
          </w:p>
        </w:tc>
        <w:tc>
          <w:tcPr>
            <w:tcW w:w="360" w:type="dxa"/>
            <w:vAlign w:val="bottom"/>
            <w:tcBorders>
              <w:bottom w:val="single" w:sz="8" w:color="183964"/>
            </w:tcBorders>
          </w:tcPr>
          <w:p>
            <w:pPr>
              <w:spacing w:after="0"/>
              <w:rPr>
                <w:sz w:val="2"/>
                <w:szCs w:val="2"/>
                <w:color w:val="auto"/>
              </w:rPr>
            </w:pPr>
          </w:p>
        </w:tc>
        <w:tc>
          <w:tcPr>
            <w:tcW w:w="820" w:type="dxa"/>
            <w:vAlign w:val="bottom"/>
            <w:tcBorders>
              <w:bottom w:val="single" w:sz="8" w:color="183964"/>
            </w:tcBorders>
          </w:tcPr>
          <w:p>
            <w:pPr>
              <w:spacing w:after="0"/>
              <w:rPr>
                <w:sz w:val="2"/>
                <w:szCs w:val="2"/>
                <w:color w:val="auto"/>
              </w:rPr>
            </w:pPr>
          </w:p>
        </w:tc>
        <w:tc>
          <w:tcPr>
            <w:tcW w:w="140" w:type="dxa"/>
            <w:vAlign w:val="bottom"/>
            <w:tcBorders>
              <w:bottom w:val="single" w:sz="8" w:color="183964"/>
            </w:tcBorders>
          </w:tcPr>
          <w:p>
            <w:pPr>
              <w:spacing w:after="0"/>
              <w:rPr>
                <w:sz w:val="2"/>
                <w:szCs w:val="2"/>
                <w:color w:val="auto"/>
              </w:rPr>
            </w:pPr>
          </w:p>
        </w:tc>
        <w:tc>
          <w:tcPr>
            <w:tcW w:w="34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22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7240" w:type="dxa"/>
            <w:vAlign w:val="bottom"/>
          </w:tcPr>
          <w:p>
            <w:pPr>
              <w:ind w:left="20"/>
              <w:spacing w:after="0"/>
              <w:rPr>
                <w:sz w:val="20"/>
                <w:szCs w:val="20"/>
                <w:color w:val="auto"/>
              </w:rPr>
            </w:pPr>
            <w:r>
              <w:rPr>
                <w:rFonts w:ascii="Arial" w:cs="Arial" w:eastAsia="Arial" w:hAnsi="Arial"/>
                <w:sz w:val="15"/>
                <w:szCs w:val="15"/>
                <w:b w:val="1"/>
                <w:bCs w:val="1"/>
                <w:color w:val="auto"/>
              </w:rPr>
              <w:t>Operating income/(loss)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(47,931)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65"/>
              <w:spacing w:after="0"/>
              <w:rPr>
                <w:sz w:val="20"/>
                <w:szCs w:val="20"/>
                <w:color w:val="auto"/>
              </w:rPr>
            </w:pPr>
            <w:r>
              <w:rPr>
                <w:rFonts w:ascii="Arial" w:cs="Arial" w:eastAsia="Arial" w:hAnsi="Arial"/>
                <w:sz w:val="15"/>
                <w:szCs w:val="15"/>
                <w:color w:val="183964"/>
              </w:rPr>
              <w:t>(66,398)</w:t>
            </w:r>
          </w:p>
        </w:tc>
        <w:tc>
          <w:tcPr>
            <w:tcW w:w="220" w:type="dxa"/>
            <w:vAlign w:val="bottom"/>
          </w:tcPr>
          <w:p>
            <w:pPr>
              <w:spacing w:after="0"/>
              <w:rPr>
                <w:sz w:val="18"/>
                <w:szCs w:val="18"/>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183964"/>
              </w:rPr>
              <w:t>18,467</w:t>
            </w:r>
          </w:p>
        </w:tc>
        <w:tc>
          <w:tcPr>
            <w:tcW w:w="100" w:type="dxa"/>
            <w:vAlign w:val="bottom"/>
          </w:tcPr>
          <w:p>
            <w:pPr>
              <w:spacing w:after="0"/>
              <w:rPr>
                <w:sz w:val="18"/>
                <w:szCs w:val="18"/>
                <w:color w:val="auto"/>
              </w:rPr>
            </w:pPr>
          </w:p>
        </w:tc>
      </w:tr>
      <w:tr>
        <w:trPr>
          <w:trHeight w:val="25"/>
        </w:trPr>
        <w:tc>
          <w:tcPr>
            <w:tcW w:w="7240" w:type="dxa"/>
            <w:vAlign w:val="bottom"/>
            <w:tcBorders>
              <w:bottom w:val="single" w:sz="8" w:color="183964"/>
            </w:tcBorders>
          </w:tcPr>
          <w:p>
            <w:pPr>
              <w:spacing w:after="0"/>
              <w:rPr>
                <w:sz w:val="2"/>
                <w:szCs w:val="2"/>
                <w:color w:val="auto"/>
              </w:rPr>
            </w:pPr>
          </w:p>
        </w:tc>
        <w:tc>
          <w:tcPr>
            <w:tcW w:w="80" w:type="dxa"/>
            <w:vAlign w:val="bottom"/>
            <w:tcBorders>
              <w:bottom w:val="single" w:sz="8" w:color="183964"/>
            </w:tcBorders>
          </w:tcPr>
          <w:p>
            <w:pPr>
              <w:spacing w:after="0"/>
              <w:rPr>
                <w:sz w:val="2"/>
                <w:szCs w:val="2"/>
                <w:color w:val="auto"/>
              </w:rPr>
            </w:pPr>
          </w:p>
        </w:tc>
        <w:tc>
          <w:tcPr>
            <w:tcW w:w="360" w:type="dxa"/>
            <w:vAlign w:val="bottom"/>
            <w:tcBorders>
              <w:bottom w:val="single" w:sz="8" w:color="183964"/>
            </w:tcBorders>
          </w:tcPr>
          <w:p>
            <w:pPr>
              <w:spacing w:after="0"/>
              <w:rPr>
                <w:sz w:val="2"/>
                <w:szCs w:val="2"/>
                <w:color w:val="auto"/>
              </w:rPr>
            </w:pPr>
          </w:p>
        </w:tc>
        <w:tc>
          <w:tcPr>
            <w:tcW w:w="820" w:type="dxa"/>
            <w:vAlign w:val="bottom"/>
            <w:tcBorders>
              <w:bottom w:val="single" w:sz="8" w:color="183964"/>
            </w:tcBorders>
          </w:tcPr>
          <w:p>
            <w:pPr>
              <w:spacing w:after="0"/>
              <w:rPr>
                <w:sz w:val="2"/>
                <w:szCs w:val="2"/>
                <w:color w:val="auto"/>
              </w:rPr>
            </w:pPr>
          </w:p>
        </w:tc>
        <w:tc>
          <w:tcPr>
            <w:tcW w:w="140" w:type="dxa"/>
            <w:vAlign w:val="bottom"/>
            <w:tcBorders>
              <w:bottom w:val="single" w:sz="8" w:color="183964"/>
            </w:tcBorders>
          </w:tcPr>
          <w:p>
            <w:pPr>
              <w:spacing w:after="0"/>
              <w:rPr>
                <w:sz w:val="2"/>
                <w:szCs w:val="2"/>
                <w:color w:val="auto"/>
              </w:rPr>
            </w:pPr>
          </w:p>
        </w:tc>
        <w:tc>
          <w:tcPr>
            <w:tcW w:w="34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22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100" w:type="dxa"/>
            <w:vAlign w:val="bottom"/>
          </w:tcPr>
          <w:p>
            <w:pPr>
              <w:spacing w:after="0"/>
              <w:rPr>
                <w:sz w:val="2"/>
                <w:szCs w:val="2"/>
                <w:color w:val="auto"/>
              </w:rPr>
            </w:pPr>
          </w:p>
        </w:tc>
      </w:tr>
      <w:tr>
        <w:trPr>
          <w:trHeight w:val="204"/>
        </w:trPr>
        <w:tc>
          <w:tcPr>
            <w:tcW w:w="7240" w:type="dxa"/>
            <w:vAlign w:val="bottom"/>
          </w:tcPr>
          <w:p>
            <w:pPr>
              <w:ind w:left="20"/>
              <w:spacing w:after="0"/>
              <w:rPr>
                <w:sz w:val="20"/>
                <w:szCs w:val="20"/>
                <w:color w:val="auto"/>
              </w:rPr>
            </w:pPr>
            <w:r>
              <w:rPr>
                <w:rFonts w:ascii="Arial" w:cs="Arial" w:eastAsia="Arial" w:hAnsi="Arial"/>
                <w:sz w:val="15"/>
                <w:szCs w:val="15"/>
                <w:color w:val="auto"/>
              </w:rPr>
              <w:t>Other income/(expense):</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7240" w:type="dxa"/>
            <w:vAlign w:val="bottom"/>
          </w:tcPr>
          <w:p>
            <w:pPr>
              <w:ind w:left="120"/>
              <w:spacing w:after="0"/>
              <w:rPr>
                <w:sz w:val="20"/>
                <w:szCs w:val="20"/>
                <w:color w:val="auto"/>
              </w:rPr>
            </w:pPr>
            <w:r>
              <w:rPr>
                <w:rFonts w:ascii="Arial" w:cs="Arial" w:eastAsia="Arial" w:hAnsi="Arial"/>
                <w:sz w:val="15"/>
                <w:szCs w:val="15"/>
                <w:color w:val="auto"/>
              </w:rPr>
              <w:t>Gain/(loss) on investments held at fair value</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3,679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05"/>
              <w:spacing w:after="0"/>
              <w:rPr>
                <w:sz w:val="20"/>
                <w:szCs w:val="20"/>
                <w:color w:val="auto"/>
              </w:rPr>
            </w:pPr>
            <w:r>
              <w:rPr>
                <w:rFonts w:ascii="Arial" w:cs="Arial" w:eastAsia="Arial" w:hAnsi="Arial"/>
                <w:sz w:val="15"/>
                <w:szCs w:val="15"/>
                <w:color w:val="183964"/>
              </w:rPr>
              <w:t>3,882</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183964"/>
              </w:rPr>
              <w:t>(203)</w:t>
            </w:r>
          </w:p>
        </w:tc>
        <w:tc>
          <w:tcPr>
            <w:tcW w:w="100" w:type="dxa"/>
            <w:vAlign w:val="bottom"/>
          </w:tcPr>
          <w:p>
            <w:pPr>
              <w:spacing w:after="0"/>
              <w:rPr>
                <w:sz w:val="21"/>
                <w:szCs w:val="21"/>
                <w:color w:val="auto"/>
              </w:rPr>
            </w:pPr>
          </w:p>
        </w:tc>
      </w:tr>
      <w:tr>
        <w:trPr>
          <w:trHeight w:val="243"/>
        </w:trPr>
        <w:tc>
          <w:tcPr>
            <w:tcW w:w="7240" w:type="dxa"/>
            <w:vAlign w:val="bottom"/>
          </w:tcPr>
          <w:p>
            <w:pPr>
              <w:ind w:left="120"/>
              <w:spacing w:after="0"/>
              <w:rPr>
                <w:sz w:val="20"/>
                <w:szCs w:val="20"/>
                <w:color w:val="auto"/>
              </w:rPr>
            </w:pPr>
            <w:r>
              <w:rPr>
                <w:rFonts w:ascii="Arial" w:cs="Arial" w:eastAsia="Arial" w:hAnsi="Arial"/>
                <w:sz w:val="15"/>
                <w:szCs w:val="15"/>
                <w:color w:val="auto"/>
              </w:rPr>
              <w:t>Realized gain/(loss) on sale of investments</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375</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05"/>
              <w:spacing w:after="0"/>
              <w:rPr>
                <w:sz w:val="20"/>
                <w:szCs w:val="20"/>
                <w:color w:val="auto"/>
              </w:rPr>
            </w:pPr>
            <w:r>
              <w:rPr>
                <w:rFonts w:ascii="Arial" w:cs="Arial" w:eastAsia="Arial" w:hAnsi="Arial"/>
                <w:sz w:val="15"/>
                <w:szCs w:val="15"/>
                <w:color w:val="183964"/>
              </w:rPr>
              <w:t>151</w:t>
            </w:r>
          </w:p>
        </w:tc>
        <w:tc>
          <w:tcPr>
            <w:tcW w:w="220" w:type="dxa"/>
            <w:vAlign w:val="bottom"/>
          </w:tcPr>
          <w:p>
            <w:pPr>
              <w:spacing w:after="0"/>
              <w:rPr>
                <w:sz w:val="21"/>
                <w:szCs w:val="21"/>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183964"/>
              </w:rPr>
              <w:t>225</w:t>
            </w:r>
          </w:p>
        </w:tc>
        <w:tc>
          <w:tcPr>
            <w:tcW w:w="100" w:type="dxa"/>
            <w:vAlign w:val="bottom"/>
          </w:tcPr>
          <w:p>
            <w:pPr>
              <w:spacing w:after="0"/>
              <w:rPr>
                <w:sz w:val="21"/>
                <w:szCs w:val="21"/>
                <w:color w:val="auto"/>
              </w:rPr>
            </w:pPr>
          </w:p>
        </w:tc>
      </w:tr>
      <w:tr>
        <w:trPr>
          <w:trHeight w:val="243"/>
        </w:trPr>
        <w:tc>
          <w:tcPr>
            <w:tcW w:w="7240" w:type="dxa"/>
            <w:vAlign w:val="bottom"/>
          </w:tcPr>
          <w:p>
            <w:pPr>
              <w:ind w:left="120"/>
              <w:spacing w:after="0"/>
              <w:rPr>
                <w:sz w:val="20"/>
                <w:szCs w:val="20"/>
                <w:color w:val="auto"/>
              </w:rPr>
            </w:pPr>
            <w:r>
              <w:rPr>
                <w:rFonts w:ascii="Arial" w:cs="Arial" w:eastAsia="Arial" w:hAnsi="Arial"/>
                <w:sz w:val="15"/>
                <w:szCs w:val="15"/>
                <w:color w:val="auto"/>
              </w:rPr>
              <w:t>Gain/(loss) on investments in notes from associates</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(3,726)</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05"/>
              <w:spacing w:after="0"/>
              <w:rPr>
                <w:sz w:val="20"/>
                <w:szCs w:val="20"/>
                <w:color w:val="auto"/>
              </w:rPr>
            </w:pPr>
            <w:r>
              <w:rPr>
                <w:rFonts w:ascii="Arial" w:cs="Arial" w:eastAsia="Arial" w:hAnsi="Arial"/>
                <w:sz w:val="15"/>
                <w:szCs w:val="15"/>
                <w:color w:val="183964"/>
              </w:rPr>
              <w:t>11,612</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183964"/>
              </w:rPr>
              <w:t>(15,338)</w:t>
            </w:r>
          </w:p>
        </w:tc>
        <w:tc>
          <w:tcPr>
            <w:tcW w:w="100" w:type="dxa"/>
            <w:vAlign w:val="bottom"/>
          </w:tcPr>
          <w:p>
            <w:pPr>
              <w:spacing w:after="0"/>
              <w:rPr>
                <w:sz w:val="21"/>
                <w:szCs w:val="21"/>
                <w:color w:val="auto"/>
              </w:rPr>
            </w:pPr>
          </w:p>
        </w:tc>
      </w:tr>
      <w:tr>
        <w:trPr>
          <w:trHeight w:val="243"/>
        </w:trPr>
        <w:tc>
          <w:tcPr>
            <w:tcW w:w="7240" w:type="dxa"/>
            <w:vAlign w:val="bottom"/>
          </w:tcPr>
          <w:p>
            <w:pPr>
              <w:ind w:left="120"/>
              <w:spacing w:after="0"/>
              <w:rPr>
                <w:sz w:val="20"/>
                <w:szCs w:val="20"/>
                <w:color w:val="auto"/>
              </w:rPr>
            </w:pPr>
            <w:r>
              <w:rPr>
                <w:rFonts w:ascii="Arial" w:cs="Arial" w:eastAsia="Arial" w:hAnsi="Arial"/>
                <w:sz w:val="15"/>
                <w:szCs w:val="15"/>
                <w:color w:val="auto"/>
              </w:rPr>
              <w:t>Other income/(expense)</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670</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05"/>
              <w:spacing w:after="0"/>
              <w:rPr>
                <w:sz w:val="20"/>
                <w:szCs w:val="20"/>
                <w:color w:val="auto"/>
              </w:rPr>
            </w:pPr>
            <w:r>
              <w:rPr>
                <w:rFonts w:ascii="Arial" w:cs="Arial" w:eastAsia="Arial" w:hAnsi="Arial"/>
                <w:sz w:val="15"/>
                <w:szCs w:val="15"/>
                <w:color w:val="183964"/>
              </w:rPr>
              <w:t>548</w:t>
            </w:r>
          </w:p>
        </w:tc>
        <w:tc>
          <w:tcPr>
            <w:tcW w:w="220" w:type="dxa"/>
            <w:vAlign w:val="bottom"/>
          </w:tcPr>
          <w:p>
            <w:pPr>
              <w:spacing w:after="0"/>
              <w:rPr>
                <w:sz w:val="21"/>
                <w:szCs w:val="21"/>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183964"/>
              </w:rPr>
              <w:t>122</w:t>
            </w:r>
          </w:p>
        </w:tc>
        <w:tc>
          <w:tcPr>
            <w:tcW w:w="100" w:type="dxa"/>
            <w:vAlign w:val="bottom"/>
          </w:tcPr>
          <w:p>
            <w:pPr>
              <w:spacing w:after="0"/>
              <w:rPr>
                <w:sz w:val="21"/>
                <w:szCs w:val="21"/>
                <w:color w:val="auto"/>
              </w:rPr>
            </w:pPr>
          </w:p>
        </w:tc>
      </w:tr>
      <w:tr>
        <w:trPr>
          <w:trHeight w:val="25"/>
        </w:trPr>
        <w:tc>
          <w:tcPr>
            <w:tcW w:w="7240" w:type="dxa"/>
            <w:vAlign w:val="bottom"/>
            <w:tcBorders>
              <w:bottom w:val="single" w:sz="8" w:color="183964"/>
            </w:tcBorders>
          </w:tcPr>
          <w:p>
            <w:pPr>
              <w:spacing w:after="0"/>
              <w:rPr>
                <w:sz w:val="2"/>
                <w:szCs w:val="2"/>
                <w:color w:val="auto"/>
              </w:rPr>
            </w:pPr>
          </w:p>
        </w:tc>
        <w:tc>
          <w:tcPr>
            <w:tcW w:w="80" w:type="dxa"/>
            <w:vAlign w:val="bottom"/>
            <w:tcBorders>
              <w:bottom w:val="single" w:sz="8" w:color="183964"/>
            </w:tcBorders>
          </w:tcPr>
          <w:p>
            <w:pPr>
              <w:spacing w:after="0"/>
              <w:rPr>
                <w:sz w:val="2"/>
                <w:szCs w:val="2"/>
                <w:color w:val="auto"/>
              </w:rPr>
            </w:pPr>
          </w:p>
        </w:tc>
        <w:tc>
          <w:tcPr>
            <w:tcW w:w="360" w:type="dxa"/>
            <w:vAlign w:val="bottom"/>
            <w:tcBorders>
              <w:bottom w:val="single" w:sz="8" w:color="183964"/>
            </w:tcBorders>
          </w:tcPr>
          <w:p>
            <w:pPr>
              <w:spacing w:after="0"/>
              <w:rPr>
                <w:sz w:val="2"/>
                <w:szCs w:val="2"/>
                <w:color w:val="auto"/>
              </w:rPr>
            </w:pPr>
          </w:p>
        </w:tc>
        <w:tc>
          <w:tcPr>
            <w:tcW w:w="820" w:type="dxa"/>
            <w:vAlign w:val="bottom"/>
            <w:tcBorders>
              <w:bottom w:val="single" w:sz="8" w:color="183964"/>
            </w:tcBorders>
          </w:tcPr>
          <w:p>
            <w:pPr>
              <w:spacing w:after="0"/>
              <w:rPr>
                <w:sz w:val="2"/>
                <w:szCs w:val="2"/>
                <w:color w:val="auto"/>
              </w:rPr>
            </w:pPr>
          </w:p>
        </w:tc>
        <w:tc>
          <w:tcPr>
            <w:tcW w:w="140" w:type="dxa"/>
            <w:vAlign w:val="bottom"/>
            <w:tcBorders>
              <w:bottom w:val="single" w:sz="8" w:color="183964"/>
            </w:tcBorders>
          </w:tcPr>
          <w:p>
            <w:pPr>
              <w:spacing w:after="0"/>
              <w:rPr>
                <w:sz w:val="2"/>
                <w:szCs w:val="2"/>
                <w:color w:val="auto"/>
              </w:rPr>
            </w:pPr>
          </w:p>
        </w:tc>
        <w:tc>
          <w:tcPr>
            <w:tcW w:w="34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22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7240" w:type="dxa"/>
            <w:vAlign w:val="bottom"/>
          </w:tcPr>
          <w:p>
            <w:pPr>
              <w:ind w:left="20"/>
              <w:spacing w:after="0"/>
              <w:rPr>
                <w:sz w:val="20"/>
                <w:szCs w:val="20"/>
                <w:color w:val="auto"/>
              </w:rPr>
            </w:pPr>
            <w:r>
              <w:rPr>
                <w:rFonts w:ascii="Arial" w:cs="Arial" w:eastAsia="Arial" w:hAnsi="Arial"/>
                <w:sz w:val="15"/>
                <w:szCs w:val="15"/>
                <w:b w:val="1"/>
                <w:bCs w:val="1"/>
                <w:color w:val="auto"/>
              </w:rPr>
              <w:t>Other income/(expense)</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998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05"/>
              <w:spacing w:after="0"/>
              <w:rPr>
                <w:sz w:val="20"/>
                <w:szCs w:val="20"/>
                <w:color w:val="auto"/>
              </w:rPr>
            </w:pPr>
            <w:r>
              <w:rPr>
                <w:rFonts w:ascii="Arial" w:cs="Arial" w:eastAsia="Arial" w:hAnsi="Arial"/>
                <w:sz w:val="15"/>
                <w:szCs w:val="15"/>
                <w:color w:val="183964"/>
              </w:rPr>
              <w:t>16,193</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183964"/>
              </w:rPr>
              <w:t>(15,195)</w:t>
            </w:r>
          </w:p>
        </w:tc>
        <w:tc>
          <w:tcPr>
            <w:tcW w:w="100" w:type="dxa"/>
            <w:vAlign w:val="bottom"/>
          </w:tcPr>
          <w:p>
            <w:pPr>
              <w:spacing w:after="0"/>
              <w:rPr>
                <w:sz w:val="18"/>
                <w:szCs w:val="18"/>
                <w:color w:val="auto"/>
              </w:rPr>
            </w:pPr>
          </w:p>
        </w:tc>
      </w:tr>
      <w:tr>
        <w:trPr>
          <w:trHeight w:val="25"/>
        </w:trPr>
        <w:tc>
          <w:tcPr>
            <w:tcW w:w="7240" w:type="dxa"/>
            <w:vAlign w:val="bottom"/>
            <w:tcBorders>
              <w:bottom w:val="single" w:sz="8" w:color="183964"/>
            </w:tcBorders>
          </w:tcPr>
          <w:p>
            <w:pPr>
              <w:spacing w:after="0"/>
              <w:rPr>
                <w:sz w:val="2"/>
                <w:szCs w:val="2"/>
                <w:color w:val="auto"/>
              </w:rPr>
            </w:pPr>
          </w:p>
        </w:tc>
        <w:tc>
          <w:tcPr>
            <w:tcW w:w="80" w:type="dxa"/>
            <w:vAlign w:val="bottom"/>
            <w:tcBorders>
              <w:bottom w:val="single" w:sz="8" w:color="183964"/>
            </w:tcBorders>
          </w:tcPr>
          <w:p>
            <w:pPr>
              <w:spacing w:after="0"/>
              <w:rPr>
                <w:sz w:val="2"/>
                <w:szCs w:val="2"/>
                <w:color w:val="auto"/>
              </w:rPr>
            </w:pPr>
          </w:p>
        </w:tc>
        <w:tc>
          <w:tcPr>
            <w:tcW w:w="360" w:type="dxa"/>
            <w:vAlign w:val="bottom"/>
            <w:tcBorders>
              <w:bottom w:val="single" w:sz="8" w:color="183964"/>
            </w:tcBorders>
          </w:tcPr>
          <w:p>
            <w:pPr>
              <w:spacing w:after="0"/>
              <w:rPr>
                <w:sz w:val="2"/>
                <w:szCs w:val="2"/>
                <w:color w:val="auto"/>
              </w:rPr>
            </w:pPr>
          </w:p>
        </w:tc>
        <w:tc>
          <w:tcPr>
            <w:tcW w:w="820" w:type="dxa"/>
            <w:vAlign w:val="bottom"/>
            <w:tcBorders>
              <w:bottom w:val="single" w:sz="8" w:color="183964"/>
            </w:tcBorders>
          </w:tcPr>
          <w:p>
            <w:pPr>
              <w:spacing w:after="0"/>
              <w:rPr>
                <w:sz w:val="2"/>
                <w:szCs w:val="2"/>
                <w:color w:val="auto"/>
              </w:rPr>
            </w:pPr>
          </w:p>
        </w:tc>
        <w:tc>
          <w:tcPr>
            <w:tcW w:w="140" w:type="dxa"/>
            <w:vAlign w:val="bottom"/>
            <w:tcBorders>
              <w:bottom w:val="single" w:sz="8" w:color="183964"/>
            </w:tcBorders>
          </w:tcPr>
          <w:p>
            <w:pPr>
              <w:spacing w:after="0"/>
              <w:rPr>
                <w:sz w:val="2"/>
                <w:szCs w:val="2"/>
                <w:color w:val="auto"/>
              </w:rPr>
            </w:pPr>
          </w:p>
        </w:tc>
        <w:tc>
          <w:tcPr>
            <w:tcW w:w="34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22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7240" w:type="dxa"/>
            <w:vAlign w:val="bottom"/>
          </w:tcPr>
          <w:p>
            <w:pPr>
              <w:ind w:left="20"/>
              <w:spacing w:after="0"/>
              <w:rPr>
                <w:sz w:val="20"/>
                <w:szCs w:val="20"/>
                <w:color w:val="auto"/>
              </w:rPr>
            </w:pPr>
            <w:r>
              <w:rPr>
                <w:rFonts w:ascii="Arial" w:cs="Arial" w:eastAsia="Arial" w:hAnsi="Arial"/>
                <w:sz w:val="15"/>
                <w:szCs w:val="15"/>
                <w:b w:val="1"/>
                <w:bCs w:val="1"/>
                <w:color w:val="auto"/>
              </w:rPr>
              <w:t>Net finance income/(costs)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6,363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65"/>
              <w:spacing w:after="0"/>
              <w:rPr>
                <w:sz w:val="20"/>
                <w:szCs w:val="20"/>
                <w:color w:val="auto"/>
              </w:rPr>
            </w:pPr>
            <w:r>
              <w:rPr>
                <w:rFonts w:ascii="Arial" w:cs="Arial" w:eastAsia="Arial" w:hAnsi="Arial"/>
                <w:sz w:val="15"/>
                <w:szCs w:val="15"/>
                <w:color w:val="183964"/>
              </w:rPr>
              <w:t>(1,468)</w:t>
            </w:r>
          </w:p>
        </w:tc>
        <w:tc>
          <w:tcPr>
            <w:tcW w:w="220" w:type="dxa"/>
            <w:vAlign w:val="bottom"/>
          </w:tcPr>
          <w:p>
            <w:pPr>
              <w:spacing w:after="0"/>
              <w:rPr>
                <w:sz w:val="18"/>
                <w:szCs w:val="18"/>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183964"/>
              </w:rPr>
              <w:t>7,830</w:t>
            </w:r>
          </w:p>
        </w:tc>
        <w:tc>
          <w:tcPr>
            <w:tcW w:w="100" w:type="dxa"/>
            <w:vAlign w:val="bottom"/>
          </w:tcPr>
          <w:p>
            <w:pPr>
              <w:spacing w:after="0"/>
              <w:rPr>
                <w:sz w:val="18"/>
                <w:szCs w:val="18"/>
                <w:color w:val="auto"/>
              </w:rPr>
            </w:pPr>
          </w:p>
        </w:tc>
      </w:tr>
      <w:tr>
        <w:trPr>
          <w:trHeight w:val="25"/>
        </w:trPr>
        <w:tc>
          <w:tcPr>
            <w:tcW w:w="7240" w:type="dxa"/>
            <w:vAlign w:val="bottom"/>
            <w:tcBorders>
              <w:bottom w:val="single" w:sz="8" w:color="183964"/>
            </w:tcBorders>
          </w:tcPr>
          <w:p>
            <w:pPr>
              <w:spacing w:after="0"/>
              <w:rPr>
                <w:sz w:val="2"/>
                <w:szCs w:val="2"/>
                <w:color w:val="auto"/>
              </w:rPr>
            </w:pPr>
          </w:p>
        </w:tc>
        <w:tc>
          <w:tcPr>
            <w:tcW w:w="80" w:type="dxa"/>
            <w:vAlign w:val="bottom"/>
            <w:tcBorders>
              <w:bottom w:val="single" w:sz="8" w:color="183964"/>
            </w:tcBorders>
          </w:tcPr>
          <w:p>
            <w:pPr>
              <w:spacing w:after="0"/>
              <w:rPr>
                <w:sz w:val="2"/>
                <w:szCs w:val="2"/>
                <w:color w:val="auto"/>
              </w:rPr>
            </w:pPr>
          </w:p>
        </w:tc>
        <w:tc>
          <w:tcPr>
            <w:tcW w:w="360" w:type="dxa"/>
            <w:vAlign w:val="bottom"/>
            <w:tcBorders>
              <w:bottom w:val="single" w:sz="8" w:color="183964"/>
            </w:tcBorders>
          </w:tcPr>
          <w:p>
            <w:pPr>
              <w:spacing w:after="0"/>
              <w:rPr>
                <w:sz w:val="2"/>
                <w:szCs w:val="2"/>
                <w:color w:val="auto"/>
              </w:rPr>
            </w:pPr>
          </w:p>
        </w:tc>
        <w:tc>
          <w:tcPr>
            <w:tcW w:w="820" w:type="dxa"/>
            <w:vAlign w:val="bottom"/>
            <w:tcBorders>
              <w:bottom w:val="single" w:sz="8" w:color="183964"/>
            </w:tcBorders>
          </w:tcPr>
          <w:p>
            <w:pPr>
              <w:spacing w:after="0"/>
              <w:rPr>
                <w:sz w:val="2"/>
                <w:szCs w:val="2"/>
                <w:color w:val="auto"/>
              </w:rPr>
            </w:pPr>
          </w:p>
        </w:tc>
        <w:tc>
          <w:tcPr>
            <w:tcW w:w="140" w:type="dxa"/>
            <w:vAlign w:val="bottom"/>
            <w:tcBorders>
              <w:bottom w:val="single" w:sz="8" w:color="183964"/>
            </w:tcBorders>
          </w:tcPr>
          <w:p>
            <w:pPr>
              <w:spacing w:after="0"/>
              <w:rPr>
                <w:sz w:val="2"/>
                <w:szCs w:val="2"/>
                <w:color w:val="auto"/>
              </w:rPr>
            </w:pPr>
          </w:p>
        </w:tc>
        <w:tc>
          <w:tcPr>
            <w:tcW w:w="34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22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7240" w:type="dxa"/>
            <w:vAlign w:val="bottom"/>
          </w:tcPr>
          <w:p>
            <w:pPr>
              <w:ind w:left="20"/>
              <w:spacing w:after="0"/>
              <w:rPr>
                <w:sz w:val="20"/>
                <w:szCs w:val="20"/>
                <w:color w:val="auto"/>
              </w:rPr>
            </w:pPr>
            <w:r>
              <w:rPr>
                <w:rFonts w:ascii="Arial" w:cs="Arial" w:eastAsia="Arial" w:hAnsi="Arial"/>
                <w:sz w:val="15"/>
                <w:szCs w:val="15"/>
                <w:color w:val="auto"/>
              </w:rPr>
              <w:t>Share of net income/(loss) of associates accounted for using the equity method</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(3,996)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65"/>
              <w:spacing w:after="0"/>
              <w:rPr>
                <w:sz w:val="20"/>
                <w:szCs w:val="20"/>
                <w:color w:val="auto"/>
              </w:rPr>
            </w:pPr>
            <w:r>
              <w:rPr>
                <w:rFonts w:ascii="Arial" w:cs="Arial" w:eastAsia="Arial" w:hAnsi="Arial"/>
                <w:sz w:val="15"/>
                <w:szCs w:val="15"/>
                <w:color w:val="183964"/>
              </w:rPr>
              <w:t>(3,357)</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183964"/>
              </w:rPr>
              <w:t>(639)</w:t>
            </w:r>
          </w:p>
        </w:tc>
        <w:tc>
          <w:tcPr>
            <w:tcW w:w="100" w:type="dxa"/>
            <w:vAlign w:val="bottom"/>
          </w:tcPr>
          <w:p>
            <w:pPr>
              <w:spacing w:after="0"/>
              <w:rPr>
                <w:sz w:val="18"/>
                <w:szCs w:val="18"/>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5"/>
                <w:szCs w:val="15"/>
                <w:color w:val="auto"/>
              </w:rPr>
              <w:t>Gain/(loss) on dilution of ownership interest in associate</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708</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05"/>
              <w:spacing w:after="0"/>
              <w:rPr>
                <w:sz w:val="20"/>
                <w:szCs w:val="20"/>
                <w:color w:val="auto"/>
              </w:rPr>
            </w:pPr>
            <w:r>
              <w:rPr>
                <w:rFonts w:ascii="Arial" w:cs="Arial" w:eastAsia="Arial" w:hAnsi="Arial"/>
                <w:sz w:val="15"/>
                <w:szCs w:val="15"/>
                <w:color w:val="183964"/>
              </w:rPr>
              <w:t>—</w:t>
            </w:r>
          </w:p>
        </w:tc>
        <w:tc>
          <w:tcPr>
            <w:tcW w:w="220" w:type="dxa"/>
            <w:vAlign w:val="bottom"/>
          </w:tcPr>
          <w:p>
            <w:pPr>
              <w:spacing w:after="0"/>
              <w:rPr>
                <w:sz w:val="21"/>
                <w:szCs w:val="21"/>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183964"/>
              </w:rPr>
              <w:t>708</w:t>
            </w:r>
          </w:p>
        </w:tc>
        <w:tc>
          <w:tcPr>
            <w:tcW w:w="100" w:type="dxa"/>
            <w:vAlign w:val="bottom"/>
          </w:tcPr>
          <w:p>
            <w:pPr>
              <w:spacing w:after="0"/>
              <w:rPr>
                <w:sz w:val="21"/>
                <w:szCs w:val="21"/>
                <w:color w:val="auto"/>
              </w:rPr>
            </w:pPr>
          </w:p>
        </w:tc>
      </w:tr>
      <w:tr>
        <w:trPr>
          <w:trHeight w:val="25"/>
        </w:trPr>
        <w:tc>
          <w:tcPr>
            <w:tcW w:w="7240" w:type="dxa"/>
            <w:vAlign w:val="bottom"/>
            <w:tcBorders>
              <w:bottom w:val="single" w:sz="8" w:color="00497F"/>
            </w:tcBorders>
          </w:tcPr>
          <w:p>
            <w:pPr>
              <w:spacing w:after="0"/>
              <w:rPr>
                <w:sz w:val="2"/>
                <w:szCs w:val="2"/>
                <w:color w:val="auto"/>
              </w:rPr>
            </w:pPr>
          </w:p>
        </w:tc>
        <w:tc>
          <w:tcPr>
            <w:tcW w:w="80" w:type="dxa"/>
            <w:vAlign w:val="bottom"/>
            <w:tcBorders>
              <w:bottom w:val="single" w:sz="8" w:color="00497F"/>
            </w:tcBorders>
          </w:tcPr>
          <w:p>
            <w:pPr>
              <w:spacing w:after="0"/>
              <w:rPr>
                <w:sz w:val="2"/>
                <w:szCs w:val="2"/>
                <w:color w:val="auto"/>
              </w:rPr>
            </w:pPr>
          </w:p>
        </w:tc>
        <w:tc>
          <w:tcPr>
            <w:tcW w:w="360" w:type="dxa"/>
            <w:vAlign w:val="bottom"/>
            <w:tcBorders>
              <w:bottom w:val="single" w:sz="8" w:color="00497F"/>
            </w:tcBorders>
          </w:tcPr>
          <w:p>
            <w:pPr>
              <w:spacing w:after="0"/>
              <w:rPr>
                <w:sz w:val="2"/>
                <w:szCs w:val="2"/>
                <w:color w:val="auto"/>
              </w:rPr>
            </w:pPr>
          </w:p>
        </w:tc>
        <w:tc>
          <w:tcPr>
            <w:tcW w:w="820" w:type="dxa"/>
            <w:vAlign w:val="bottom"/>
            <w:tcBorders>
              <w:bottom w:val="single" w:sz="8" w:color="00497F"/>
            </w:tcBorders>
          </w:tcPr>
          <w:p>
            <w:pPr>
              <w:spacing w:after="0"/>
              <w:rPr>
                <w:sz w:val="2"/>
                <w:szCs w:val="2"/>
                <w:color w:val="auto"/>
              </w:rPr>
            </w:pPr>
          </w:p>
        </w:tc>
        <w:tc>
          <w:tcPr>
            <w:tcW w:w="140" w:type="dxa"/>
            <w:vAlign w:val="bottom"/>
            <w:tcBorders>
              <w:bottom w:val="single" w:sz="8" w:color="00497F"/>
            </w:tcBorders>
          </w:tcPr>
          <w:p>
            <w:pPr>
              <w:spacing w:after="0"/>
              <w:rPr>
                <w:sz w:val="2"/>
                <w:szCs w:val="2"/>
                <w:color w:val="auto"/>
              </w:rPr>
            </w:pPr>
          </w:p>
        </w:tc>
        <w:tc>
          <w:tcPr>
            <w:tcW w:w="340" w:type="dxa"/>
            <w:vAlign w:val="bottom"/>
            <w:tcBorders>
              <w:bottom w:val="single" w:sz="8" w:color="00497F"/>
            </w:tcBorders>
          </w:tcPr>
          <w:p>
            <w:pPr>
              <w:spacing w:after="0"/>
              <w:rPr>
                <w:sz w:val="2"/>
                <w:szCs w:val="2"/>
                <w:color w:val="auto"/>
              </w:rPr>
            </w:pPr>
          </w:p>
        </w:tc>
        <w:tc>
          <w:tcPr>
            <w:tcW w:w="960" w:type="dxa"/>
            <w:vAlign w:val="bottom"/>
            <w:tcBorders>
              <w:bottom w:val="single" w:sz="8" w:color="00497F"/>
            </w:tcBorders>
          </w:tcPr>
          <w:p>
            <w:pPr>
              <w:spacing w:after="0"/>
              <w:rPr>
                <w:sz w:val="2"/>
                <w:szCs w:val="2"/>
                <w:color w:val="auto"/>
              </w:rPr>
            </w:pPr>
          </w:p>
        </w:tc>
        <w:tc>
          <w:tcPr>
            <w:tcW w:w="220" w:type="dxa"/>
            <w:vAlign w:val="bottom"/>
            <w:tcBorders>
              <w:bottom w:val="single" w:sz="8" w:color="00497F"/>
            </w:tcBorders>
          </w:tcPr>
          <w:p>
            <w:pPr>
              <w:spacing w:after="0"/>
              <w:rPr>
                <w:sz w:val="2"/>
                <w:szCs w:val="2"/>
                <w:color w:val="auto"/>
              </w:rPr>
            </w:pPr>
          </w:p>
        </w:tc>
        <w:tc>
          <w:tcPr>
            <w:tcW w:w="960" w:type="dxa"/>
            <w:vAlign w:val="bottom"/>
            <w:tcBorders>
              <w:bottom w:val="single" w:sz="8" w:color="00497F"/>
            </w:tcBorders>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7240" w:type="dxa"/>
            <w:vAlign w:val="bottom"/>
          </w:tcPr>
          <w:p>
            <w:pPr>
              <w:ind w:left="20"/>
              <w:spacing w:after="0"/>
              <w:rPr>
                <w:sz w:val="20"/>
                <w:szCs w:val="20"/>
                <w:color w:val="auto"/>
              </w:rPr>
            </w:pPr>
            <w:r>
              <w:rPr>
                <w:rFonts w:ascii="Arial" w:cs="Arial" w:eastAsia="Arial" w:hAnsi="Arial"/>
                <w:sz w:val="15"/>
                <w:szCs w:val="15"/>
                <w:b w:val="1"/>
                <w:bCs w:val="1"/>
                <w:color w:val="auto"/>
              </w:rPr>
              <w:t>Income/(loss) before income taxes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(43,859)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65"/>
              <w:spacing w:after="0"/>
              <w:rPr>
                <w:sz w:val="20"/>
                <w:szCs w:val="20"/>
                <w:color w:val="auto"/>
              </w:rPr>
            </w:pPr>
            <w:r>
              <w:rPr>
                <w:rFonts w:ascii="Arial" w:cs="Arial" w:eastAsia="Arial" w:hAnsi="Arial"/>
                <w:sz w:val="15"/>
                <w:szCs w:val="15"/>
                <w:color w:val="183964"/>
              </w:rPr>
              <w:t>(55,030)</w:t>
            </w:r>
          </w:p>
        </w:tc>
        <w:tc>
          <w:tcPr>
            <w:tcW w:w="220" w:type="dxa"/>
            <w:vAlign w:val="bottom"/>
          </w:tcPr>
          <w:p>
            <w:pPr>
              <w:spacing w:after="0"/>
              <w:rPr>
                <w:sz w:val="18"/>
                <w:szCs w:val="18"/>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183964"/>
              </w:rPr>
              <w:t>11,171</w:t>
            </w:r>
          </w:p>
        </w:tc>
        <w:tc>
          <w:tcPr>
            <w:tcW w:w="100" w:type="dxa"/>
            <w:vAlign w:val="bottom"/>
          </w:tcPr>
          <w:p>
            <w:pPr>
              <w:spacing w:after="0"/>
              <w:rPr>
                <w:sz w:val="18"/>
                <w:szCs w:val="18"/>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5"/>
                <w:szCs w:val="15"/>
                <w:color w:val="auto"/>
              </w:rPr>
              <w:t>Taxation</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(923)</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05"/>
              <w:spacing w:after="0"/>
              <w:rPr>
                <w:sz w:val="20"/>
                <w:szCs w:val="20"/>
                <w:color w:val="auto"/>
              </w:rPr>
            </w:pPr>
            <w:r>
              <w:rPr>
                <w:rFonts w:ascii="Arial" w:cs="Arial" w:eastAsia="Arial" w:hAnsi="Arial"/>
                <w:sz w:val="15"/>
                <w:szCs w:val="15"/>
                <w:color w:val="183964"/>
              </w:rPr>
              <w:t>6,147</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183964"/>
              </w:rPr>
              <w:t>(7,070)</w:t>
            </w:r>
          </w:p>
        </w:tc>
        <w:tc>
          <w:tcPr>
            <w:tcW w:w="100" w:type="dxa"/>
            <w:vAlign w:val="bottom"/>
          </w:tcPr>
          <w:p>
            <w:pPr>
              <w:spacing w:after="0"/>
              <w:rPr>
                <w:sz w:val="21"/>
                <w:szCs w:val="21"/>
                <w:color w:val="auto"/>
              </w:rPr>
            </w:pPr>
          </w:p>
        </w:tc>
      </w:tr>
      <w:tr>
        <w:trPr>
          <w:trHeight w:val="25"/>
        </w:trPr>
        <w:tc>
          <w:tcPr>
            <w:tcW w:w="7240" w:type="dxa"/>
            <w:vAlign w:val="bottom"/>
            <w:tcBorders>
              <w:bottom w:val="single" w:sz="8" w:color="183964"/>
            </w:tcBorders>
          </w:tcPr>
          <w:p>
            <w:pPr>
              <w:spacing w:after="0"/>
              <w:rPr>
                <w:sz w:val="2"/>
                <w:szCs w:val="2"/>
                <w:color w:val="auto"/>
              </w:rPr>
            </w:pPr>
          </w:p>
        </w:tc>
        <w:tc>
          <w:tcPr>
            <w:tcW w:w="80" w:type="dxa"/>
            <w:vAlign w:val="bottom"/>
            <w:tcBorders>
              <w:bottom w:val="single" w:sz="8" w:color="183964"/>
            </w:tcBorders>
          </w:tcPr>
          <w:p>
            <w:pPr>
              <w:spacing w:after="0"/>
              <w:rPr>
                <w:sz w:val="2"/>
                <w:szCs w:val="2"/>
                <w:color w:val="auto"/>
              </w:rPr>
            </w:pPr>
          </w:p>
        </w:tc>
        <w:tc>
          <w:tcPr>
            <w:tcW w:w="360" w:type="dxa"/>
            <w:vAlign w:val="bottom"/>
            <w:tcBorders>
              <w:bottom w:val="single" w:sz="8" w:color="183964"/>
            </w:tcBorders>
          </w:tcPr>
          <w:p>
            <w:pPr>
              <w:spacing w:after="0"/>
              <w:rPr>
                <w:sz w:val="2"/>
                <w:szCs w:val="2"/>
                <w:color w:val="auto"/>
              </w:rPr>
            </w:pPr>
          </w:p>
        </w:tc>
        <w:tc>
          <w:tcPr>
            <w:tcW w:w="820" w:type="dxa"/>
            <w:vAlign w:val="bottom"/>
            <w:tcBorders>
              <w:bottom w:val="single" w:sz="8" w:color="183964"/>
            </w:tcBorders>
          </w:tcPr>
          <w:p>
            <w:pPr>
              <w:spacing w:after="0"/>
              <w:rPr>
                <w:sz w:val="2"/>
                <w:szCs w:val="2"/>
                <w:color w:val="auto"/>
              </w:rPr>
            </w:pPr>
          </w:p>
        </w:tc>
        <w:tc>
          <w:tcPr>
            <w:tcW w:w="140" w:type="dxa"/>
            <w:vAlign w:val="bottom"/>
            <w:tcBorders>
              <w:bottom w:val="single" w:sz="8" w:color="183964"/>
            </w:tcBorders>
          </w:tcPr>
          <w:p>
            <w:pPr>
              <w:spacing w:after="0"/>
              <w:rPr>
                <w:sz w:val="2"/>
                <w:szCs w:val="2"/>
                <w:color w:val="auto"/>
              </w:rPr>
            </w:pPr>
          </w:p>
        </w:tc>
        <w:tc>
          <w:tcPr>
            <w:tcW w:w="34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22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7240" w:type="dxa"/>
            <w:vAlign w:val="bottom"/>
          </w:tcPr>
          <w:p>
            <w:pPr>
              <w:ind w:left="20"/>
              <w:spacing w:after="0"/>
              <w:rPr>
                <w:sz w:val="20"/>
                <w:szCs w:val="20"/>
                <w:color w:val="auto"/>
              </w:rPr>
            </w:pPr>
            <w:r>
              <w:rPr>
                <w:rFonts w:ascii="Arial" w:cs="Arial" w:eastAsia="Arial" w:hAnsi="Arial"/>
                <w:sz w:val="15"/>
                <w:szCs w:val="15"/>
                <w:b w:val="1"/>
                <w:bCs w:val="1"/>
                <w:color w:val="auto"/>
              </w:rPr>
              <w:t>Net income/(loss) including non-controlling interest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(44,781)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65"/>
              <w:spacing w:after="0"/>
              <w:rPr>
                <w:sz w:val="20"/>
                <w:szCs w:val="20"/>
                <w:color w:val="auto"/>
              </w:rPr>
            </w:pPr>
            <w:r>
              <w:rPr>
                <w:rFonts w:ascii="Arial" w:cs="Arial" w:eastAsia="Arial" w:hAnsi="Arial"/>
                <w:sz w:val="15"/>
                <w:szCs w:val="15"/>
                <w:color w:val="183964"/>
              </w:rPr>
              <w:t>(48,883)</w:t>
            </w:r>
          </w:p>
        </w:tc>
        <w:tc>
          <w:tcPr>
            <w:tcW w:w="220" w:type="dxa"/>
            <w:vAlign w:val="bottom"/>
          </w:tcPr>
          <w:p>
            <w:pPr>
              <w:spacing w:after="0"/>
              <w:rPr>
                <w:sz w:val="18"/>
                <w:szCs w:val="18"/>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183964"/>
              </w:rPr>
              <w:t>4,102</w:t>
            </w:r>
          </w:p>
        </w:tc>
        <w:tc>
          <w:tcPr>
            <w:tcW w:w="100" w:type="dxa"/>
            <w:vAlign w:val="bottom"/>
          </w:tcPr>
          <w:p>
            <w:pPr>
              <w:spacing w:after="0"/>
              <w:rPr>
                <w:sz w:val="18"/>
                <w:szCs w:val="18"/>
                <w:color w:val="auto"/>
              </w:rPr>
            </w:pPr>
          </w:p>
        </w:tc>
      </w:tr>
      <w:tr>
        <w:trPr>
          <w:trHeight w:val="25"/>
        </w:trPr>
        <w:tc>
          <w:tcPr>
            <w:tcW w:w="7240" w:type="dxa"/>
            <w:vAlign w:val="bottom"/>
            <w:tcBorders>
              <w:bottom w:val="single" w:sz="8" w:color="183964"/>
            </w:tcBorders>
          </w:tcPr>
          <w:p>
            <w:pPr>
              <w:spacing w:after="0"/>
              <w:rPr>
                <w:sz w:val="2"/>
                <w:szCs w:val="2"/>
                <w:color w:val="auto"/>
              </w:rPr>
            </w:pPr>
          </w:p>
        </w:tc>
        <w:tc>
          <w:tcPr>
            <w:tcW w:w="80" w:type="dxa"/>
            <w:vAlign w:val="bottom"/>
            <w:tcBorders>
              <w:bottom w:val="single" w:sz="8" w:color="183964"/>
            </w:tcBorders>
          </w:tcPr>
          <w:p>
            <w:pPr>
              <w:spacing w:after="0"/>
              <w:rPr>
                <w:sz w:val="2"/>
                <w:szCs w:val="2"/>
                <w:color w:val="auto"/>
              </w:rPr>
            </w:pPr>
          </w:p>
        </w:tc>
        <w:tc>
          <w:tcPr>
            <w:tcW w:w="360" w:type="dxa"/>
            <w:vAlign w:val="bottom"/>
            <w:tcBorders>
              <w:bottom w:val="single" w:sz="8" w:color="183964"/>
            </w:tcBorders>
          </w:tcPr>
          <w:p>
            <w:pPr>
              <w:spacing w:after="0"/>
              <w:rPr>
                <w:sz w:val="2"/>
                <w:szCs w:val="2"/>
                <w:color w:val="auto"/>
              </w:rPr>
            </w:pPr>
          </w:p>
        </w:tc>
        <w:tc>
          <w:tcPr>
            <w:tcW w:w="820" w:type="dxa"/>
            <w:vAlign w:val="bottom"/>
            <w:tcBorders>
              <w:bottom w:val="single" w:sz="8" w:color="183964"/>
            </w:tcBorders>
          </w:tcPr>
          <w:p>
            <w:pPr>
              <w:spacing w:after="0"/>
              <w:rPr>
                <w:sz w:val="2"/>
                <w:szCs w:val="2"/>
                <w:color w:val="auto"/>
              </w:rPr>
            </w:pPr>
          </w:p>
        </w:tc>
        <w:tc>
          <w:tcPr>
            <w:tcW w:w="140" w:type="dxa"/>
            <w:vAlign w:val="bottom"/>
            <w:tcBorders>
              <w:bottom w:val="single" w:sz="8" w:color="183964"/>
            </w:tcBorders>
          </w:tcPr>
          <w:p>
            <w:pPr>
              <w:spacing w:after="0"/>
              <w:rPr>
                <w:sz w:val="2"/>
                <w:szCs w:val="2"/>
                <w:color w:val="auto"/>
              </w:rPr>
            </w:pPr>
          </w:p>
        </w:tc>
        <w:tc>
          <w:tcPr>
            <w:tcW w:w="34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22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7240" w:type="dxa"/>
            <w:vAlign w:val="bottom"/>
          </w:tcPr>
          <w:p>
            <w:pPr>
              <w:ind w:left="20"/>
              <w:spacing w:after="0"/>
              <w:rPr>
                <w:sz w:val="20"/>
                <w:szCs w:val="20"/>
                <w:color w:val="auto"/>
              </w:rPr>
            </w:pPr>
            <w:r>
              <w:rPr>
                <w:rFonts w:ascii="Arial" w:cs="Arial" w:eastAsia="Arial" w:hAnsi="Arial"/>
                <w:sz w:val="15"/>
                <w:szCs w:val="15"/>
                <w:color w:val="auto"/>
              </w:rPr>
              <w:t>Less income/(loss) attributable to non-controlling interests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(176)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65"/>
              <w:spacing w:after="0"/>
              <w:rPr>
                <w:sz w:val="20"/>
                <w:szCs w:val="20"/>
                <w:color w:val="auto"/>
              </w:rPr>
            </w:pPr>
            <w:r>
              <w:rPr>
                <w:rFonts w:ascii="Arial" w:cs="Arial" w:eastAsia="Arial" w:hAnsi="Arial"/>
                <w:sz w:val="15"/>
                <w:szCs w:val="15"/>
                <w:color w:val="183964"/>
              </w:rPr>
              <w:t>(7,111)</w:t>
            </w:r>
          </w:p>
        </w:tc>
        <w:tc>
          <w:tcPr>
            <w:tcW w:w="220" w:type="dxa"/>
            <w:vAlign w:val="bottom"/>
          </w:tcPr>
          <w:p>
            <w:pPr>
              <w:spacing w:after="0"/>
              <w:rPr>
                <w:sz w:val="18"/>
                <w:szCs w:val="18"/>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183964"/>
              </w:rPr>
              <w:t>6,934</w:t>
            </w:r>
          </w:p>
        </w:tc>
        <w:tc>
          <w:tcPr>
            <w:tcW w:w="100" w:type="dxa"/>
            <w:vAlign w:val="bottom"/>
          </w:tcPr>
          <w:p>
            <w:pPr>
              <w:spacing w:after="0"/>
              <w:rPr>
                <w:sz w:val="18"/>
                <w:szCs w:val="18"/>
                <w:color w:val="auto"/>
              </w:rPr>
            </w:pPr>
          </w:p>
        </w:tc>
      </w:tr>
      <w:tr>
        <w:trPr>
          <w:trHeight w:val="25"/>
        </w:trPr>
        <w:tc>
          <w:tcPr>
            <w:tcW w:w="7240" w:type="dxa"/>
            <w:vAlign w:val="bottom"/>
            <w:tcBorders>
              <w:bottom w:val="single" w:sz="8" w:color="183964"/>
            </w:tcBorders>
          </w:tcPr>
          <w:p>
            <w:pPr>
              <w:spacing w:after="0"/>
              <w:rPr>
                <w:sz w:val="2"/>
                <w:szCs w:val="2"/>
                <w:color w:val="auto"/>
              </w:rPr>
            </w:pPr>
          </w:p>
        </w:tc>
        <w:tc>
          <w:tcPr>
            <w:tcW w:w="80" w:type="dxa"/>
            <w:vAlign w:val="bottom"/>
            <w:tcBorders>
              <w:bottom w:val="single" w:sz="8" w:color="183964"/>
            </w:tcBorders>
          </w:tcPr>
          <w:p>
            <w:pPr>
              <w:spacing w:after="0"/>
              <w:rPr>
                <w:sz w:val="2"/>
                <w:szCs w:val="2"/>
                <w:color w:val="auto"/>
              </w:rPr>
            </w:pPr>
          </w:p>
        </w:tc>
        <w:tc>
          <w:tcPr>
            <w:tcW w:w="360" w:type="dxa"/>
            <w:vAlign w:val="bottom"/>
            <w:tcBorders>
              <w:bottom w:val="single" w:sz="8" w:color="183964"/>
            </w:tcBorders>
          </w:tcPr>
          <w:p>
            <w:pPr>
              <w:spacing w:after="0"/>
              <w:rPr>
                <w:sz w:val="2"/>
                <w:szCs w:val="2"/>
                <w:color w:val="auto"/>
              </w:rPr>
            </w:pPr>
          </w:p>
        </w:tc>
        <w:tc>
          <w:tcPr>
            <w:tcW w:w="820" w:type="dxa"/>
            <w:vAlign w:val="bottom"/>
            <w:tcBorders>
              <w:bottom w:val="single" w:sz="8" w:color="183964"/>
            </w:tcBorders>
          </w:tcPr>
          <w:p>
            <w:pPr>
              <w:spacing w:after="0"/>
              <w:rPr>
                <w:sz w:val="2"/>
                <w:szCs w:val="2"/>
                <w:color w:val="auto"/>
              </w:rPr>
            </w:pPr>
          </w:p>
        </w:tc>
        <w:tc>
          <w:tcPr>
            <w:tcW w:w="140" w:type="dxa"/>
            <w:vAlign w:val="bottom"/>
            <w:tcBorders>
              <w:bottom w:val="single" w:sz="8" w:color="183964"/>
            </w:tcBorders>
          </w:tcPr>
          <w:p>
            <w:pPr>
              <w:spacing w:after="0"/>
              <w:rPr>
                <w:sz w:val="2"/>
                <w:szCs w:val="2"/>
                <w:color w:val="auto"/>
              </w:rPr>
            </w:pPr>
          </w:p>
        </w:tc>
        <w:tc>
          <w:tcPr>
            <w:tcW w:w="34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22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7240" w:type="dxa"/>
            <w:vAlign w:val="bottom"/>
          </w:tcPr>
          <w:p>
            <w:pPr>
              <w:ind w:left="20"/>
              <w:spacing w:after="0"/>
              <w:rPr>
                <w:sz w:val="20"/>
                <w:szCs w:val="20"/>
                <w:color w:val="auto"/>
              </w:rPr>
            </w:pPr>
            <w:r>
              <w:rPr>
                <w:rFonts w:ascii="Arial" w:cs="Arial" w:eastAsia="Arial" w:hAnsi="Arial"/>
                <w:sz w:val="15"/>
                <w:szCs w:val="15"/>
                <w:b w:val="1"/>
                <w:bCs w:val="1"/>
                <w:color w:val="auto"/>
              </w:rPr>
              <w:t>Net income/(loss) attributable to the Owners of the Group</w:t>
            </w:r>
          </w:p>
        </w:tc>
        <w:tc>
          <w:tcPr>
            <w:tcW w:w="4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(44,605)</w:t>
            </w:r>
          </w:p>
        </w:tc>
        <w:tc>
          <w:tcPr>
            <w:tcW w:w="140" w:type="dxa"/>
            <w:vAlign w:val="bottom"/>
          </w:tcPr>
          <w:p>
            <w:pPr>
              <w:jc w:val="right"/>
              <w:spacing w:after="0"/>
              <w:rPr>
                <w:sz w:val="20"/>
                <w:szCs w:val="20"/>
                <w:color w:val="auto"/>
              </w:rPr>
            </w:pPr>
            <w:r>
              <w:rPr>
                <w:rFonts w:ascii="Arial" w:cs="Arial" w:eastAsia="Arial" w:hAnsi="Arial"/>
                <w:sz w:val="15"/>
                <w:szCs w:val="15"/>
                <w:color w:val="183964"/>
              </w:rPr>
              <w:t>$</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183964"/>
              </w:rPr>
              <w:t>(41,773) $</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183964"/>
              </w:rPr>
              <w:t>(2,832)</w:t>
            </w:r>
          </w:p>
        </w:tc>
        <w:tc>
          <w:tcPr>
            <w:tcW w:w="100" w:type="dxa"/>
            <w:vAlign w:val="bottom"/>
          </w:tcPr>
          <w:p>
            <w:pPr>
              <w:spacing w:after="0"/>
              <w:rPr>
                <w:sz w:val="18"/>
                <w:szCs w:val="18"/>
                <w:color w:val="auto"/>
              </w:rPr>
            </w:pPr>
          </w:p>
        </w:tc>
      </w:tr>
      <w:tr>
        <w:trPr>
          <w:trHeight w:val="25"/>
        </w:trPr>
        <w:tc>
          <w:tcPr>
            <w:tcW w:w="7240" w:type="dxa"/>
            <w:vAlign w:val="bottom"/>
            <w:tcBorders>
              <w:bottom w:val="single" w:sz="8" w:color="183964"/>
            </w:tcBorders>
          </w:tcPr>
          <w:p>
            <w:pPr>
              <w:spacing w:after="0"/>
              <w:rPr>
                <w:sz w:val="2"/>
                <w:szCs w:val="2"/>
                <w:color w:val="auto"/>
              </w:rPr>
            </w:pPr>
          </w:p>
        </w:tc>
        <w:tc>
          <w:tcPr>
            <w:tcW w:w="80" w:type="dxa"/>
            <w:vAlign w:val="bottom"/>
            <w:tcBorders>
              <w:bottom w:val="single" w:sz="8" w:color="183964"/>
            </w:tcBorders>
          </w:tcPr>
          <w:p>
            <w:pPr>
              <w:spacing w:after="0"/>
              <w:rPr>
                <w:sz w:val="2"/>
                <w:szCs w:val="2"/>
                <w:color w:val="auto"/>
              </w:rPr>
            </w:pPr>
          </w:p>
        </w:tc>
        <w:tc>
          <w:tcPr>
            <w:tcW w:w="360" w:type="dxa"/>
            <w:vAlign w:val="bottom"/>
            <w:tcBorders>
              <w:bottom w:val="single" w:sz="8" w:color="183964"/>
            </w:tcBorders>
          </w:tcPr>
          <w:p>
            <w:pPr>
              <w:spacing w:after="0"/>
              <w:rPr>
                <w:sz w:val="2"/>
                <w:szCs w:val="2"/>
                <w:color w:val="auto"/>
              </w:rPr>
            </w:pPr>
          </w:p>
        </w:tc>
        <w:tc>
          <w:tcPr>
            <w:tcW w:w="820" w:type="dxa"/>
            <w:vAlign w:val="bottom"/>
            <w:tcBorders>
              <w:bottom w:val="single" w:sz="8" w:color="183964"/>
            </w:tcBorders>
          </w:tcPr>
          <w:p>
            <w:pPr>
              <w:spacing w:after="0"/>
              <w:rPr>
                <w:sz w:val="2"/>
                <w:szCs w:val="2"/>
                <w:color w:val="auto"/>
              </w:rPr>
            </w:pPr>
          </w:p>
        </w:tc>
        <w:tc>
          <w:tcPr>
            <w:tcW w:w="140" w:type="dxa"/>
            <w:vAlign w:val="bottom"/>
            <w:tcBorders>
              <w:bottom w:val="single" w:sz="8" w:color="183964"/>
            </w:tcBorders>
          </w:tcPr>
          <w:p>
            <w:pPr>
              <w:spacing w:after="0"/>
              <w:rPr>
                <w:sz w:val="2"/>
                <w:szCs w:val="2"/>
                <w:color w:val="auto"/>
              </w:rPr>
            </w:pPr>
          </w:p>
        </w:tc>
        <w:tc>
          <w:tcPr>
            <w:tcW w:w="34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22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100" w:type="dxa"/>
            <w:vAlign w:val="bottom"/>
          </w:tcPr>
          <w:p>
            <w:pPr>
              <w:spacing w:after="0"/>
              <w:rPr>
                <w:sz w:val="2"/>
                <w:szCs w:val="2"/>
                <w:color w:val="auto"/>
              </w:rPr>
            </w:pPr>
          </w:p>
        </w:tc>
      </w:tr>
      <w:tr>
        <w:trPr>
          <w:trHeight w:val="346"/>
        </w:trPr>
        <w:tc>
          <w:tcPr>
            <w:tcW w:w="7240" w:type="dxa"/>
            <w:vAlign w:val="bottom"/>
          </w:tcPr>
          <w:p>
            <w:pPr>
              <w:spacing w:after="0"/>
              <w:rPr>
                <w:sz w:val="20"/>
                <w:szCs w:val="20"/>
                <w:color w:val="auto"/>
              </w:rPr>
            </w:pPr>
            <w:r>
              <w:rPr>
                <w:rFonts w:ascii="Arial" w:cs="Arial" w:eastAsia="Arial" w:hAnsi="Arial"/>
                <w:sz w:val="15"/>
                <w:szCs w:val="15"/>
                <w:b w:val="1"/>
                <w:bCs w:val="1"/>
                <w:color w:val="183964"/>
              </w:rPr>
              <w:t>Comparison of the Six Months Ended June 30, 2025 and June 30, 2024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2"/>
        </w:trPr>
        <w:tc>
          <w:tcPr>
            <w:tcW w:w="7240" w:type="dxa"/>
            <w:vAlign w:val="bottom"/>
          </w:tcPr>
          <w:p>
            <w:pPr>
              <w:spacing w:after="0"/>
              <w:rPr>
                <w:sz w:val="20"/>
                <w:szCs w:val="20"/>
                <w:color w:val="auto"/>
              </w:rPr>
            </w:pPr>
            <w:r>
              <w:rPr>
                <w:rFonts w:ascii="Arial" w:cs="Arial" w:eastAsia="Arial" w:hAnsi="Arial"/>
                <w:sz w:val="15"/>
                <w:szCs w:val="15"/>
                <w:color w:val="183964"/>
              </w:rPr>
              <w:t>Total Revenue</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8"/>
        </w:trPr>
        <w:tc>
          <w:tcPr>
            <w:tcW w:w="7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60" w:type="dxa"/>
            <w:vAlign w:val="bottom"/>
            <w:gridSpan w:val="4"/>
          </w:tcPr>
          <w:p>
            <w:pPr>
              <w:jc w:val="right"/>
              <w:ind w:right="44"/>
              <w:spacing w:after="0"/>
              <w:rPr>
                <w:sz w:val="20"/>
                <w:szCs w:val="20"/>
                <w:color w:val="auto"/>
              </w:rPr>
            </w:pPr>
            <w:r>
              <w:rPr>
                <w:rFonts w:ascii="Arial" w:cs="Arial" w:eastAsia="Arial" w:hAnsi="Arial"/>
                <w:sz w:val="13"/>
                <w:szCs w:val="13"/>
                <w:color w:val="183964"/>
                <w:w w:val="95"/>
              </w:rPr>
              <w:t>Six Months Ended June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gridSpan w:val="2"/>
          </w:tcPr>
          <w:p>
            <w:pPr>
              <w:spacing w:after="0"/>
              <w:rPr>
                <w:sz w:val="2"/>
                <w:szCs w:val="2"/>
                <w:color w:val="auto"/>
              </w:rPr>
            </w:pPr>
          </w:p>
        </w:tc>
        <w:tc>
          <w:tcPr>
            <w:tcW w:w="34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220" w:type="dxa"/>
            <w:vAlign w:val="bottom"/>
            <w:tcBorders>
              <w:bottom w:val="single" w:sz="8" w:color="183964"/>
            </w:tcBorders>
          </w:tcPr>
          <w:p>
            <w:pPr>
              <w:spacing w:after="0"/>
              <w:rPr>
                <w:sz w:val="2"/>
                <w:szCs w:val="2"/>
                <w:color w:val="auto"/>
              </w:rPr>
            </w:pPr>
          </w:p>
        </w:tc>
        <w:tc>
          <w:tcPr>
            <w:tcW w:w="1060" w:type="dxa"/>
            <w:vAlign w:val="bottom"/>
            <w:tcBorders>
              <w:bottom w:val="single" w:sz="8" w:color="183964"/>
            </w:tcBorders>
            <w:gridSpan w:val="2"/>
          </w:tcPr>
          <w:p>
            <w:pPr>
              <w:spacing w:after="0"/>
              <w:rPr>
                <w:sz w:val="2"/>
                <w:szCs w:val="2"/>
                <w:color w:val="auto"/>
              </w:rPr>
            </w:pPr>
          </w:p>
        </w:tc>
      </w:tr>
      <w:tr>
        <w:trPr>
          <w:trHeight w:val="174"/>
        </w:trPr>
        <w:tc>
          <w:tcPr>
            <w:tcW w:w="724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2025</w:t>
            </w:r>
          </w:p>
        </w:tc>
        <w:tc>
          <w:tcPr>
            <w:tcW w:w="340" w:type="dxa"/>
            <w:vAlign w:val="bottom"/>
          </w:tcPr>
          <w:p>
            <w:pPr>
              <w:spacing w:after="0"/>
              <w:rPr>
                <w:sz w:val="15"/>
                <w:szCs w:val="15"/>
                <w:color w:val="auto"/>
              </w:rPr>
            </w:pPr>
          </w:p>
        </w:tc>
        <w:tc>
          <w:tcPr>
            <w:tcW w:w="960" w:type="dxa"/>
            <w:vAlign w:val="bottom"/>
          </w:tcPr>
          <w:p>
            <w:pPr>
              <w:ind w:left="640"/>
              <w:spacing w:after="0"/>
              <w:rPr>
                <w:sz w:val="20"/>
                <w:szCs w:val="20"/>
                <w:color w:val="auto"/>
              </w:rPr>
            </w:pPr>
            <w:r>
              <w:rPr>
                <w:rFonts w:ascii="Arial" w:cs="Arial" w:eastAsia="Arial" w:hAnsi="Arial"/>
                <w:sz w:val="13"/>
                <w:szCs w:val="13"/>
                <w:color w:val="183964"/>
              </w:rPr>
              <w:t>2024</w:t>
            </w:r>
          </w:p>
        </w:tc>
        <w:tc>
          <w:tcPr>
            <w:tcW w:w="220" w:type="dxa"/>
            <w:vAlign w:val="bottom"/>
          </w:tcPr>
          <w:p>
            <w:pPr>
              <w:spacing w:after="0"/>
              <w:rPr>
                <w:sz w:val="15"/>
                <w:szCs w:val="15"/>
                <w:color w:val="auto"/>
              </w:rPr>
            </w:pPr>
          </w:p>
        </w:tc>
        <w:tc>
          <w:tcPr>
            <w:tcW w:w="1060" w:type="dxa"/>
            <w:vAlign w:val="bottom"/>
            <w:gridSpan w:val="2"/>
          </w:tcPr>
          <w:p>
            <w:pPr>
              <w:ind w:left="600"/>
              <w:spacing w:after="0"/>
              <w:rPr>
                <w:sz w:val="20"/>
                <w:szCs w:val="20"/>
                <w:color w:val="auto"/>
              </w:rPr>
            </w:pPr>
            <w:r>
              <w:rPr>
                <w:rFonts w:ascii="Arial" w:cs="Arial" w:eastAsia="Arial" w:hAnsi="Arial"/>
                <w:sz w:val="13"/>
                <w:szCs w:val="13"/>
                <w:color w:val="183964"/>
                <w:w w:val="96"/>
              </w:rPr>
              <w:t>Change</w:t>
            </w:r>
          </w:p>
        </w:tc>
      </w:tr>
      <w:tr>
        <w:trPr>
          <w:trHeight w:val="22"/>
        </w:trPr>
        <w:tc>
          <w:tcPr>
            <w:tcW w:w="7240" w:type="dxa"/>
            <w:vAlign w:val="bottom"/>
            <w:tcBorders>
              <w:bottom w:val="single" w:sz="8" w:color="183964"/>
            </w:tcBorders>
          </w:tcPr>
          <w:p>
            <w:pPr>
              <w:spacing w:after="0" w:line="20" w:lineRule="exact"/>
              <w:rPr>
                <w:sz w:val="1"/>
                <w:szCs w:val="1"/>
                <w:color w:val="auto"/>
              </w:rPr>
            </w:pPr>
          </w:p>
        </w:tc>
        <w:tc>
          <w:tcPr>
            <w:tcW w:w="80" w:type="dxa"/>
            <w:vAlign w:val="bottom"/>
            <w:tcBorders>
              <w:bottom w:val="single" w:sz="8" w:color="183964"/>
            </w:tcBorders>
          </w:tcPr>
          <w:p>
            <w:pPr>
              <w:spacing w:after="0" w:line="20" w:lineRule="exact"/>
              <w:rPr>
                <w:sz w:val="1"/>
                <w:szCs w:val="1"/>
                <w:color w:val="auto"/>
              </w:rPr>
            </w:pPr>
          </w:p>
        </w:tc>
        <w:tc>
          <w:tcPr>
            <w:tcW w:w="360" w:type="dxa"/>
            <w:vAlign w:val="bottom"/>
            <w:tcBorders>
              <w:bottom w:val="single" w:sz="8" w:color="183964"/>
            </w:tcBorders>
          </w:tcPr>
          <w:p>
            <w:pPr>
              <w:spacing w:after="0" w:line="20" w:lineRule="exact"/>
              <w:rPr>
                <w:sz w:val="1"/>
                <w:szCs w:val="1"/>
                <w:color w:val="auto"/>
              </w:rPr>
            </w:pPr>
          </w:p>
        </w:tc>
        <w:tc>
          <w:tcPr>
            <w:tcW w:w="960" w:type="dxa"/>
            <w:vAlign w:val="bottom"/>
            <w:tcBorders>
              <w:bottom w:val="single" w:sz="8" w:color="183964"/>
            </w:tcBorders>
            <w:gridSpan w:val="2"/>
          </w:tcPr>
          <w:p>
            <w:pPr>
              <w:spacing w:after="0" w:line="20" w:lineRule="exact"/>
              <w:rPr>
                <w:sz w:val="1"/>
                <w:szCs w:val="1"/>
                <w:color w:val="auto"/>
              </w:rPr>
            </w:pPr>
          </w:p>
        </w:tc>
        <w:tc>
          <w:tcPr>
            <w:tcW w:w="340" w:type="dxa"/>
            <w:vAlign w:val="bottom"/>
            <w:tcBorders>
              <w:bottom w:val="single" w:sz="8" w:color="183964"/>
            </w:tcBorders>
          </w:tcPr>
          <w:p>
            <w:pPr>
              <w:spacing w:after="0" w:line="20" w:lineRule="exact"/>
              <w:rPr>
                <w:sz w:val="1"/>
                <w:szCs w:val="1"/>
                <w:color w:val="auto"/>
              </w:rPr>
            </w:pPr>
          </w:p>
        </w:tc>
        <w:tc>
          <w:tcPr>
            <w:tcW w:w="1180" w:type="dxa"/>
            <w:vAlign w:val="bottom"/>
            <w:tcBorders>
              <w:bottom w:val="single" w:sz="8" w:color="183964"/>
            </w:tcBorders>
            <w:gridSpan w:val="2"/>
          </w:tcPr>
          <w:p>
            <w:pPr>
              <w:spacing w:after="0" w:line="20" w:lineRule="exact"/>
              <w:rPr>
                <w:sz w:val="1"/>
                <w:szCs w:val="1"/>
                <w:color w:val="auto"/>
              </w:rPr>
            </w:pPr>
          </w:p>
        </w:tc>
        <w:tc>
          <w:tcPr>
            <w:tcW w:w="1060" w:type="dxa"/>
            <w:vAlign w:val="bottom"/>
            <w:tcBorders>
              <w:bottom w:val="single" w:sz="8" w:color="183964"/>
            </w:tcBorders>
            <w:gridSpan w:val="2"/>
          </w:tcPr>
          <w:p>
            <w:pPr>
              <w:spacing w:after="0" w:line="20" w:lineRule="exact"/>
              <w:rPr>
                <w:sz w:val="1"/>
                <w:szCs w:val="1"/>
                <w:color w:val="auto"/>
              </w:rPr>
            </w:pPr>
          </w:p>
        </w:tc>
      </w:tr>
      <w:tr>
        <w:trPr>
          <w:trHeight w:val="211"/>
        </w:trPr>
        <w:tc>
          <w:tcPr>
            <w:tcW w:w="7240" w:type="dxa"/>
            <w:vAlign w:val="bottom"/>
          </w:tcPr>
          <w:p>
            <w:pPr>
              <w:ind w:left="20"/>
              <w:spacing w:after="0"/>
              <w:rPr>
                <w:sz w:val="20"/>
                <w:szCs w:val="20"/>
                <w:color w:val="auto"/>
              </w:rPr>
            </w:pPr>
            <w:r>
              <w:rPr>
                <w:rFonts w:ascii="Arial" w:cs="Arial" w:eastAsia="Arial" w:hAnsi="Arial"/>
                <w:sz w:val="15"/>
                <w:szCs w:val="15"/>
                <w:b w:val="1"/>
                <w:bCs w:val="1"/>
                <w:color w:val="auto"/>
              </w:rPr>
              <w:t>Total Contract Revenue</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ind w:right="8"/>
              <w:spacing w:after="0"/>
              <w:rPr>
                <w:sz w:val="20"/>
                <w:szCs w:val="20"/>
                <w:color w:val="auto"/>
              </w:rPr>
            </w:pPr>
            <w:r>
              <w:rPr>
                <w:rFonts w:ascii="Arial" w:cs="Arial" w:eastAsia="Arial" w:hAnsi="Arial"/>
                <w:sz w:val="15"/>
                <w:szCs w:val="15"/>
                <w:b w:val="1"/>
                <w:bCs w:val="1"/>
                <w:color w:val="auto"/>
              </w:rPr>
              <w:t>1,851</w:t>
            </w:r>
          </w:p>
        </w:tc>
        <w:tc>
          <w:tcPr>
            <w:tcW w:w="340" w:type="dxa"/>
            <w:vAlign w:val="bottom"/>
          </w:tcPr>
          <w:p>
            <w:pPr>
              <w:jc w:val="right"/>
              <w:ind w:right="184"/>
              <w:spacing w:after="0"/>
              <w:rPr>
                <w:sz w:val="20"/>
                <w:szCs w:val="20"/>
                <w:color w:val="auto"/>
              </w:rPr>
            </w:pPr>
            <w:r>
              <w:rPr>
                <w:rFonts w:ascii="Arial" w:cs="Arial" w:eastAsia="Arial" w:hAnsi="Arial"/>
                <w:sz w:val="15"/>
                <w:szCs w:val="15"/>
                <w:color w:val="183964"/>
                <w:w w:val="71"/>
              </w:rPr>
              <w:t>$</w:t>
            </w:r>
          </w:p>
        </w:tc>
        <w:tc>
          <w:tcPr>
            <w:tcW w:w="1180" w:type="dxa"/>
            <w:vAlign w:val="bottom"/>
            <w:gridSpan w:val="2"/>
          </w:tcPr>
          <w:p>
            <w:pPr>
              <w:jc w:val="right"/>
              <w:ind w:right="64"/>
              <w:spacing w:after="0"/>
              <w:rPr>
                <w:sz w:val="20"/>
                <w:szCs w:val="20"/>
                <w:color w:val="auto"/>
              </w:rPr>
            </w:pPr>
            <w:r>
              <w:rPr>
                <w:rFonts w:ascii="Arial" w:cs="Arial" w:eastAsia="Arial" w:hAnsi="Arial"/>
                <w:sz w:val="15"/>
                <w:szCs w:val="15"/>
                <w:color w:val="183964"/>
              </w:rPr>
              <w:t>— $</w:t>
            </w:r>
          </w:p>
        </w:tc>
        <w:tc>
          <w:tcPr>
            <w:tcW w:w="1060" w:type="dxa"/>
            <w:vAlign w:val="bottom"/>
            <w:gridSpan w:val="2"/>
          </w:tcPr>
          <w:p>
            <w:pPr>
              <w:ind w:left="600"/>
              <w:spacing w:after="0"/>
              <w:rPr>
                <w:sz w:val="20"/>
                <w:szCs w:val="20"/>
                <w:color w:val="auto"/>
              </w:rPr>
            </w:pPr>
            <w:r>
              <w:rPr>
                <w:rFonts w:ascii="Arial" w:cs="Arial" w:eastAsia="Arial" w:hAnsi="Arial"/>
                <w:sz w:val="15"/>
                <w:szCs w:val="15"/>
                <w:color w:val="183964"/>
              </w:rPr>
              <w:t>1,851</w:t>
            </w:r>
          </w:p>
        </w:tc>
      </w:tr>
      <w:tr>
        <w:trPr>
          <w:trHeight w:val="243"/>
        </w:trPr>
        <w:tc>
          <w:tcPr>
            <w:tcW w:w="7240" w:type="dxa"/>
            <w:vAlign w:val="bottom"/>
          </w:tcPr>
          <w:p>
            <w:pPr>
              <w:ind w:left="20"/>
              <w:spacing w:after="0"/>
              <w:rPr>
                <w:sz w:val="20"/>
                <w:szCs w:val="20"/>
                <w:color w:val="auto"/>
              </w:rPr>
            </w:pPr>
            <w:r>
              <w:rPr>
                <w:rFonts w:ascii="Arial" w:cs="Arial" w:eastAsia="Arial" w:hAnsi="Arial"/>
                <w:sz w:val="15"/>
                <w:szCs w:val="15"/>
                <w:b w:val="1"/>
                <w:bCs w:val="1"/>
                <w:color w:val="auto"/>
              </w:rPr>
              <w:t>Total Grant Revenue</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2"/>
          </w:tcPr>
          <w:p>
            <w:pPr>
              <w:jc w:val="right"/>
              <w:ind w:right="8"/>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21"/>
                <w:szCs w:val="21"/>
                <w:color w:val="auto"/>
              </w:rPr>
            </w:pPr>
          </w:p>
        </w:tc>
        <w:tc>
          <w:tcPr>
            <w:tcW w:w="960" w:type="dxa"/>
            <w:vAlign w:val="bottom"/>
          </w:tcPr>
          <w:p>
            <w:pPr>
              <w:ind w:left="620"/>
              <w:spacing w:after="0"/>
              <w:rPr>
                <w:sz w:val="20"/>
                <w:szCs w:val="20"/>
                <w:color w:val="auto"/>
              </w:rPr>
            </w:pPr>
            <w:r>
              <w:rPr>
                <w:rFonts w:ascii="Arial" w:cs="Arial" w:eastAsia="Arial" w:hAnsi="Arial"/>
                <w:sz w:val="15"/>
                <w:szCs w:val="15"/>
                <w:color w:val="183964"/>
              </w:rPr>
              <w:t>288</w:t>
            </w: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5"/>
                <w:szCs w:val="15"/>
                <w:color w:val="183964"/>
              </w:rPr>
              <w:t>(288)</w:t>
            </w:r>
          </w:p>
        </w:tc>
      </w:tr>
      <w:tr>
        <w:trPr>
          <w:trHeight w:val="25"/>
        </w:trPr>
        <w:tc>
          <w:tcPr>
            <w:tcW w:w="7240" w:type="dxa"/>
            <w:vAlign w:val="bottom"/>
            <w:tcBorders>
              <w:bottom w:val="single" w:sz="8" w:color="183964"/>
            </w:tcBorders>
          </w:tcPr>
          <w:p>
            <w:pPr>
              <w:spacing w:after="0"/>
              <w:rPr>
                <w:sz w:val="2"/>
                <w:szCs w:val="2"/>
                <w:color w:val="auto"/>
              </w:rPr>
            </w:pPr>
          </w:p>
        </w:tc>
        <w:tc>
          <w:tcPr>
            <w:tcW w:w="80" w:type="dxa"/>
            <w:vAlign w:val="bottom"/>
            <w:tcBorders>
              <w:bottom w:val="single" w:sz="8" w:color="183964"/>
            </w:tcBorders>
          </w:tcPr>
          <w:p>
            <w:pPr>
              <w:spacing w:after="0"/>
              <w:rPr>
                <w:sz w:val="2"/>
                <w:szCs w:val="2"/>
                <w:color w:val="auto"/>
              </w:rPr>
            </w:pPr>
          </w:p>
        </w:tc>
        <w:tc>
          <w:tcPr>
            <w:tcW w:w="36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gridSpan w:val="2"/>
          </w:tcPr>
          <w:p>
            <w:pPr>
              <w:spacing w:after="0"/>
              <w:rPr>
                <w:sz w:val="2"/>
                <w:szCs w:val="2"/>
                <w:color w:val="auto"/>
              </w:rPr>
            </w:pPr>
          </w:p>
        </w:tc>
        <w:tc>
          <w:tcPr>
            <w:tcW w:w="34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220" w:type="dxa"/>
            <w:vAlign w:val="bottom"/>
            <w:tcBorders>
              <w:bottom w:val="single" w:sz="8" w:color="183964"/>
            </w:tcBorders>
          </w:tcPr>
          <w:p>
            <w:pPr>
              <w:spacing w:after="0"/>
              <w:rPr>
                <w:sz w:val="2"/>
                <w:szCs w:val="2"/>
                <w:color w:val="auto"/>
              </w:rPr>
            </w:pPr>
          </w:p>
        </w:tc>
        <w:tc>
          <w:tcPr>
            <w:tcW w:w="1060" w:type="dxa"/>
            <w:vAlign w:val="bottom"/>
            <w:tcBorders>
              <w:bottom w:val="single" w:sz="8" w:color="183964"/>
            </w:tcBorders>
            <w:gridSpan w:val="2"/>
          </w:tcPr>
          <w:p>
            <w:pPr>
              <w:spacing w:after="0"/>
              <w:rPr>
                <w:sz w:val="2"/>
                <w:szCs w:val="2"/>
                <w:color w:val="auto"/>
              </w:rPr>
            </w:pPr>
          </w:p>
        </w:tc>
      </w:tr>
      <w:tr>
        <w:trPr>
          <w:trHeight w:val="211"/>
        </w:trPr>
        <w:tc>
          <w:tcPr>
            <w:tcW w:w="7240" w:type="dxa"/>
            <w:vAlign w:val="bottom"/>
          </w:tcPr>
          <w:p>
            <w:pPr>
              <w:ind w:left="20"/>
              <w:spacing w:after="0"/>
              <w:rPr>
                <w:sz w:val="20"/>
                <w:szCs w:val="20"/>
                <w:color w:val="auto"/>
              </w:rPr>
            </w:pPr>
            <w:r>
              <w:rPr>
                <w:rFonts w:ascii="Arial" w:cs="Arial" w:eastAsia="Arial" w:hAnsi="Arial"/>
                <w:sz w:val="15"/>
                <w:szCs w:val="15"/>
                <w:b w:val="1"/>
                <w:bCs w:val="1"/>
                <w:color w:val="auto"/>
              </w:rPr>
              <w:t>Total Revenue</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ind w:right="8"/>
              <w:spacing w:after="0"/>
              <w:rPr>
                <w:sz w:val="20"/>
                <w:szCs w:val="20"/>
                <w:color w:val="auto"/>
              </w:rPr>
            </w:pPr>
            <w:r>
              <w:rPr>
                <w:rFonts w:ascii="Arial" w:cs="Arial" w:eastAsia="Arial" w:hAnsi="Arial"/>
                <w:sz w:val="15"/>
                <w:szCs w:val="15"/>
                <w:b w:val="1"/>
                <w:bCs w:val="1"/>
                <w:color w:val="auto"/>
              </w:rPr>
              <w:t>1,851</w:t>
            </w:r>
          </w:p>
        </w:tc>
        <w:tc>
          <w:tcPr>
            <w:tcW w:w="340" w:type="dxa"/>
            <w:vAlign w:val="bottom"/>
          </w:tcPr>
          <w:p>
            <w:pPr>
              <w:jc w:val="right"/>
              <w:ind w:right="184"/>
              <w:spacing w:after="0"/>
              <w:rPr>
                <w:sz w:val="20"/>
                <w:szCs w:val="20"/>
                <w:color w:val="auto"/>
              </w:rPr>
            </w:pPr>
            <w:r>
              <w:rPr>
                <w:rFonts w:ascii="Arial" w:cs="Arial" w:eastAsia="Arial" w:hAnsi="Arial"/>
                <w:sz w:val="15"/>
                <w:szCs w:val="15"/>
                <w:color w:val="183964"/>
                <w:w w:val="71"/>
              </w:rPr>
              <w:t>$</w:t>
            </w:r>
          </w:p>
        </w:tc>
        <w:tc>
          <w:tcPr>
            <w:tcW w:w="960" w:type="dxa"/>
            <w:vAlign w:val="bottom"/>
          </w:tcPr>
          <w:p>
            <w:pPr>
              <w:ind w:left="620"/>
              <w:spacing w:after="0"/>
              <w:rPr>
                <w:sz w:val="20"/>
                <w:szCs w:val="20"/>
                <w:color w:val="auto"/>
              </w:rPr>
            </w:pPr>
            <w:r>
              <w:rPr>
                <w:rFonts w:ascii="Arial" w:cs="Arial" w:eastAsia="Arial" w:hAnsi="Arial"/>
                <w:sz w:val="15"/>
                <w:szCs w:val="15"/>
                <w:color w:val="183964"/>
              </w:rPr>
              <w:t>288</w:t>
            </w:r>
          </w:p>
        </w:tc>
        <w:tc>
          <w:tcPr>
            <w:tcW w:w="220" w:type="dxa"/>
            <w:vAlign w:val="bottom"/>
          </w:tcPr>
          <w:p>
            <w:pPr>
              <w:jc w:val="right"/>
              <w:ind w:right="64"/>
              <w:spacing w:after="0"/>
              <w:rPr>
                <w:sz w:val="20"/>
                <w:szCs w:val="20"/>
                <w:color w:val="auto"/>
              </w:rPr>
            </w:pPr>
            <w:r>
              <w:rPr>
                <w:rFonts w:ascii="Arial" w:cs="Arial" w:eastAsia="Arial" w:hAnsi="Arial"/>
                <w:sz w:val="15"/>
                <w:szCs w:val="15"/>
                <w:color w:val="183964"/>
                <w:w w:val="71"/>
              </w:rPr>
              <w:t>$</w:t>
            </w:r>
          </w:p>
        </w:tc>
        <w:tc>
          <w:tcPr>
            <w:tcW w:w="1060" w:type="dxa"/>
            <w:vAlign w:val="bottom"/>
            <w:gridSpan w:val="2"/>
          </w:tcPr>
          <w:p>
            <w:pPr>
              <w:ind w:left="600"/>
              <w:spacing w:after="0"/>
              <w:rPr>
                <w:sz w:val="20"/>
                <w:szCs w:val="20"/>
                <w:color w:val="auto"/>
              </w:rPr>
            </w:pPr>
            <w:r>
              <w:rPr>
                <w:rFonts w:ascii="Arial" w:cs="Arial" w:eastAsia="Arial" w:hAnsi="Arial"/>
                <w:sz w:val="15"/>
                <w:szCs w:val="15"/>
                <w:color w:val="183964"/>
              </w:rPr>
              <w:t>1,563</w:t>
            </w:r>
          </w:p>
        </w:tc>
      </w:tr>
      <w:tr>
        <w:trPr>
          <w:trHeight w:val="25"/>
        </w:trPr>
        <w:tc>
          <w:tcPr>
            <w:tcW w:w="7240" w:type="dxa"/>
            <w:vAlign w:val="bottom"/>
            <w:tcBorders>
              <w:bottom w:val="single" w:sz="8" w:color="183964"/>
            </w:tcBorders>
          </w:tcPr>
          <w:p>
            <w:pPr>
              <w:spacing w:after="0"/>
              <w:rPr>
                <w:sz w:val="2"/>
                <w:szCs w:val="2"/>
                <w:color w:val="auto"/>
              </w:rPr>
            </w:pPr>
          </w:p>
        </w:tc>
        <w:tc>
          <w:tcPr>
            <w:tcW w:w="80" w:type="dxa"/>
            <w:vAlign w:val="bottom"/>
            <w:tcBorders>
              <w:bottom w:val="single" w:sz="8" w:color="183964"/>
            </w:tcBorders>
          </w:tcPr>
          <w:p>
            <w:pPr>
              <w:spacing w:after="0"/>
              <w:rPr>
                <w:sz w:val="2"/>
                <w:szCs w:val="2"/>
                <w:color w:val="auto"/>
              </w:rPr>
            </w:pPr>
          </w:p>
        </w:tc>
        <w:tc>
          <w:tcPr>
            <w:tcW w:w="360" w:type="dxa"/>
            <w:vAlign w:val="bottom"/>
            <w:tcBorders>
              <w:bottom w:val="single" w:sz="8" w:color="183964"/>
            </w:tcBorders>
          </w:tcPr>
          <w:p>
            <w:pPr>
              <w:spacing w:after="0"/>
              <w:rPr>
                <w:sz w:val="2"/>
                <w:szCs w:val="2"/>
                <w:color w:val="auto"/>
              </w:rPr>
            </w:pPr>
          </w:p>
        </w:tc>
        <w:tc>
          <w:tcPr>
            <w:tcW w:w="820" w:type="dxa"/>
            <w:vAlign w:val="bottom"/>
            <w:tcBorders>
              <w:bottom w:val="single" w:sz="8" w:color="183964"/>
            </w:tcBorders>
          </w:tcPr>
          <w:p>
            <w:pPr>
              <w:spacing w:after="0"/>
              <w:rPr>
                <w:sz w:val="2"/>
                <w:szCs w:val="2"/>
                <w:color w:val="auto"/>
              </w:rPr>
            </w:pPr>
          </w:p>
        </w:tc>
        <w:tc>
          <w:tcPr>
            <w:tcW w:w="140" w:type="dxa"/>
            <w:vAlign w:val="bottom"/>
            <w:tcBorders>
              <w:bottom w:val="single" w:sz="8" w:color="183964"/>
            </w:tcBorders>
          </w:tcPr>
          <w:p>
            <w:pPr>
              <w:spacing w:after="0"/>
              <w:rPr>
                <w:sz w:val="2"/>
                <w:szCs w:val="2"/>
                <w:color w:val="auto"/>
              </w:rPr>
            </w:pPr>
          </w:p>
        </w:tc>
        <w:tc>
          <w:tcPr>
            <w:tcW w:w="34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22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r>
    </w:tbl>
    <w:p>
      <w:pPr>
        <w:spacing w:after="0" w:line="158" w:lineRule="exact"/>
        <w:rPr>
          <w:sz w:val="20"/>
          <w:szCs w:val="20"/>
          <w:color w:val="auto"/>
        </w:rPr>
      </w:pPr>
    </w:p>
    <w:p>
      <w:pPr>
        <w:ind w:right="220"/>
        <w:spacing w:after="0" w:line="268" w:lineRule="auto"/>
        <w:rPr>
          <w:sz w:val="20"/>
          <w:szCs w:val="20"/>
          <w:color w:val="auto"/>
        </w:rPr>
      </w:pPr>
      <w:r>
        <w:rPr>
          <w:rFonts w:ascii="Arial" w:cs="Arial" w:eastAsia="Arial" w:hAnsi="Arial"/>
          <w:sz w:val="15"/>
          <w:szCs w:val="15"/>
          <w:color w:val="auto"/>
        </w:rPr>
        <w:t>Our total revenue was $1.9 million for the six months ended June 30, 2025, an increase of $1.6 million, or 542% compared to the six months ended June 30, 2024. The increase in revenue is primarily due the recognition of royalty revenue from sales of Cobenfy (formerly KarXT), approved by the U.S. Food and Drug Administration in September 2024, pursuant to a patent license agreement between PureTech and Karuna. The increase is partially offset by a decrease in grant revenue of $0.3 million related to completed grants in 2024. The royalty revenue recognized in the six months ended June 30, 2025 was paid to Royalty Pharma in July 2025 in accordance with Royalty Purchase Agreement. See Note 12. Sale of Future Royalties Liability.</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183964"/>
        </w:rPr>
        <w:t>General and Administrative Expenses</w:t>
      </w:r>
    </w:p>
    <w:p>
      <w:pPr>
        <w:spacing w:after="0" w:line="28"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color w:val="auto"/>
        </w:rPr>
        <w:t>Our general and administrative expenses were $24.9 million for the six months ended June 30, 2025, a decrease of $2.9 million, or 10% compared to the six months ended June 30, 2024. The decrease is primarily driven by workforce reductions, particularly decrease in workforce related expenses such as payroll, share based compensation, and recruiting expenses resulting from the deconsolidation of Seaport.</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183964"/>
        </w:rPr>
        <w:t>Research and Development Expenses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the research and development expenses by program.</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40" w:type="dxa"/>
            <w:vAlign w:val="bottom"/>
            <w:gridSpan w:val="4"/>
          </w:tcPr>
          <w:p>
            <w:pPr>
              <w:jc w:val="right"/>
              <w:ind w:right="244"/>
              <w:spacing w:after="0"/>
              <w:rPr>
                <w:sz w:val="20"/>
                <w:szCs w:val="20"/>
                <w:color w:val="auto"/>
              </w:rPr>
            </w:pPr>
            <w:r>
              <w:rPr>
                <w:rFonts w:ascii="Arial" w:cs="Arial" w:eastAsia="Arial" w:hAnsi="Arial"/>
                <w:sz w:val="13"/>
                <w:szCs w:val="13"/>
                <w:color w:val="183964"/>
              </w:rPr>
              <w:t>Six Months Ended June 30,</w:t>
            </w:r>
          </w:p>
        </w:tc>
        <w:tc>
          <w:tcPr>
            <w:tcW w:w="840" w:type="dxa"/>
            <w:vAlign w:val="bottom"/>
          </w:tcPr>
          <w:p>
            <w:pPr>
              <w:spacing w:after="0"/>
              <w:rPr>
                <w:sz w:val="14"/>
                <w:szCs w:val="14"/>
                <w:color w:val="auto"/>
              </w:rPr>
            </w:pPr>
          </w:p>
        </w:tc>
      </w:tr>
      <w:tr>
        <w:trPr>
          <w:trHeight w:val="28"/>
        </w:trPr>
        <w:tc>
          <w:tcPr>
            <w:tcW w:w="7340" w:type="dxa"/>
            <w:vAlign w:val="bottom"/>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40" w:type="dxa"/>
            <w:vAlign w:val="bottom"/>
            <w:tcBorders>
              <w:bottom w:val="single" w:sz="8" w:color="183964"/>
            </w:tcBorders>
          </w:tcPr>
          <w:p>
            <w:pPr>
              <w:spacing w:after="0"/>
              <w:rPr>
                <w:sz w:val="2"/>
                <w:szCs w:val="2"/>
                <w:color w:val="auto"/>
              </w:rPr>
            </w:pPr>
          </w:p>
        </w:tc>
        <w:tc>
          <w:tcPr>
            <w:tcW w:w="840" w:type="dxa"/>
            <w:vAlign w:val="bottom"/>
            <w:tcBorders>
              <w:bottom w:val="single" w:sz="8" w:color="183964"/>
            </w:tcBorders>
          </w:tcPr>
          <w:p>
            <w:pPr>
              <w:spacing w:after="0"/>
              <w:rPr>
                <w:sz w:val="2"/>
                <w:szCs w:val="2"/>
                <w:color w:val="auto"/>
              </w:rPr>
            </w:pPr>
          </w:p>
        </w:tc>
      </w:tr>
      <w:tr>
        <w:trPr>
          <w:trHeight w:val="175"/>
        </w:trPr>
        <w:tc>
          <w:tcPr>
            <w:tcW w:w="734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183964"/>
              </w:rPr>
              <w:t>2024</w:t>
            </w:r>
          </w:p>
        </w:tc>
        <w:tc>
          <w:tcPr>
            <w:tcW w:w="4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83964"/>
              </w:rPr>
              <w:t>Change</w:t>
            </w:r>
          </w:p>
        </w:tc>
      </w:tr>
      <w:tr>
        <w:trPr>
          <w:trHeight w:val="21"/>
        </w:trPr>
        <w:tc>
          <w:tcPr>
            <w:tcW w:w="7340" w:type="dxa"/>
            <w:vAlign w:val="bottom"/>
            <w:tcBorders>
              <w:bottom w:val="single" w:sz="8" w:color="183964"/>
            </w:tcBorders>
          </w:tcPr>
          <w:p>
            <w:pPr>
              <w:spacing w:after="0" w:line="20" w:lineRule="exact"/>
              <w:rPr>
                <w:sz w:val="1"/>
                <w:szCs w:val="1"/>
                <w:color w:val="auto"/>
              </w:rPr>
            </w:pPr>
          </w:p>
        </w:tc>
        <w:tc>
          <w:tcPr>
            <w:tcW w:w="400" w:type="dxa"/>
            <w:vAlign w:val="bottom"/>
            <w:tcBorders>
              <w:bottom w:val="single" w:sz="8" w:color="183964"/>
            </w:tcBorders>
          </w:tcPr>
          <w:p>
            <w:pPr>
              <w:spacing w:after="0" w:line="20" w:lineRule="exact"/>
              <w:rPr>
                <w:sz w:val="1"/>
                <w:szCs w:val="1"/>
                <w:color w:val="auto"/>
              </w:rPr>
            </w:pPr>
          </w:p>
        </w:tc>
        <w:tc>
          <w:tcPr>
            <w:tcW w:w="900" w:type="dxa"/>
            <w:vAlign w:val="bottom"/>
            <w:tcBorders>
              <w:bottom w:val="single" w:sz="8" w:color="183964"/>
            </w:tcBorders>
          </w:tcPr>
          <w:p>
            <w:pPr>
              <w:spacing w:after="0" w:line="20" w:lineRule="exact"/>
              <w:rPr>
                <w:sz w:val="1"/>
                <w:szCs w:val="1"/>
                <w:color w:val="auto"/>
              </w:rPr>
            </w:pPr>
          </w:p>
        </w:tc>
        <w:tc>
          <w:tcPr>
            <w:tcW w:w="400" w:type="dxa"/>
            <w:vAlign w:val="bottom"/>
            <w:tcBorders>
              <w:bottom w:val="single" w:sz="8" w:color="183964"/>
            </w:tcBorders>
          </w:tcPr>
          <w:p>
            <w:pPr>
              <w:spacing w:after="0" w:line="20" w:lineRule="exact"/>
              <w:rPr>
                <w:sz w:val="1"/>
                <w:szCs w:val="1"/>
                <w:color w:val="auto"/>
              </w:rPr>
            </w:pPr>
          </w:p>
        </w:tc>
        <w:tc>
          <w:tcPr>
            <w:tcW w:w="900" w:type="dxa"/>
            <w:vAlign w:val="bottom"/>
            <w:tcBorders>
              <w:bottom w:val="single" w:sz="8" w:color="183964"/>
            </w:tcBorders>
          </w:tcPr>
          <w:p>
            <w:pPr>
              <w:spacing w:after="0" w:line="20" w:lineRule="exact"/>
              <w:rPr>
                <w:sz w:val="1"/>
                <w:szCs w:val="1"/>
                <w:color w:val="auto"/>
              </w:rPr>
            </w:pPr>
          </w:p>
        </w:tc>
        <w:tc>
          <w:tcPr>
            <w:tcW w:w="440" w:type="dxa"/>
            <w:vAlign w:val="bottom"/>
            <w:tcBorders>
              <w:bottom w:val="single" w:sz="8" w:color="183964"/>
            </w:tcBorders>
          </w:tcPr>
          <w:p>
            <w:pPr>
              <w:spacing w:after="0" w:line="20" w:lineRule="exact"/>
              <w:rPr>
                <w:sz w:val="1"/>
                <w:szCs w:val="1"/>
                <w:color w:val="auto"/>
              </w:rPr>
            </w:pPr>
          </w:p>
        </w:tc>
        <w:tc>
          <w:tcPr>
            <w:tcW w:w="840" w:type="dxa"/>
            <w:vAlign w:val="bottom"/>
            <w:tcBorders>
              <w:bottom w:val="single" w:sz="8" w:color="183964"/>
            </w:tcBorders>
          </w:tcPr>
          <w:p>
            <w:pPr>
              <w:spacing w:after="0" w:line="20" w:lineRule="exact"/>
              <w:rPr>
                <w:sz w:val="1"/>
                <w:szCs w:val="1"/>
                <w:color w:val="auto"/>
              </w:rPr>
            </w:pPr>
          </w:p>
        </w:tc>
      </w:tr>
      <w:tr>
        <w:trPr>
          <w:trHeight w:val="211"/>
        </w:trPr>
        <w:tc>
          <w:tcPr>
            <w:tcW w:w="7340" w:type="dxa"/>
            <w:vAlign w:val="bottom"/>
          </w:tcPr>
          <w:p>
            <w:pPr>
              <w:ind w:left="20"/>
              <w:spacing w:after="0"/>
              <w:rPr>
                <w:sz w:val="20"/>
                <w:szCs w:val="20"/>
                <w:color w:val="auto"/>
              </w:rPr>
            </w:pPr>
            <w:r>
              <w:rPr>
                <w:rFonts w:ascii="Arial" w:cs="Arial" w:eastAsia="Arial" w:hAnsi="Arial"/>
                <w:sz w:val="15"/>
                <w:szCs w:val="15"/>
                <w:color w:val="auto"/>
              </w:rPr>
              <w:t>Deupirfenidone (LYT-100) program external costs</w:t>
            </w:r>
          </w:p>
        </w:tc>
        <w:tc>
          <w:tcPr>
            <w:tcW w:w="400" w:type="dxa"/>
            <w:vAlign w:val="bottom"/>
          </w:tcPr>
          <w:p>
            <w:pPr>
              <w:jc w:val="right"/>
              <w:ind w:right="22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(13,364)</w:t>
            </w:r>
          </w:p>
        </w:tc>
        <w:tc>
          <w:tcPr>
            <w:tcW w:w="400" w:type="dxa"/>
            <w:vAlign w:val="bottom"/>
          </w:tcPr>
          <w:p>
            <w:pPr>
              <w:jc w:val="right"/>
              <w:ind w:right="224"/>
              <w:spacing w:after="0"/>
              <w:rPr>
                <w:sz w:val="20"/>
                <w:szCs w:val="20"/>
                <w:color w:val="auto"/>
              </w:rPr>
            </w:pPr>
            <w:r>
              <w:rPr>
                <w:rFonts w:ascii="Arial" w:cs="Arial" w:eastAsia="Arial" w:hAnsi="Arial"/>
                <w:sz w:val="15"/>
                <w:szCs w:val="15"/>
                <w:color w:val="183964"/>
                <w:w w:val="95"/>
              </w:rPr>
              <w:t>$</w:t>
            </w:r>
          </w:p>
        </w:tc>
        <w:tc>
          <w:tcPr>
            <w:tcW w:w="900" w:type="dxa"/>
            <w:vAlign w:val="bottom"/>
          </w:tcPr>
          <w:p>
            <w:pPr>
              <w:jc w:val="right"/>
              <w:spacing w:after="0"/>
              <w:rPr>
                <w:sz w:val="20"/>
                <w:szCs w:val="20"/>
                <w:color w:val="auto"/>
              </w:rPr>
            </w:pPr>
            <w:r>
              <w:rPr>
                <w:rFonts w:ascii="Arial" w:cs="Arial" w:eastAsia="Arial" w:hAnsi="Arial"/>
                <w:sz w:val="15"/>
                <w:szCs w:val="15"/>
                <w:color w:val="183964"/>
              </w:rPr>
              <w:t>(17,056)</w:t>
            </w:r>
          </w:p>
        </w:tc>
        <w:tc>
          <w:tcPr>
            <w:tcW w:w="440" w:type="dxa"/>
            <w:vAlign w:val="bottom"/>
          </w:tcPr>
          <w:p>
            <w:pPr>
              <w:jc w:val="right"/>
              <w:ind w:right="264"/>
              <w:spacing w:after="0"/>
              <w:rPr>
                <w:sz w:val="20"/>
                <w:szCs w:val="20"/>
                <w:color w:val="auto"/>
              </w:rPr>
            </w:pPr>
            <w:r>
              <w:rPr>
                <w:rFonts w:ascii="Arial" w:cs="Arial" w:eastAsia="Arial" w:hAnsi="Arial"/>
                <w:sz w:val="15"/>
                <w:szCs w:val="15"/>
                <w:color w:val="183964"/>
                <w:w w:val="95"/>
              </w:rPr>
              <w:t>$</w:t>
            </w:r>
          </w:p>
        </w:tc>
        <w:tc>
          <w:tcPr>
            <w:tcW w:w="840" w:type="dxa"/>
            <w:vAlign w:val="bottom"/>
          </w:tcPr>
          <w:p>
            <w:pPr>
              <w:jc w:val="right"/>
              <w:spacing w:after="0"/>
              <w:rPr>
                <w:sz w:val="20"/>
                <w:szCs w:val="20"/>
                <w:color w:val="auto"/>
              </w:rPr>
            </w:pPr>
            <w:r>
              <w:rPr>
                <w:rFonts w:ascii="Arial" w:cs="Arial" w:eastAsia="Arial" w:hAnsi="Arial"/>
                <w:sz w:val="15"/>
                <w:szCs w:val="15"/>
                <w:color w:val="183964"/>
              </w:rPr>
              <w:t>3,692</w:t>
            </w:r>
          </w:p>
        </w:tc>
      </w:tr>
      <w:tr>
        <w:trPr>
          <w:trHeight w:val="243"/>
        </w:trPr>
        <w:tc>
          <w:tcPr>
            <w:tcW w:w="7340" w:type="dxa"/>
            <w:vAlign w:val="bottom"/>
          </w:tcPr>
          <w:p>
            <w:pPr>
              <w:ind w:left="20"/>
              <w:spacing w:after="0"/>
              <w:rPr>
                <w:sz w:val="20"/>
                <w:szCs w:val="20"/>
                <w:color w:val="auto"/>
              </w:rPr>
            </w:pPr>
            <w:r>
              <w:rPr>
                <w:rFonts w:ascii="Arial" w:cs="Arial" w:eastAsia="Arial" w:hAnsi="Arial"/>
                <w:sz w:val="15"/>
                <w:szCs w:val="15"/>
                <w:color w:val="auto"/>
              </w:rPr>
              <w:t>LYT-200 program external costs</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(5,520)</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(5,931)</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183964"/>
              </w:rPr>
              <w:t>411</w:t>
            </w:r>
          </w:p>
        </w:tc>
      </w:tr>
      <w:tr>
        <w:trPr>
          <w:trHeight w:val="243"/>
        </w:trPr>
        <w:tc>
          <w:tcPr>
            <w:tcW w:w="7340" w:type="dxa"/>
            <w:vAlign w:val="bottom"/>
          </w:tcPr>
          <w:p>
            <w:pPr>
              <w:ind w:left="20"/>
              <w:spacing w:after="0"/>
              <w:rPr>
                <w:sz w:val="20"/>
                <w:szCs w:val="20"/>
                <w:color w:val="auto"/>
              </w:rPr>
            </w:pPr>
            <w:r>
              <w:rPr>
                <w:rFonts w:ascii="Arial" w:cs="Arial" w:eastAsia="Arial" w:hAnsi="Arial"/>
                <w:sz w:val="15"/>
                <w:szCs w:val="15"/>
                <w:color w:val="auto"/>
              </w:rPr>
              <w:t>LYT-300* program external costs</w:t>
            </w:r>
          </w:p>
        </w:tc>
        <w:tc>
          <w:tcPr>
            <w:tcW w:w="400" w:type="dxa"/>
            <w:vAlign w:val="bottom"/>
          </w:tcPr>
          <w:p>
            <w:pPr>
              <w:spacing w:after="0"/>
              <w:rPr>
                <w:sz w:val="21"/>
                <w:szCs w:val="21"/>
                <w:color w:val="auto"/>
              </w:rPr>
            </w:pPr>
          </w:p>
        </w:tc>
        <w:tc>
          <w:tcPr>
            <w:tcW w:w="90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(695)</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183964"/>
              </w:rPr>
              <w:t>695</w:t>
            </w:r>
          </w:p>
        </w:tc>
      </w:tr>
      <w:tr>
        <w:trPr>
          <w:trHeight w:val="243"/>
        </w:trPr>
        <w:tc>
          <w:tcPr>
            <w:tcW w:w="7340" w:type="dxa"/>
            <w:vAlign w:val="bottom"/>
          </w:tcPr>
          <w:p>
            <w:pPr>
              <w:ind w:left="20"/>
              <w:spacing w:after="0"/>
              <w:rPr>
                <w:sz w:val="20"/>
                <w:szCs w:val="20"/>
                <w:color w:val="auto"/>
              </w:rPr>
            </w:pPr>
            <w:r>
              <w:rPr>
                <w:rFonts w:ascii="Arial" w:cs="Arial" w:eastAsia="Arial" w:hAnsi="Arial"/>
                <w:sz w:val="15"/>
                <w:szCs w:val="15"/>
                <w:color w:val="auto"/>
              </w:rPr>
              <w:t>Wholly owned PureTech platform and other non-clinical programs external costs</w:t>
            </w:r>
          </w:p>
        </w:tc>
        <w:tc>
          <w:tcPr>
            <w:tcW w:w="400" w:type="dxa"/>
            <w:vAlign w:val="bottom"/>
          </w:tcPr>
          <w:p>
            <w:pPr>
              <w:spacing w:after="0"/>
              <w:rPr>
                <w:sz w:val="21"/>
                <w:szCs w:val="21"/>
                <w:color w:val="auto"/>
              </w:rPr>
            </w:pPr>
          </w:p>
        </w:tc>
        <w:tc>
          <w:tcPr>
            <w:tcW w:w="90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(4,421)</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183964"/>
              </w:rPr>
              <w:t>4,421</w:t>
            </w:r>
          </w:p>
        </w:tc>
      </w:tr>
      <w:tr>
        <w:trPr>
          <w:trHeight w:val="243"/>
        </w:trPr>
        <w:tc>
          <w:tcPr>
            <w:tcW w:w="7340" w:type="dxa"/>
            <w:vAlign w:val="bottom"/>
          </w:tcPr>
          <w:p>
            <w:pPr>
              <w:ind w:left="20"/>
              <w:spacing w:after="0"/>
              <w:rPr>
                <w:sz w:val="20"/>
                <w:szCs w:val="20"/>
                <w:color w:val="auto"/>
              </w:rPr>
            </w:pPr>
            <w:r>
              <w:rPr>
                <w:rFonts w:ascii="Arial" w:cs="Arial" w:eastAsia="Arial" w:hAnsi="Arial"/>
                <w:sz w:val="15"/>
                <w:szCs w:val="15"/>
                <w:color w:val="auto"/>
              </w:rPr>
              <w:t>Controlled Founded Entities programs</w:t>
            </w:r>
          </w:p>
        </w:tc>
        <w:tc>
          <w:tcPr>
            <w:tcW w:w="400" w:type="dxa"/>
            <w:vAlign w:val="bottom"/>
          </w:tcPr>
          <w:p>
            <w:pPr>
              <w:spacing w:after="0"/>
              <w:rPr>
                <w:sz w:val="21"/>
                <w:szCs w:val="21"/>
                <w:color w:val="auto"/>
              </w:rPr>
            </w:pPr>
          </w:p>
        </w:tc>
        <w:tc>
          <w:tcPr>
            <w:tcW w:w="90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(1,680)</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183964"/>
              </w:rPr>
              <w:t>1,680</w:t>
            </w:r>
          </w:p>
        </w:tc>
      </w:tr>
      <w:tr>
        <w:trPr>
          <w:trHeight w:val="243"/>
        </w:trPr>
        <w:tc>
          <w:tcPr>
            <w:tcW w:w="7340" w:type="dxa"/>
            <w:vAlign w:val="bottom"/>
          </w:tcPr>
          <w:p>
            <w:pPr>
              <w:ind w:left="20"/>
              <w:spacing w:after="0"/>
              <w:rPr>
                <w:sz w:val="20"/>
                <w:szCs w:val="20"/>
                <w:color w:val="auto"/>
              </w:rPr>
            </w:pPr>
            <w:r>
              <w:rPr>
                <w:rFonts w:ascii="Arial" w:cs="Arial" w:eastAsia="Arial" w:hAnsi="Arial"/>
                <w:sz w:val="15"/>
                <w:szCs w:val="15"/>
                <w:color w:val="auto"/>
              </w:rPr>
              <w:t>Other research program external costs</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(30)</w:t>
            </w:r>
          </w:p>
        </w:tc>
        <w:tc>
          <w:tcPr>
            <w:tcW w:w="400" w:type="dxa"/>
            <w:vAlign w:val="bottom"/>
          </w:tcPr>
          <w:p>
            <w:pPr>
              <w:spacing w:after="0"/>
              <w:rPr>
                <w:sz w:val="21"/>
                <w:szCs w:val="21"/>
                <w:color w:val="auto"/>
              </w:rPr>
            </w:pPr>
          </w:p>
        </w:tc>
        <w:tc>
          <w:tcPr>
            <w:tcW w:w="900" w:type="dxa"/>
            <w:vAlign w:val="bottom"/>
          </w:tcPr>
          <w:p>
            <w:pPr>
              <w:jc w:val="right"/>
              <w:ind w:right="5"/>
              <w:spacing w:after="0"/>
              <w:rPr>
                <w:sz w:val="20"/>
                <w:szCs w:val="20"/>
                <w:color w:val="auto"/>
              </w:rPr>
            </w:pPr>
            <w:r>
              <w:rPr>
                <w:rFonts w:ascii="Arial" w:cs="Arial" w:eastAsia="Arial" w:hAnsi="Arial"/>
                <w:sz w:val="15"/>
                <w:szCs w:val="15"/>
                <w:color w:val="183964"/>
              </w:rPr>
              <w:t>—</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183964"/>
              </w:rPr>
              <w:t>(30)</w:t>
            </w:r>
          </w:p>
        </w:tc>
      </w:tr>
      <w:tr>
        <w:trPr>
          <w:trHeight w:val="243"/>
        </w:trPr>
        <w:tc>
          <w:tcPr>
            <w:tcW w:w="7340" w:type="dxa"/>
            <w:vAlign w:val="bottom"/>
          </w:tcPr>
          <w:p>
            <w:pPr>
              <w:ind w:left="20"/>
              <w:spacing w:after="0"/>
              <w:rPr>
                <w:sz w:val="20"/>
                <w:szCs w:val="20"/>
                <w:color w:val="auto"/>
              </w:rPr>
            </w:pPr>
            <w:r>
              <w:rPr>
                <w:rFonts w:ascii="Arial" w:cs="Arial" w:eastAsia="Arial" w:hAnsi="Arial"/>
                <w:sz w:val="15"/>
                <w:szCs w:val="15"/>
                <w:color w:val="auto"/>
              </w:rPr>
              <w:t>Payroll costs</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(5,593)</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(8,319)</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183964"/>
              </w:rPr>
              <w:t>2,726</w:t>
            </w:r>
          </w:p>
        </w:tc>
      </w:tr>
      <w:tr>
        <w:trPr>
          <w:trHeight w:val="243"/>
        </w:trPr>
        <w:tc>
          <w:tcPr>
            <w:tcW w:w="7340" w:type="dxa"/>
            <w:vAlign w:val="bottom"/>
          </w:tcPr>
          <w:p>
            <w:pPr>
              <w:ind w:left="20"/>
              <w:spacing w:after="0"/>
              <w:rPr>
                <w:sz w:val="20"/>
                <w:szCs w:val="20"/>
                <w:color w:val="auto"/>
              </w:rPr>
            </w:pPr>
            <w:r>
              <w:rPr>
                <w:rFonts w:ascii="Arial" w:cs="Arial" w:eastAsia="Arial" w:hAnsi="Arial"/>
                <w:sz w:val="15"/>
                <w:szCs w:val="15"/>
                <w:color w:val="auto"/>
              </w:rPr>
              <w:t>Facilities and other expenses</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(391)</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(826)</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183964"/>
              </w:rPr>
              <w:t>435</w:t>
            </w:r>
          </w:p>
        </w:tc>
      </w:tr>
      <w:tr>
        <w:trPr>
          <w:trHeight w:val="25"/>
        </w:trPr>
        <w:tc>
          <w:tcPr>
            <w:tcW w:w="734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40" w:type="dxa"/>
            <w:vAlign w:val="bottom"/>
            <w:tcBorders>
              <w:bottom w:val="single" w:sz="8" w:color="183964"/>
            </w:tcBorders>
          </w:tcPr>
          <w:p>
            <w:pPr>
              <w:spacing w:after="0"/>
              <w:rPr>
                <w:sz w:val="2"/>
                <w:szCs w:val="2"/>
                <w:color w:val="auto"/>
              </w:rPr>
            </w:pPr>
          </w:p>
        </w:tc>
        <w:tc>
          <w:tcPr>
            <w:tcW w:w="840" w:type="dxa"/>
            <w:vAlign w:val="bottom"/>
            <w:tcBorders>
              <w:bottom w:val="single" w:sz="8" w:color="183964"/>
            </w:tcBorders>
          </w:tcPr>
          <w:p>
            <w:pPr>
              <w:spacing w:after="0"/>
              <w:rPr>
                <w:sz w:val="2"/>
                <w:szCs w:val="2"/>
                <w:color w:val="auto"/>
              </w:rPr>
            </w:pPr>
          </w:p>
        </w:tc>
      </w:tr>
      <w:tr>
        <w:trPr>
          <w:trHeight w:val="212"/>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Total Research and Development Expenses:</w:t>
            </w:r>
          </w:p>
        </w:tc>
        <w:tc>
          <w:tcPr>
            <w:tcW w:w="400" w:type="dxa"/>
            <w:vAlign w:val="bottom"/>
          </w:tcPr>
          <w:p>
            <w:pPr>
              <w:jc w:val="right"/>
              <w:ind w:right="22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(24,900)</w:t>
            </w:r>
          </w:p>
        </w:tc>
        <w:tc>
          <w:tcPr>
            <w:tcW w:w="400" w:type="dxa"/>
            <w:vAlign w:val="bottom"/>
          </w:tcPr>
          <w:p>
            <w:pPr>
              <w:jc w:val="right"/>
              <w:ind w:right="224"/>
              <w:spacing w:after="0"/>
              <w:rPr>
                <w:sz w:val="20"/>
                <w:szCs w:val="20"/>
                <w:color w:val="auto"/>
              </w:rPr>
            </w:pPr>
            <w:r>
              <w:rPr>
                <w:rFonts w:ascii="Arial" w:cs="Arial" w:eastAsia="Arial" w:hAnsi="Arial"/>
                <w:sz w:val="15"/>
                <w:szCs w:val="15"/>
                <w:color w:val="183964"/>
                <w:w w:val="95"/>
              </w:rPr>
              <w:t>$</w:t>
            </w:r>
          </w:p>
        </w:tc>
        <w:tc>
          <w:tcPr>
            <w:tcW w:w="900" w:type="dxa"/>
            <w:vAlign w:val="bottom"/>
          </w:tcPr>
          <w:p>
            <w:pPr>
              <w:jc w:val="right"/>
              <w:spacing w:after="0"/>
              <w:rPr>
                <w:sz w:val="20"/>
                <w:szCs w:val="20"/>
                <w:color w:val="auto"/>
              </w:rPr>
            </w:pPr>
            <w:r>
              <w:rPr>
                <w:rFonts w:ascii="Arial" w:cs="Arial" w:eastAsia="Arial" w:hAnsi="Arial"/>
                <w:sz w:val="15"/>
                <w:szCs w:val="15"/>
                <w:color w:val="183964"/>
              </w:rPr>
              <w:t>(38,928)</w:t>
            </w:r>
          </w:p>
        </w:tc>
        <w:tc>
          <w:tcPr>
            <w:tcW w:w="440" w:type="dxa"/>
            <w:vAlign w:val="bottom"/>
          </w:tcPr>
          <w:p>
            <w:pPr>
              <w:jc w:val="right"/>
              <w:ind w:right="264"/>
              <w:spacing w:after="0"/>
              <w:rPr>
                <w:sz w:val="20"/>
                <w:szCs w:val="20"/>
                <w:color w:val="auto"/>
              </w:rPr>
            </w:pPr>
            <w:r>
              <w:rPr>
                <w:rFonts w:ascii="Arial" w:cs="Arial" w:eastAsia="Arial" w:hAnsi="Arial"/>
                <w:sz w:val="15"/>
                <w:szCs w:val="15"/>
                <w:color w:val="183964"/>
                <w:w w:val="95"/>
              </w:rPr>
              <w:t>$</w:t>
            </w:r>
          </w:p>
        </w:tc>
        <w:tc>
          <w:tcPr>
            <w:tcW w:w="840" w:type="dxa"/>
            <w:vAlign w:val="bottom"/>
          </w:tcPr>
          <w:p>
            <w:pPr>
              <w:jc w:val="right"/>
              <w:spacing w:after="0"/>
              <w:rPr>
                <w:sz w:val="20"/>
                <w:szCs w:val="20"/>
                <w:color w:val="auto"/>
              </w:rPr>
            </w:pPr>
            <w:r>
              <w:rPr>
                <w:rFonts w:ascii="Arial" w:cs="Arial" w:eastAsia="Arial" w:hAnsi="Arial"/>
                <w:sz w:val="15"/>
                <w:szCs w:val="15"/>
                <w:color w:val="183964"/>
              </w:rPr>
              <w:t>14,029</w:t>
            </w:r>
          </w:p>
        </w:tc>
      </w:tr>
      <w:tr>
        <w:trPr>
          <w:trHeight w:val="25"/>
        </w:trPr>
        <w:tc>
          <w:tcPr>
            <w:tcW w:w="734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40" w:type="dxa"/>
            <w:vAlign w:val="bottom"/>
            <w:tcBorders>
              <w:bottom w:val="single" w:sz="8" w:color="183964"/>
            </w:tcBorders>
          </w:tcPr>
          <w:p>
            <w:pPr>
              <w:spacing w:after="0"/>
              <w:rPr>
                <w:sz w:val="2"/>
                <w:szCs w:val="2"/>
                <w:color w:val="auto"/>
              </w:rPr>
            </w:pPr>
          </w:p>
        </w:tc>
        <w:tc>
          <w:tcPr>
            <w:tcW w:w="840" w:type="dxa"/>
            <w:vAlign w:val="bottom"/>
            <w:tcBorders>
              <w:bottom w:val="single" w:sz="8" w:color="183964"/>
            </w:tcBorders>
          </w:tcPr>
          <w:p>
            <w:pPr>
              <w:spacing w:after="0"/>
              <w:rPr>
                <w:sz w:val="2"/>
                <w:szCs w:val="2"/>
                <w:color w:val="auto"/>
              </w:rPr>
            </w:pPr>
          </w:p>
        </w:tc>
      </w:tr>
    </w:tbl>
    <w:p>
      <w:pPr>
        <w:spacing w:after="0" w:line="81" w:lineRule="exact"/>
        <w:rPr>
          <w:sz w:val="20"/>
          <w:szCs w:val="20"/>
          <w:color w:val="auto"/>
        </w:rPr>
      </w:pPr>
    </w:p>
    <w:p>
      <w:pPr>
        <w:sectPr>
          <w:pgSz w:w="11900" w:h="16838" w:orient="portrait"/>
          <w:cols w:equalWidth="0" w:num="1">
            <w:col w:w="11220"/>
          </w:cols>
          <w:pgMar w:left="320" w:top="1241" w:right="359" w:bottom="1440" w:gutter="0" w:footer="0" w:header="0"/>
        </w:sectPr>
      </w:pPr>
    </w:p>
    <w:p>
      <w:pPr>
        <w:spacing w:after="0"/>
        <w:rPr>
          <w:sz w:val="20"/>
          <w:szCs w:val="20"/>
          <w:color w:val="auto"/>
        </w:rPr>
      </w:pPr>
      <w:r>
        <w:rPr>
          <w:rFonts w:ascii="Arial" w:cs="Arial" w:eastAsia="Arial" w:hAnsi="Arial"/>
          <w:sz w:val="10"/>
          <w:szCs w:val="10"/>
          <w:color w:val="183964"/>
        </w:rPr>
        <w:t>*Now Known as GlyphAllo (SPT-300)</w:t>
      </w:r>
    </w:p>
    <w:p>
      <w:pPr>
        <w:sectPr>
          <w:pgSz w:w="11900" w:h="16838" w:orient="portrait"/>
          <w:cols w:equalWidth="0" w:num="1">
            <w:col w:w="11220"/>
          </w:cols>
          <w:pgMar w:left="320" w:top="1241" w:right="359" w:bottom="1440" w:gutter="0" w:footer="0" w:header="0"/>
          <w:type w:val="continuous"/>
        </w:sectPr>
      </w:pPr>
    </w:p>
    <w:bookmarkStart w:id="17" w:name="page18"/>
    <w:bookmarkEnd w:id="17"/>
    <w:p>
      <w:pPr>
        <w:ind w:right="20"/>
        <w:spacing w:after="0" w:line="283" w:lineRule="auto"/>
        <w:rPr>
          <w:sz w:val="20"/>
          <w:szCs w:val="20"/>
          <w:color w:val="auto"/>
        </w:rPr>
      </w:pPr>
      <w:r>
        <w:rPr>
          <w:rFonts w:ascii="Arial" w:cs="Arial" w:eastAsia="Arial" w:hAnsi="Arial"/>
          <w:sz w:val="15"/>
          <w:szCs w:val="15"/>
          <w:color w:val="auto"/>
        </w:rPr>
        <w:t>Our research and development expenses were $24.9 million for the six months ended June 30, 2025, a decrease of $14.0 million, or 36% compared to the six months ended June 30, 2024.</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 decrease in research and development expenses in 2025 is driven by the following changes in program costs:</w:t>
      </w:r>
    </w:p>
    <w:p>
      <w:pPr>
        <w:spacing w:after="0" w:line="111" w:lineRule="exact"/>
        <w:rPr>
          <w:sz w:val="20"/>
          <w:szCs w:val="20"/>
          <w:color w:val="auto"/>
        </w:rPr>
      </w:pPr>
    </w:p>
    <w:p>
      <w:pPr>
        <w:ind w:left="220" w:right="560" w:hanging="212"/>
        <w:spacing w:after="0" w:line="261" w:lineRule="auto"/>
        <w:tabs>
          <w:tab w:leader="none" w:pos="191" w:val="left"/>
        </w:tabs>
        <w:numPr>
          <w:ilvl w:val="0"/>
          <w:numId w:val="12"/>
        </w:numPr>
        <w:rPr>
          <w:rFonts w:ascii="Arial" w:cs="Arial" w:eastAsia="Arial" w:hAnsi="Arial"/>
          <w:sz w:val="15"/>
          <w:szCs w:val="15"/>
          <w:color w:val="auto"/>
        </w:rPr>
      </w:pPr>
      <w:r>
        <w:rPr>
          <w:rFonts w:ascii="Arial" w:cs="Arial" w:eastAsia="Arial" w:hAnsi="Arial"/>
          <w:sz w:val="15"/>
          <w:szCs w:val="15"/>
          <w:color w:val="auto"/>
        </w:rPr>
        <w:t>Decrease in deupirfenidone program costs of $3.7 million is due to the completion of phase II study and data readout in December 2024 and corresponding reduction in clinical operating expense as preparation activities for the phase III study were executed during 2025.</w:t>
      </w:r>
    </w:p>
    <w:p>
      <w:pPr>
        <w:ind w:left="180" w:hanging="172"/>
        <w:spacing w:after="0"/>
        <w:tabs>
          <w:tab w:leader="none" w:pos="1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Decrease in LYT-200 program costs of $0.4 million is due to the completion of the solid tumors Phase 1b portion of the program.</w:t>
      </w:r>
    </w:p>
    <w:p>
      <w:pPr>
        <w:spacing w:after="0" w:line="5" w:lineRule="exact"/>
        <w:rPr>
          <w:rFonts w:ascii="Arial" w:cs="Arial" w:eastAsia="Arial" w:hAnsi="Arial"/>
          <w:sz w:val="15"/>
          <w:szCs w:val="15"/>
          <w:color w:val="auto"/>
        </w:rPr>
      </w:pPr>
    </w:p>
    <w:p>
      <w:pPr>
        <w:jc w:val="both"/>
        <w:ind w:left="220" w:right="120" w:hanging="212"/>
        <w:spacing w:after="0" w:line="256" w:lineRule="auto"/>
        <w:tabs>
          <w:tab w:leader="none" w:pos="191" w:val="left"/>
        </w:tabs>
        <w:numPr>
          <w:ilvl w:val="0"/>
          <w:numId w:val="12"/>
        </w:numPr>
        <w:rPr>
          <w:rFonts w:ascii="Arial" w:cs="Arial" w:eastAsia="Arial" w:hAnsi="Arial"/>
          <w:sz w:val="15"/>
          <w:szCs w:val="15"/>
          <w:color w:val="auto"/>
        </w:rPr>
      </w:pPr>
      <w:r>
        <w:rPr>
          <w:rFonts w:ascii="Arial" w:cs="Arial" w:eastAsia="Arial" w:hAnsi="Arial"/>
          <w:sz w:val="15"/>
          <w:szCs w:val="15"/>
          <w:color w:val="auto"/>
        </w:rPr>
        <w:t>Decrease in LYT-300 program costs of $0.7 million and decrease in wholly owned PureTech Platform and other non-clinical programs costs of $4.4 million are due to the development of LYT-300 program and Glyph platform, now owned by Seaport, our Founded Entity, which was deconsolidated in October, 2024. As a result, there are no costs recorded for the LYT-300 program or Glyph platform for the six months ended June 30, 2025.</w:t>
      </w:r>
    </w:p>
    <w:p>
      <w:pPr>
        <w:spacing w:after="0" w:line="1" w:lineRule="exact"/>
        <w:rPr>
          <w:rFonts w:ascii="Arial" w:cs="Arial" w:eastAsia="Arial" w:hAnsi="Arial"/>
          <w:sz w:val="15"/>
          <w:szCs w:val="15"/>
          <w:color w:val="auto"/>
        </w:rPr>
      </w:pPr>
    </w:p>
    <w:p>
      <w:pPr>
        <w:ind w:left="220" w:right="1080" w:hanging="212"/>
        <w:spacing w:after="0" w:line="253" w:lineRule="auto"/>
        <w:tabs>
          <w:tab w:leader="none" w:pos="191"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Controlled Founded Entities program costs in 2024 pertain entirely to Seaport’s LYT-300 program during the period of consolidation and until its deconsolidation in October 2024.</w:t>
      </w:r>
    </w:p>
    <w:p>
      <w:pPr>
        <w:ind w:left="180" w:hanging="172"/>
        <w:spacing w:after="0"/>
        <w:tabs>
          <w:tab w:leader="none" w:pos="1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Decrease in payroll costs of $2.7 million is driven by an overall reduction in headcount, primarily driven by the deconsolidation of Seaport in October 2024.</w:t>
      </w:r>
    </w:p>
    <w:p>
      <w:pPr>
        <w:spacing w:after="0" w:line="13" w:lineRule="exact"/>
        <w:rPr>
          <w:rFonts w:ascii="Arial" w:cs="Arial" w:eastAsia="Arial" w:hAnsi="Arial"/>
          <w:sz w:val="15"/>
          <w:szCs w:val="15"/>
          <w:color w:val="auto"/>
        </w:rPr>
      </w:pPr>
    </w:p>
    <w:p>
      <w:pPr>
        <w:ind w:left="220" w:right="280" w:hanging="212"/>
        <w:spacing w:after="0" w:line="285" w:lineRule="auto"/>
        <w:tabs>
          <w:tab w:leader="none" w:pos="191" w:val="left"/>
        </w:tabs>
        <w:numPr>
          <w:ilvl w:val="0"/>
          <w:numId w:val="12"/>
        </w:numPr>
        <w:rPr>
          <w:rFonts w:ascii="Arial" w:cs="Arial" w:eastAsia="Arial" w:hAnsi="Arial"/>
          <w:sz w:val="15"/>
          <w:szCs w:val="15"/>
          <w:color w:val="auto"/>
        </w:rPr>
      </w:pPr>
      <w:r>
        <w:rPr>
          <w:rFonts w:ascii="Arial" w:cs="Arial" w:eastAsia="Arial" w:hAnsi="Arial"/>
          <w:sz w:val="15"/>
          <w:szCs w:val="15"/>
          <w:color w:val="auto"/>
        </w:rPr>
        <w:t>Decrease in facilities and other expenses of $0.4 million is primarily driven by lower consulting spend in 2025 and lower depreciation expense resulting from the lower fixed asset balance in 2025.</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183964"/>
        </w:rPr>
        <w:t>Total Other Income/(Expense)</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Total other income was $1.0 million for the six months ended June 30, 2025 compared to $16.2 million for the six months ended June 30, 2024, a decrease of</w:t>
      </w:r>
    </w:p>
    <w:p>
      <w:pPr>
        <w:spacing w:after="0" w:line="14"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$15.2 million, or 94%. The decrease in other income was primarily attributable to the changes in the fair value of notes from associates: A loss of $3.7 million in the six months ended June 30, 2025 attributed to the decrease in the fair value of the Vedanta convertible debt compared to a gain of $11.6 million in the six months ended June 30, 2024 attributed to the increase in the fair value of the Gelesis notes. This change resulted in a decrease in other income of $15.3 million.</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183964"/>
        </w:rPr>
        <w:t>Net Finance Income/(Costs)</w:t>
      </w:r>
    </w:p>
    <w:p>
      <w:pPr>
        <w:spacing w:after="0" w:line="28"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Net finance income was $6.4 million for the six months ended June 30, 2025, compared to an expense of $1.5 million for the six months ended June 30, 2024, an increase of net finance income of $7.8 million or 534%. The increase in net finance income is primarily attributed to a decrease in non-cash interest expense related to the sale of future royalties liability resulting from a change in forecast for Cobenfy sales, partially offset by a decrease in interest income resulting from lower cash and cash equivalents and short-term investments balances in the six months ended June 30, 2025.</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183964"/>
        </w:rPr>
        <w:t>Share of Net Income/(loss) of Associates Accounted for Using the Equity Method</w:t>
      </w:r>
    </w:p>
    <w:p>
      <w:pPr>
        <w:spacing w:after="0" w:line="28" w:lineRule="exact"/>
        <w:rPr>
          <w:sz w:val="20"/>
          <w:szCs w:val="20"/>
          <w:color w:val="auto"/>
        </w:rPr>
      </w:pPr>
    </w:p>
    <w:p>
      <w:pPr>
        <w:jc w:val="both"/>
        <w:ind w:right="160"/>
        <w:spacing w:after="0" w:line="265" w:lineRule="auto"/>
        <w:rPr>
          <w:sz w:val="20"/>
          <w:szCs w:val="20"/>
          <w:color w:val="auto"/>
        </w:rPr>
      </w:pPr>
      <w:r>
        <w:rPr>
          <w:rFonts w:ascii="Arial" w:cs="Arial" w:eastAsia="Arial" w:hAnsi="Arial"/>
          <w:sz w:val="15"/>
          <w:szCs w:val="15"/>
          <w:color w:val="auto"/>
        </w:rPr>
        <w:t>For the six months ended June 30, 2025, the share in net loss of associates reported under the equity method was $4.0 million as compared to the share in net loss of associates of $3.4 million for the six months ended June 30, 2024, an increase in loss of $0.6 million or 19%. The increase in loss was primarily attributable to the Group's share of net loss from Seaport accounted for under the equity method upon deconsolidation in October, 2024.</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183964"/>
        </w:rPr>
        <w:t>Taxation</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For the six months ended June 30, 2025, the income tax expense was $0.9 million, compared to an income tax benefit of $6.1 million for the six months ended June</w:t>
      </w:r>
    </w:p>
    <w:p>
      <w:pPr>
        <w:spacing w:after="0" w:line="3" w:lineRule="exact"/>
        <w:rPr>
          <w:sz w:val="20"/>
          <w:szCs w:val="20"/>
          <w:color w:val="auto"/>
        </w:rPr>
      </w:pPr>
    </w:p>
    <w:p>
      <w:pPr>
        <w:ind w:right="100"/>
        <w:spacing w:after="0" w:line="234" w:lineRule="auto"/>
        <w:rPr>
          <w:sz w:val="20"/>
          <w:szCs w:val="20"/>
          <w:color w:val="auto"/>
        </w:rPr>
      </w:pPr>
      <w:r>
        <w:rPr>
          <w:rFonts w:ascii="Arial" w:cs="Arial" w:eastAsia="Arial" w:hAnsi="Arial"/>
          <w:sz w:val="15"/>
          <w:szCs w:val="15"/>
          <w:color w:val="auto"/>
        </w:rPr>
        <w:t>30, 2024, a decrease in income tax benefit of $ 7.1 million or 115%. The income tax benefit recorded during the six months ended June 30, 2024 was primarily due to the recognition of a discrete income tax benefit related to the capital loss from the Akili investment, which was a non-recurring event. Income tax expense recorded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during the six months ended June 30, 2025 relates to the recognition of a reserve for an uncertain tax position.</w:t>
      </w:r>
    </w:p>
    <w:p>
      <w:pPr>
        <w:sectPr>
          <w:pgSz w:w="11900" w:h="16838" w:orient="portrait"/>
          <w:cols w:equalWidth="0" w:num="1">
            <w:col w:w="11240"/>
          </w:cols>
          <w:pgMar w:left="320" w:top="1243" w:right="33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color w:val="183964"/>
        </w:rPr>
        <w:t>Material Accounting Policies and Significant Judgments and Estimates</w:t>
      </w:r>
    </w:p>
    <w:p>
      <w:pPr>
        <w:spacing w:after="0" w:line="100"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 xml:space="preserve">Our financial review of the financial condition and results of operations is based on our interim financial statements, which we have prepared in accordance with International Accounting Standards 34 </w:t>
      </w:r>
      <w:r>
        <w:rPr>
          <w:rFonts w:ascii="Arial" w:cs="Arial" w:eastAsia="Arial" w:hAnsi="Arial"/>
          <w:sz w:val="15"/>
          <w:szCs w:val="15"/>
          <w:i w:val="1"/>
          <w:iCs w:val="1"/>
          <w:color w:val="auto"/>
        </w:rPr>
        <w:t>Interim Financial Reporting</w:t>
      </w:r>
      <w:r>
        <w:rPr>
          <w:rFonts w:ascii="Arial" w:cs="Arial" w:eastAsia="Arial" w:hAnsi="Arial"/>
          <w:sz w:val="15"/>
          <w:szCs w:val="15"/>
          <w:color w:val="auto"/>
        </w:rPr>
        <w:t xml:space="preserve"> as adopted for use in the UK and also comply fully with IAS 34 as issued by the International Accounting Standards Board. In the preparation of these financial statements,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 under different assumptions or conditions.</w:t>
      </w:r>
    </w:p>
    <w:p>
      <w:pPr>
        <w:spacing w:after="0" w:line="54"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auto"/>
        </w:rPr>
        <w:t>Our estimates and assumptions are reviewed on an ongoing basis. Revisions to accounting estimates are recognized in the period in which the estimate is revised if the revision affects only that period or in the period of the revisions and future periods if the revision affects both current and future periods.</w:t>
      </w:r>
    </w:p>
    <w:p>
      <w:pPr>
        <w:spacing w:after="0" w:line="26" w:lineRule="exact"/>
        <w:rPr>
          <w:sz w:val="20"/>
          <w:szCs w:val="20"/>
          <w:color w:val="auto"/>
        </w:rPr>
      </w:pPr>
    </w:p>
    <w:p>
      <w:pPr>
        <w:ind w:right="100"/>
        <w:spacing w:after="0" w:line="269" w:lineRule="auto"/>
        <w:rPr>
          <w:sz w:val="20"/>
          <w:szCs w:val="20"/>
          <w:color w:val="auto"/>
        </w:rPr>
      </w:pPr>
      <w:r>
        <w:rPr>
          <w:rFonts w:ascii="Arial" w:cs="Arial" w:eastAsia="Arial" w:hAnsi="Arial"/>
          <w:sz w:val="15"/>
          <w:szCs w:val="15"/>
          <w:color w:val="auto"/>
        </w:rPr>
        <w:t>The accounting policies most critical to the judgments and estimates used in the preparation of our financial statements have not changed from those disclosed in Note 1. Material Accounting Policies of the accompanying notes to the Consolidated Financial Statements included in our 2024 Annual Report and Accounts except for the adoption of new and amended IFRS Accounting Standards as set out in Note 2. New Standards and Interpretations to our Condensed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Cash Flow and Liquidity</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Our cash flows may fluctuate and are difficult to forecast and will depend on many factors, including:</w:t>
      </w:r>
    </w:p>
    <w:p>
      <w:pPr>
        <w:spacing w:after="0" w:line="111"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expenses incurred in the development of wholly-owned and Controlled Founded Entity therapeutic candidates;</w:t>
      </w:r>
    </w:p>
    <w:p>
      <w:pPr>
        <w:spacing w:after="0" w:line="17" w:lineRule="exact"/>
        <w:rPr>
          <w:rFonts w:ascii="Arial" w:cs="Arial" w:eastAsia="Arial" w:hAnsi="Arial"/>
          <w:sz w:val="15"/>
          <w:szCs w:val="15"/>
          <w:color w:val="auto"/>
        </w:rPr>
      </w:pPr>
    </w:p>
    <w:p>
      <w:pPr>
        <w:ind w:left="180" w:hanging="172"/>
        <w:spacing w:after="0"/>
        <w:tabs>
          <w:tab w:leader="none" w:pos="1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revenue, if any, generated by wholly-owned and Controlled-Founded Entity therapeutic candidates;</w:t>
      </w:r>
    </w:p>
    <w:p>
      <w:pPr>
        <w:spacing w:after="0" w:line="13" w:lineRule="exact"/>
        <w:rPr>
          <w:rFonts w:ascii="Arial" w:cs="Arial" w:eastAsia="Arial" w:hAnsi="Arial"/>
          <w:sz w:val="15"/>
          <w:szCs w:val="15"/>
          <w:color w:val="auto"/>
        </w:rPr>
      </w:pPr>
    </w:p>
    <w:p>
      <w:pPr>
        <w:ind w:left="180" w:hanging="172"/>
        <w:spacing w:after="0"/>
        <w:tabs>
          <w:tab w:leader="none" w:pos="1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revenue, if any, generated from licensing and royalty agreements with Founded Entities;</w:t>
      </w:r>
    </w:p>
    <w:p>
      <w:pPr>
        <w:spacing w:after="0" w:line="5" w:lineRule="exact"/>
        <w:rPr>
          <w:rFonts w:ascii="Arial" w:cs="Arial" w:eastAsia="Arial" w:hAnsi="Arial"/>
          <w:sz w:val="15"/>
          <w:szCs w:val="15"/>
          <w:color w:val="auto"/>
        </w:rPr>
      </w:pPr>
    </w:p>
    <w:p>
      <w:pPr>
        <w:ind w:left="180" w:hanging="172"/>
        <w:spacing w:after="0"/>
        <w:tabs>
          <w:tab w:leader="none" w:pos="1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financing requirements of the Wholly-Owned Programs and our Founded Entities; and</w:t>
      </w:r>
    </w:p>
    <w:p>
      <w:pPr>
        <w:spacing w:after="0" w:line="13" w:lineRule="exact"/>
        <w:rPr>
          <w:rFonts w:ascii="Arial" w:cs="Arial" w:eastAsia="Arial" w:hAnsi="Arial"/>
          <w:sz w:val="15"/>
          <w:szCs w:val="15"/>
          <w:color w:val="auto"/>
        </w:rPr>
      </w:pPr>
    </w:p>
    <w:p>
      <w:pPr>
        <w:ind w:left="180" w:hanging="172"/>
        <w:spacing w:after="0"/>
        <w:tabs>
          <w:tab w:leader="none" w:pos="1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investing activities including the monetization, through sale, of shares held in our public Founded Entities.</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As of June 30, 2025, we had consolidated cash and cash equivalents of $260.6 million and short term investments of $59.3 million. As of June 30, 2025, we had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PureTech Level cash, cash equivalents and short-term investments of $319.6 million. PureTech Level cash, cash equivalents and short term investments is a non-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IFRS measure (for a definition of PureTech Level cash, cash equivalents and short term investments and a reconciliation to the IFRS number, see the section</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Measuring Performance earlier in this Financial Review).</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183964"/>
        </w:rPr>
        <w:t>Cash Flows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cash flows for each of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gridSpan w:val="3"/>
          </w:tcPr>
          <w:p>
            <w:pPr>
              <w:jc w:val="right"/>
              <w:ind w:right="466"/>
              <w:spacing w:after="0"/>
              <w:rPr>
                <w:sz w:val="20"/>
                <w:szCs w:val="20"/>
                <w:color w:val="auto"/>
              </w:rPr>
            </w:pPr>
            <w:r>
              <w:rPr>
                <w:rFonts w:ascii="Arial" w:cs="Arial" w:eastAsia="Arial" w:hAnsi="Arial"/>
                <w:sz w:val="13"/>
                <w:szCs w:val="13"/>
                <w:color w:val="183964"/>
              </w:rPr>
              <w:t>Six Months Ended June 30,</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8"/>
        </w:trPr>
        <w:tc>
          <w:tcPr>
            <w:tcW w:w="7340" w:type="dxa"/>
            <w:vAlign w:val="bottom"/>
          </w:tcPr>
          <w:p>
            <w:pPr>
              <w:spacing w:after="0"/>
              <w:rPr>
                <w:sz w:val="2"/>
                <w:szCs w:val="2"/>
                <w:color w:val="auto"/>
              </w:rPr>
            </w:pPr>
          </w:p>
        </w:tc>
        <w:tc>
          <w:tcPr>
            <w:tcW w:w="320" w:type="dxa"/>
            <w:vAlign w:val="bottom"/>
            <w:tcBorders>
              <w:bottom w:val="single" w:sz="8" w:color="183964"/>
            </w:tcBorders>
          </w:tcPr>
          <w:p>
            <w:pPr>
              <w:spacing w:after="0"/>
              <w:rPr>
                <w:sz w:val="2"/>
                <w:szCs w:val="2"/>
                <w:color w:val="auto"/>
              </w:rPr>
            </w:pPr>
          </w:p>
        </w:tc>
        <w:tc>
          <w:tcPr>
            <w:tcW w:w="980" w:type="dxa"/>
            <w:vAlign w:val="bottom"/>
            <w:tcBorders>
              <w:bottom w:val="single" w:sz="8" w:color="183964"/>
            </w:tcBorders>
          </w:tcPr>
          <w:p>
            <w:pPr>
              <w:spacing w:after="0"/>
              <w:rPr>
                <w:sz w:val="2"/>
                <w:szCs w:val="2"/>
                <w:color w:val="auto"/>
              </w:rPr>
            </w:pPr>
          </w:p>
        </w:tc>
        <w:tc>
          <w:tcPr>
            <w:tcW w:w="38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340" w:type="dxa"/>
            <w:vAlign w:val="bottom"/>
            <w:tcBorders>
              <w:bottom w:val="single" w:sz="8" w:color="183964"/>
            </w:tcBorders>
          </w:tcPr>
          <w:p>
            <w:pPr>
              <w:spacing w:after="0"/>
              <w:rPr>
                <w:sz w:val="2"/>
                <w:szCs w:val="2"/>
                <w:color w:val="auto"/>
              </w:rPr>
            </w:pPr>
          </w:p>
        </w:tc>
        <w:tc>
          <w:tcPr>
            <w:tcW w:w="940" w:type="dxa"/>
            <w:vAlign w:val="bottom"/>
            <w:tcBorders>
              <w:bottom w:val="single" w:sz="8" w:color="183964"/>
            </w:tcBorders>
          </w:tcPr>
          <w:p>
            <w:pPr>
              <w:spacing w:after="0"/>
              <w:rPr>
                <w:sz w:val="2"/>
                <w:szCs w:val="2"/>
                <w:color w:val="auto"/>
              </w:rPr>
            </w:pPr>
          </w:p>
        </w:tc>
      </w:tr>
      <w:tr>
        <w:trPr>
          <w:trHeight w:val="175"/>
        </w:trPr>
        <w:tc>
          <w:tcPr>
            <w:tcW w:w="734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83964"/>
              </w:rPr>
              <w:t>2024</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83964"/>
              </w:rPr>
              <w:t>Change</w:t>
            </w:r>
          </w:p>
        </w:tc>
      </w:tr>
      <w:tr>
        <w:trPr>
          <w:trHeight w:val="22"/>
        </w:trPr>
        <w:tc>
          <w:tcPr>
            <w:tcW w:w="7340" w:type="dxa"/>
            <w:vAlign w:val="bottom"/>
            <w:tcBorders>
              <w:bottom w:val="single" w:sz="8" w:color="183964"/>
            </w:tcBorders>
          </w:tcPr>
          <w:p>
            <w:pPr>
              <w:spacing w:after="0" w:line="20" w:lineRule="exact"/>
              <w:rPr>
                <w:sz w:val="1"/>
                <w:szCs w:val="1"/>
                <w:color w:val="auto"/>
              </w:rPr>
            </w:pPr>
          </w:p>
        </w:tc>
        <w:tc>
          <w:tcPr>
            <w:tcW w:w="320" w:type="dxa"/>
            <w:vAlign w:val="bottom"/>
            <w:tcBorders>
              <w:bottom w:val="single" w:sz="8" w:color="183964"/>
            </w:tcBorders>
          </w:tcPr>
          <w:p>
            <w:pPr>
              <w:spacing w:after="0" w:line="20" w:lineRule="exact"/>
              <w:rPr>
                <w:sz w:val="1"/>
                <w:szCs w:val="1"/>
                <w:color w:val="auto"/>
              </w:rPr>
            </w:pPr>
          </w:p>
        </w:tc>
        <w:tc>
          <w:tcPr>
            <w:tcW w:w="980" w:type="dxa"/>
            <w:vAlign w:val="bottom"/>
            <w:tcBorders>
              <w:bottom w:val="single" w:sz="8" w:color="183964"/>
            </w:tcBorders>
          </w:tcPr>
          <w:p>
            <w:pPr>
              <w:spacing w:after="0" w:line="20" w:lineRule="exact"/>
              <w:rPr>
                <w:sz w:val="1"/>
                <w:szCs w:val="1"/>
                <w:color w:val="auto"/>
              </w:rPr>
            </w:pPr>
          </w:p>
        </w:tc>
        <w:tc>
          <w:tcPr>
            <w:tcW w:w="380" w:type="dxa"/>
            <w:vAlign w:val="bottom"/>
            <w:tcBorders>
              <w:bottom w:val="single" w:sz="8" w:color="183964"/>
            </w:tcBorders>
          </w:tcPr>
          <w:p>
            <w:pPr>
              <w:spacing w:after="0" w:line="20" w:lineRule="exact"/>
              <w:rPr>
                <w:sz w:val="1"/>
                <w:szCs w:val="1"/>
                <w:color w:val="auto"/>
              </w:rPr>
            </w:pPr>
          </w:p>
        </w:tc>
        <w:tc>
          <w:tcPr>
            <w:tcW w:w="920" w:type="dxa"/>
            <w:vAlign w:val="bottom"/>
            <w:tcBorders>
              <w:bottom w:val="single" w:sz="8" w:color="183964"/>
            </w:tcBorders>
          </w:tcPr>
          <w:p>
            <w:pPr>
              <w:spacing w:after="0" w:line="20" w:lineRule="exact"/>
              <w:rPr>
                <w:sz w:val="1"/>
                <w:szCs w:val="1"/>
                <w:color w:val="auto"/>
              </w:rPr>
            </w:pPr>
          </w:p>
        </w:tc>
        <w:tc>
          <w:tcPr>
            <w:tcW w:w="340" w:type="dxa"/>
            <w:vAlign w:val="bottom"/>
            <w:tcBorders>
              <w:bottom w:val="single" w:sz="8" w:color="183964"/>
            </w:tcBorders>
          </w:tcPr>
          <w:p>
            <w:pPr>
              <w:spacing w:after="0" w:line="20" w:lineRule="exact"/>
              <w:rPr>
                <w:sz w:val="1"/>
                <w:szCs w:val="1"/>
                <w:color w:val="auto"/>
              </w:rPr>
            </w:pPr>
          </w:p>
        </w:tc>
        <w:tc>
          <w:tcPr>
            <w:tcW w:w="940" w:type="dxa"/>
            <w:vAlign w:val="bottom"/>
            <w:tcBorders>
              <w:bottom w:val="single" w:sz="8" w:color="183964"/>
            </w:tcBorders>
          </w:tcPr>
          <w:p>
            <w:pPr>
              <w:spacing w:after="0" w:line="20" w:lineRule="exact"/>
              <w:rPr>
                <w:sz w:val="1"/>
                <w:szCs w:val="1"/>
                <w:color w:val="auto"/>
              </w:rPr>
            </w:pPr>
          </w:p>
        </w:tc>
      </w:tr>
      <w:tr>
        <w:trPr>
          <w:trHeight w:val="211"/>
        </w:trPr>
        <w:tc>
          <w:tcPr>
            <w:tcW w:w="7340" w:type="dxa"/>
            <w:vAlign w:val="bottom"/>
          </w:tcPr>
          <w:p>
            <w:pPr>
              <w:ind w:left="20"/>
              <w:spacing w:after="0"/>
              <w:rPr>
                <w:sz w:val="20"/>
                <w:szCs w:val="20"/>
                <w:color w:val="auto"/>
              </w:rPr>
            </w:pPr>
            <w:r>
              <w:rPr>
                <w:rFonts w:ascii="Arial" w:cs="Arial" w:eastAsia="Arial" w:hAnsi="Arial"/>
                <w:sz w:val="15"/>
                <w:szCs w:val="15"/>
                <w:color w:val="auto"/>
              </w:rPr>
              <w:t>Net cash provided by (used in) operating activities</w:t>
            </w: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(45,942)</w:t>
            </w:r>
          </w:p>
        </w:tc>
        <w:tc>
          <w:tcPr>
            <w:tcW w:w="380" w:type="dxa"/>
            <w:vAlign w:val="bottom"/>
          </w:tcPr>
          <w:p>
            <w:pPr>
              <w:jc w:val="right"/>
              <w:ind w:right="204"/>
              <w:spacing w:after="0"/>
              <w:rPr>
                <w:sz w:val="20"/>
                <w:szCs w:val="20"/>
                <w:color w:val="auto"/>
              </w:rPr>
            </w:pPr>
            <w:r>
              <w:rPr>
                <w:rFonts w:ascii="Arial" w:cs="Arial" w:eastAsia="Arial" w:hAnsi="Arial"/>
                <w:sz w:val="15"/>
                <w:szCs w:val="15"/>
                <w:color w:val="183964"/>
                <w:w w:val="95"/>
              </w:rPr>
              <w:t>$</w:t>
            </w:r>
          </w:p>
        </w:tc>
        <w:tc>
          <w:tcPr>
            <w:tcW w:w="920" w:type="dxa"/>
            <w:vAlign w:val="bottom"/>
          </w:tcPr>
          <w:p>
            <w:pPr>
              <w:jc w:val="right"/>
              <w:spacing w:after="0"/>
              <w:rPr>
                <w:sz w:val="20"/>
                <w:szCs w:val="20"/>
                <w:color w:val="auto"/>
              </w:rPr>
            </w:pPr>
            <w:r>
              <w:rPr>
                <w:rFonts w:ascii="Arial" w:cs="Arial" w:eastAsia="Arial" w:hAnsi="Arial"/>
                <w:sz w:val="15"/>
                <w:szCs w:val="15"/>
                <w:color w:val="183964"/>
              </w:rPr>
              <w:t>(80,014)</w:t>
            </w:r>
          </w:p>
        </w:tc>
        <w:tc>
          <w:tcPr>
            <w:tcW w:w="340" w:type="dxa"/>
            <w:vAlign w:val="bottom"/>
          </w:tcPr>
          <w:p>
            <w:pPr>
              <w:jc w:val="right"/>
              <w:ind w:right="164"/>
              <w:spacing w:after="0"/>
              <w:rPr>
                <w:sz w:val="20"/>
                <w:szCs w:val="20"/>
                <w:color w:val="auto"/>
              </w:rPr>
            </w:pPr>
            <w:r>
              <w:rPr>
                <w:rFonts w:ascii="Arial" w:cs="Arial" w:eastAsia="Arial" w:hAnsi="Arial"/>
                <w:sz w:val="15"/>
                <w:szCs w:val="15"/>
                <w:color w:val="183964"/>
                <w:w w:val="95"/>
              </w:rPr>
              <w:t>$</w:t>
            </w:r>
          </w:p>
        </w:tc>
        <w:tc>
          <w:tcPr>
            <w:tcW w:w="940" w:type="dxa"/>
            <w:vAlign w:val="bottom"/>
          </w:tcPr>
          <w:p>
            <w:pPr>
              <w:jc w:val="right"/>
              <w:spacing w:after="0"/>
              <w:rPr>
                <w:sz w:val="20"/>
                <w:szCs w:val="20"/>
                <w:color w:val="auto"/>
              </w:rPr>
            </w:pPr>
            <w:r>
              <w:rPr>
                <w:rFonts w:ascii="Arial" w:cs="Arial" w:eastAsia="Arial" w:hAnsi="Arial"/>
                <w:sz w:val="15"/>
                <w:szCs w:val="15"/>
                <w:color w:val="183964"/>
              </w:rPr>
              <w:t>34,073</w:t>
            </w:r>
          </w:p>
        </w:tc>
      </w:tr>
      <w:tr>
        <w:trPr>
          <w:trHeight w:val="243"/>
        </w:trPr>
        <w:tc>
          <w:tcPr>
            <w:tcW w:w="7340" w:type="dxa"/>
            <w:vAlign w:val="bottom"/>
          </w:tcPr>
          <w:p>
            <w:pPr>
              <w:ind w:left="20"/>
              <w:spacing w:after="0"/>
              <w:rPr>
                <w:sz w:val="20"/>
                <w:szCs w:val="20"/>
                <w:color w:val="auto"/>
              </w:rPr>
            </w:pPr>
            <w:r>
              <w:rPr>
                <w:rFonts w:ascii="Arial" w:cs="Arial" w:eastAsia="Arial" w:hAnsi="Arial"/>
                <w:sz w:val="15"/>
                <w:szCs w:val="15"/>
                <w:color w:val="auto"/>
              </w:rPr>
              <w:t>Net cash provided by (used in) investing activities</w:t>
            </w:r>
          </w:p>
        </w:tc>
        <w:tc>
          <w:tcPr>
            <w:tcW w:w="320" w:type="dxa"/>
            <w:vAlign w:val="bottom"/>
          </w:tcPr>
          <w:p>
            <w:pPr>
              <w:spacing w:after="0"/>
              <w:rPr>
                <w:sz w:val="21"/>
                <w:szCs w:val="21"/>
                <w:color w:val="auto"/>
              </w:rPr>
            </w:pP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29,679</w:t>
            </w:r>
          </w:p>
        </w:tc>
        <w:tc>
          <w:tcPr>
            <w:tcW w:w="380" w:type="dxa"/>
            <w:vAlign w:val="bottom"/>
          </w:tcPr>
          <w:p>
            <w:pPr>
              <w:spacing w:after="0"/>
              <w:rPr>
                <w:sz w:val="21"/>
                <w:szCs w:val="21"/>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183964"/>
              </w:rPr>
              <w:t>236,512</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183964"/>
              </w:rPr>
              <w:t>(206,833)</w:t>
            </w:r>
          </w:p>
        </w:tc>
      </w:tr>
      <w:tr>
        <w:trPr>
          <w:trHeight w:val="243"/>
        </w:trPr>
        <w:tc>
          <w:tcPr>
            <w:tcW w:w="7340" w:type="dxa"/>
            <w:vAlign w:val="bottom"/>
          </w:tcPr>
          <w:p>
            <w:pPr>
              <w:ind w:left="20"/>
              <w:spacing w:after="0"/>
              <w:rPr>
                <w:sz w:val="20"/>
                <w:szCs w:val="20"/>
                <w:color w:val="auto"/>
              </w:rPr>
            </w:pPr>
            <w:r>
              <w:rPr>
                <w:rFonts w:ascii="Arial" w:cs="Arial" w:eastAsia="Arial" w:hAnsi="Arial"/>
                <w:sz w:val="15"/>
                <w:szCs w:val="15"/>
                <w:color w:val="auto"/>
              </w:rPr>
              <w:t>Net cash provided by (used in) financing activities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(3,775)</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183964"/>
              </w:rPr>
              <w:t>(39,101)</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183964"/>
              </w:rPr>
              <w:t>35,326</w:t>
            </w:r>
          </w:p>
        </w:tc>
      </w:tr>
      <w:tr>
        <w:trPr>
          <w:trHeight w:val="25"/>
        </w:trPr>
        <w:tc>
          <w:tcPr>
            <w:tcW w:w="7340" w:type="dxa"/>
            <w:vAlign w:val="bottom"/>
            <w:tcBorders>
              <w:bottom w:val="single" w:sz="8" w:color="00497F"/>
            </w:tcBorders>
          </w:tcPr>
          <w:p>
            <w:pPr>
              <w:spacing w:after="0"/>
              <w:rPr>
                <w:sz w:val="2"/>
                <w:szCs w:val="2"/>
                <w:color w:val="auto"/>
              </w:rPr>
            </w:pPr>
          </w:p>
        </w:tc>
        <w:tc>
          <w:tcPr>
            <w:tcW w:w="320" w:type="dxa"/>
            <w:vAlign w:val="bottom"/>
            <w:tcBorders>
              <w:bottom w:val="single" w:sz="8" w:color="00497F"/>
            </w:tcBorders>
          </w:tcPr>
          <w:p>
            <w:pPr>
              <w:spacing w:after="0"/>
              <w:rPr>
                <w:sz w:val="2"/>
                <w:szCs w:val="2"/>
                <w:color w:val="auto"/>
              </w:rPr>
            </w:pPr>
          </w:p>
        </w:tc>
        <w:tc>
          <w:tcPr>
            <w:tcW w:w="980" w:type="dxa"/>
            <w:vAlign w:val="bottom"/>
            <w:tcBorders>
              <w:bottom w:val="single" w:sz="8" w:color="00497F"/>
            </w:tcBorders>
          </w:tcPr>
          <w:p>
            <w:pPr>
              <w:spacing w:after="0"/>
              <w:rPr>
                <w:sz w:val="2"/>
                <w:szCs w:val="2"/>
                <w:color w:val="auto"/>
              </w:rPr>
            </w:pPr>
          </w:p>
        </w:tc>
        <w:tc>
          <w:tcPr>
            <w:tcW w:w="380" w:type="dxa"/>
            <w:vAlign w:val="bottom"/>
            <w:tcBorders>
              <w:bottom w:val="single" w:sz="8" w:color="00497F"/>
            </w:tcBorders>
          </w:tcPr>
          <w:p>
            <w:pPr>
              <w:spacing w:after="0"/>
              <w:rPr>
                <w:sz w:val="2"/>
                <w:szCs w:val="2"/>
                <w:color w:val="auto"/>
              </w:rPr>
            </w:pPr>
          </w:p>
        </w:tc>
        <w:tc>
          <w:tcPr>
            <w:tcW w:w="920" w:type="dxa"/>
            <w:vAlign w:val="bottom"/>
            <w:tcBorders>
              <w:bottom w:val="single" w:sz="8" w:color="00497F"/>
            </w:tcBorders>
          </w:tcPr>
          <w:p>
            <w:pPr>
              <w:spacing w:after="0"/>
              <w:rPr>
                <w:sz w:val="2"/>
                <w:szCs w:val="2"/>
                <w:color w:val="auto"/>
              </w:rPr>
            </w:pPr>
          </w:p>
        </w:tc>
        <w:tc>
          <w:tcPr>
            <w:tcW w:w="340" w:type="dxa"/>
            <w:vAlign w:val="bottom"/>
            <w:tcBorders>
              <w:bottom w:val="single" w:sz="8" w:color="00497F"/>
            </w:tcBorders>
          </w:tcPr>
          <w:p>
            <w:pPr>
              <w:spacing w:after="0"/>
              <w:rPr>
                <w:sz w:val="2"/>
                <w:szCs w:val="2"/>
                <w:color w:val="auto"/>
              </w:rPr>
            </w:pPr>
          </w:p>
        </w:tc>
        <w:tc>
          <w:tcPr>
            <w:tcW w:w="940" w:type="dxa"/>
            <w:vAlign w:val="bottom"/>
            <w:tcBorders>
              <w:bottom w:val="single" w:sz="8" w:color="00497F"/>
            </w:tcBorders>
          </w:tcPr>
          <w:p>
            <w:pPr>
              <w:spacing w:after="0"/>
              <w:rPr>
                <w:sz w:val="2"/>
                <w:szCs w:val="2"/>
                <w:color w:val="auto"/>
              </w:rPr>
            </w:pPr>
          </w:p>
        </w:tc>
      </w:tr>
      <w:tr>
        <w:trPr>
          <w:trHeight w:val="211"/>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Net increase (decrease) in cash and cash equivalents</w:t>
            </w: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(20,037)</w:t>
            </w:r>
          </w:p>
        </w:tc>
        <w:tc>
          <w:tcPr>
            <w:tcW w:w="380" w:type="dxa"/>
            <w:vAlign w:val="bottom"/>
          </w:tcPr>
          <w:p>
            <w:pPr>
              <w:jc w:val="right"/>
              <w:ind w:right="204"/>
              <w:spacing w:after="0"/>
              <w:rPr>
                <w:sz w:val="20"/>
                <w:szCs w:val="20"/>
                <w:color w:val="auto"/>
              </w:rPr>
            </w:pPr>
            <w:r>
              <w:rPr>
                <w:rFonts w:ascii="Arial" w:cs="Arial" w:eastAsia="Arial" w:hAnsi="Arial"/>
                <w:sz w:val="15"/>
                <w:szCs w:val="15"/>
                <w:color w:val="183964"/>
                <w:w w:val="95"/>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183964"/>
              </w:rPr>
              <w:t>117,397</w:t>
            </w:r>
          </w:p>
        </w:tc>
        <w:tc>
          <w:tcPr>
            <w:tcW w:w="340" w:type="dxa"/>
            <w:vAlign w:val="bottom"/>
          </w:tcPr>
          <w:p>
            <w:pPr>
              <w:jc w:val="right"/>
              <w:ind w:right="164"/>
              <w:spacing w:after="0"/>
              <w:rPr>
                <w:sz w:val="20"/>
                <w:szCs w:val="20"/>
                <w:color w:val="auto"/>
              </w:rPr>
            </w:pPr>
            <w:r>
              <w:rPr>
                <w:rFonts w:ascii="Arial" w:cs="Arial" w:eastAsia="Arial" w:hAnsi="Arial"/>
                <w:sz w:val="15"/>
                <w:szCs w:val="15"/>
                <w:color w:val="183964"/>
                <w:w w:val="95"/>
              </w:rPr>
              <w:t>$</w:t>
            </w:r>
          </w:p>
        </w:tc>
        <w:tc>
          <w:tcPr>
            <w:tcW w:w="940" w:type="dxa"/>
            <w:vAlign w:val="bottom"/>
          </w:tcPr>
          <w:p>
            <w:pPr>
              <w:jc w:val="right"/>
              <w:spacing w:after="0"/>
              <w:rPr>
                <w:sz w:val="20"/>
                <w:szCs w:val="20"/>
                <w:color w:val="auto"/>
              </w:rPr>
            </w:pPr>
            <w:r>
              <w:rPr>
                <w:rFonts w:ascii="Arial" w:cs="Arial" w:eastAsia="Arial" w:hAnsi="Arial"/>
                <w:sz w:val="15"/>
                <w:szCs w:val="15"/>
                <w:color w:val="183964"/>
              </w:rPr>
              <w:t>(137,434)</w:t>
            </w:r>
          </w:p>
        </w:tc>
      </w:tr>
      <w:tr>
        <w:trPr>
          <w:trHeight w:val="25"/>
        </w:trPr>
        <w:tc>
          <w:tcPr>
            <w:tcW w:w="7340" w:type="dxa"/>
            <w:vAlign w:val="bottom"/>
            <w:tcBorders>
              <w:bottom w:val="single" w:sz="8" w:color="183964"/>
            </w:tcBorders>
          </w:tcPr>
          <w:p>
            <w:pPr>
              <w:spacing w:after="0"/>
              <w:rPr>
                <w:sz w:val="2"/>
                <w:szCs w:val="2"/>
                <w:color w:val="auto"/>
              </w:rPr>
            </w:pPr>
          </w:p>
        </w:tc>
        <w:tc>
          <w:tcPr>
            <w:tcW w:w="320" w:type="dxa"/>
            <w:vAlign w:val="bottom"/>
            <w:tcBorders>
              <w:bottom w:val="single" w:sz="8" w:color="183964"/>
            </w:tcBorders>
          </w:tcPr>
          <w:p>
            <w:pPr>
              <w:spacing w:after="0"/>
              <w:rPr>
                <w:sz w:val="2"/>
                <w:szCs w:val="2"/>
                <w:color w:val="auto"/>
              </w:rPr>
            </w:pPr>
          </w:p>
        </w:tc>
        <w:tc>
          <w:tcPr>
            <w:tcW w:w="980" w:type="dxa"/>
            <w:vAlign w:val="bottom"/>
            <w:tcBorders>
              <w:bottom w:val="single" w:sz="8" w:color="183964"/>
            </w:tcBorders>
          </w:tcPr>
          <w:p>
            <w:pPr>
              <w:spacing w:after="0"/>
              <w:rPr>
                <w:sz w:val="2"/>
                <w:szCs w:val="2"/>
                <w:color w:val="auto"/>
              </w:rPr>
            </w:pPr>
          </w:p>
        </w:tc>
        <w:tc>
          <w:tcPr>
            <w:tcW w:w="38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340" w:type="dxa"/>
            <w:vAlign w:val="bottom"/>
            <w:tcBorders>
              <w:bottom w:val="single" w:sz="8" w:color="183964"/>
            </w:tcBorders>
          </w:tcPr>
          <w:p>
            <w:pPr>
              <w:spacing w:after="0"/>
              <w:rPr>
                <w:sz w:val="2"/>
                <w:szCs w:val="2"/>
                <w:color w:val="auto"/>
              </w:rPr>
            </w:pPr>
          </w:p>
        </w:tc>
        <w:tc>
          <w:tcPr>
            <w:tcW w:w="940" w:type="dxa"/>
            <w:vAlign w:val="bottom"/>
            <w:tcBorders>
              <w:bottom w:val="single" w:sz="8" w:color="183964"/>
            </w:tcBorders>
          </w:tcPr>
          <w:p>
            <w:pPr>
              <w:spacing w:after="0"/>
              <w:rPr>
                <w:sz w:val="2"/>
                <w:szCs w:val="2"/>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183964"/>
        </w:rPr>
        <w:t>Operating Activities</w:t>
      </w:r>
    </w:p>
    <w:p>
      <w:pPr>
        <w:spacing w:after="0" w:line="28"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Net cash used in operating activities was $45.9 million for the six months ended June 30, 2025, as compared to $80.0 million for the six months ended June 30, 2024, a decrease of $34.1 million in net cash used in operating activities. The decrease in cash outflows is primarily attributable to a decrease of $18.5 million in operating loss mainly driven by lower research and development spend following the deconsolidation of Seaport in October 2024, a decrease of $9.9 million in estimated tax payments, and a $10.5 million change in working capital, partially offset by a decrease of $4.7 million in net cash receipts from interest income.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183964"/>
        </w:rPr>
        <w:t>Investing Activities</w:t>
      </w:r>
    </w:p>
    <w:p>
      <w:pPr>
        <w:spacing w:after="0" w:line="17"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Net cash provided by investing activities was $29.7 million for the six months ended June 30, 2025, as compared to net cash provided by investing activities of $236.5 million for the six months ended June 30, 2024, a decrease of $206.8 million in net cash provided by investing activities. The decrease in the net cash inflow was primarily attributed to the one-time $292.7 million proceeds received from the sale of Karuna shares in 2024, compared to $2.8 million proceeds received in 2025 from the sale of Vor shares, partially offset by decrease in cash outflows from short-term investment activities (purchases, net of redemptions) amounting to $83.1 million.</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183964"/>
        </w:rPr>
        <w:t>Financing Activities</w:t>
      </w:r>
    </w:p>
    <w:p>
      <w:pPr>
        <w:spacing w:after="0" w:line="28"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Net cash used in financing activities was $3.8 million for the six months ended June 30, 2025, compared to net cash used in financing activities of $39.1 million for the six months ended June 30, 2024, a decrease of $35.3 million in net cash used in financing activities. The decrease in net cash used in financing activities was primarily attributable to a $99.6 million decrease in cash used for the purchase of shares in connection with the Tender Offer in 2024, partially offset by $68.1 million in cash proceeds from the issuance of the subsidiary preferred shares in 2024.</w:t>
      </w:r>
    </w:p>
    <w:p>
      <w:pPr>
        <w:sectPr>
          <w:pgSz w:w="11900" w:h="16838" w:orient="portrait"/>
          <w:cols w:equalWidth="0" w:num="1">
            <w:col w:w="11220"/>
          </w:cols>
          <w:pgMar w:left="320" w:top="1241" w:right="359" w:bottom="1440" w:gutter="0" w:footer="0" w:header="0"/>
        </w:sectPr>
      </w:pPr>
    </w:p>
    <w:bookmarkStart w:id="19" w:name="page20"/>
    <w:bookmarkEnd w:id="19"/>
    <w:p>
      <w:pPr>
        <w:spacing w:after="0"/>
        <w:rPr>
          <w:sz w:val="20"/>
          <w:szCs w:val="20"/>
          <w:color w:val="auto"/>
        </w:rPr>
      </w:pPr>
      <w:r>
        <w:rPr>
          <w:rFonts w:ascii="Arial" w:cs="Arial" w:eastAsia="Arial" w:hAnsi="Arial"/>
          <w:sz w:val="15"/>
          <w:szCs w:val="15"/>
          <w:color w:val="183964"/>
        </w:rPr>
        <w:t>Funding Requirements</w:t>
      </w:r>
    </w:p>
    <w:p>
      <w:pPr>
        <w:spacing w:after="0" w:line="17"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We have incurred operating losses since inception. Based on our current plans, we believe our existing financial assets as of June 30, 2025 will be sufficient to fund our operations and capital expenditure requirements into 2028. We expect to incur substantial additional expenditures in the near term to support our ongoing and future activities. We anticipate to continue to incur net operating losses for the foreseeable future to support our existing Founded Entities and newly launched Founded Entities (Gallop Oncology and Celea Therapeutics), and our strategy around creating and supporting other Founded Entities, should they require it, to reach significant development milestones in conjunction with our external partners. We also expect to incur significant costs to advance our Wholly-Owned Programs, to continue research and development efforts, to discover and progress new therapeutic candidates and to fund the Group’s operating costs into 2028. Our ability to fund our therapeutic development and clinical operations as well as ability to fund our existing, newly founded and future Founded Entities, will depend on the amount and timing of cash received from planned financings, monetization of shares of Founded Entities and potential business development activities. Our future capital requirements will depend on many factors, including:</w:t>
      </w:r>
    </w:p>
    <w:p>
      <w:pPr>
        <w:spacing w:after="0" w:line="59"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costs, timing and outcomes of clinical trials and regulatory reviews associated with our wholly-owned therapeutic candidates;</w:t>
      </w:r>
    </w:p>
    <w:p>
      <w:pPr>
        <w:spacing w:after="0" w:line="27" w:lineRule="exact"/>
        <w:rPr>
          <w:rFonts w:ascii="Arial" w:cs="Arial" w:eastAsia="Arial" w:hAnsi="Arial"/>
          <w:sz w:val="15"/>
          <w:szCs w:val="15"/>
          <w:color w:val="auto"/>
        </w:rPr>
      </w:pPr>
    </w:p>
    <w:p>
      <w:pPr>
        <w:ind w:left="180" w:hanging="172"/>
        <w:spacing w:after="0"/>
        <w:tabs>
          <w:tab w:leader="none" w:pos="1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costs of preparing, filing and prosecuting patent applications and maintaining, enforcing and defending intellectual property related claims;</w:t>
      </w:r>
    </w:p>
    <w:p>
      <w:pPr>
        <w:spacing w:after="0" w:line="5" w:lineRule="exact"/>
        <w:rPr>
          <w:rFonts w:ascii="Arial" w:cs="Arial" w:eastAsia="Arial" w:hAnsi="Arial"/>
          <w:sz w:val="15"/>
          <w:szCs w:val="15"/>
          <w:color w:val="auto"/>
        </w:rPr>
      </w:pPr>
    </w:p>
    <w:p>
      <w:pPr>
        <w:ind w:left="180" w:hanging="172"/>
        <w:spacing w:after="0"/>
        <w:tabs>
          <w:tab w:leader="none" w:pos="1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emergence of competing technologies and products and other adverse marketing developments;</w:t>
      </w:r>
    </w:p>
    <w:p>
      <w:pPr>
        <w:spacing w:after="0" w:line="13" w:lineRule="exact"/>
        <w:rPr>
          <w:rFonts w:ascii="Arial" w:cs="Arial" w:eastAsia="Arial" w:hAnsi="Arial"/>
          <w:sz w:val="15"/>
          <w:szCs w:val="15"/>
          <w:color w:val="auto"/>
        </w:rPr>
      </w:pPr>
    </w:p>
    <w:p>
      <w:pPr>
        <w:ind w:left="220" w:right="420" w:hanging="212"/>
        <w:spacing w:after="0" w:line="255" w:lineRule="auto"/>
        <w:tabs>
          <w:tab w:leader="none" w:pos="191"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effect on our therapeutic and product development activities of actions taken by the U.S. Food and Drug Administration (“FDA”), the European Medicines Agency (“EMA”) or other regulatory authorities;</w:t>
      </w:r>
    </w:p>
    <w:p>
      <w:pPr>
        <w:ind w:left="180" w:hanging="172"/>
        <w:spacing w:after="0"/>
        <w:tabs>
          <w:tab w:leader="none" w:pos="1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number and types of future therapeutics we develop and support with the goal of eventual commercialization by a Founded Entity;</w:t>
      </w:r>
    </w:p>
    <w:p>
      <w:pPr>
        <w:spacing w:after="0" w:line="13" w:lineRule="exact"/>
        <w:rPr>
          <w:rFonts w:ascii="Arial" w:cs="Arial" w:eastAsia="Arial" w:hAnsi="Arial"/>
          <w:sz w:val="15"/>
          <w:szCs w:val="15"/>
          <w:color w:val="auto"/>
        </w:rPr>
      </w:pPr>
    </w:p>
    <w:p>
      <w:pPr>
        <w:ind w:left="220" w:right="680" w:hanging="212"/>
        <w:spacing w:after="0" w:line="253" w:lineRule="auto"/>
        <w:tabs>
          <w:tab w:leader="none" w:pos="191"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costs, timing and outcomes of identifying, evaluating and investing in technologies and drug candidates to develop as Wholly-Owned Programs and, subsequently, as Founded Entities; and</w:t>
      </w:r>
    </w:p>
    <w:p>
      <w:pPr>
        <w:ind w:left="180" w:hanging="172"/>
        <w:spacing w:after="0"/>
        <w:tabs>
          <w:tab w:leader="none" w:pos="1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success of our Founded Entities and their need for additional capital.</w:t>
      </w:r>
    </w:p>
    <w:p>
      <w:pPr>
        <w:spacing w:after="0" w:line="86" w:lineRule="exact"/>
        <w:rPr>
          <w:sz w:val="20"/>
          <w:szCs w:val="20"/>
          <w:color w:val="auto"/>
        </w:rPr>
      </w:pPr>
    </w:p>
    <w:p>
      <w:pPr>
        <w:ind w:right="320"/>
        <w:spacing w:after="0" w:line="301" w:lineRule="auto"/>
        <w:rPr>
          <w:sz w:val="20"/>
          <w:szCs w:val="20"/>
          <w:color w:val="auto"/>
        </w:rPr>
      </w:pPr>
      <w:r>
        <w:rPr>
          <w:rFonts w:ascii="Arial" w:cs="Arial" w:eastAsia="Arial" w:hAnsi="Arial"/>
          <w:sz w:val="15"/>
          <w:szCs w:val="15"/>
          <w:color w:val="auto"/>
        </w:rPr>
        <w:t>A change in the outcome of any of these or other variables with respect to the development of any of our wholly-owned therapeutic candidates could significantly change the costs and timing associated with the development of that therapeutic candidate.</w:t>
      </w:r>
    </w:p>
    <w:p>
      <w:pPr>
        <w:spacing w:after="0" w:line="26"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Further, our operating plans may change, and we may need additional funds to meet operational needs and capital requirements for clinical trials and other research and development activities as we continue to evaluate and invest strategically in new therapeutic candidates. We currently have no credit facility or other committed sources of capital beyond our existing financial assets. Because of the numerous risks and uncertainties associated with the development and commercialization of our wholly-owned therapeutic candidates, we have only a general estimate of the amounts of increased capital outlays and operating expenditures associated with our current and anticipated therapeutic development programs and these may change in the future.</w:t>
      </w:r>
    </w:p>
    <w:p>
      <w:pPr>
        <w:sectPr>
          <w:pgSz w:w="11900" w:h="16838" w:orient="portrait"/>
          <w:cols w:equalWidth="0" w:num="1">
            <w:col w:w="11180"/>
          </w:cols>
          <w:pgMar w:left="320" w:top="1243" w:right="39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183964"/>
        </w:rPr>
        <w:t>Exhibit 99.3</w:t>
      </w:r>
    </w:p>
    <w:p>
      <w:pPr>
        <w:spacing w:after="0" w:line="344" w:lineRule="exact"/>
        <w:rPr>
          <w:sz w:val="20"/>
          <w:szCs w:val="20"/>
          <w:color w:val="auto"/>
        </w:rPr>
      </w:pPr>
    </w:p>
    <w:p>
      <w:pPr>
        <w:spacing w:after="0"/>
        <w:rPr>
          <w:sz w:val="20"/>
          <w:szCs w:val="20"/>
          <w:color w:val="auto"/>
        </w:rPr>
      </w:pPr>
      <w:r>
        <w:rPr>
          <w:rFonts w:ascii="Arial" w:cs="Arial" w:eastAsia="Arial" w:hAnsi="Arial"/>
          <w:sz w:val="31"/>
          <w:szCs w:val="31"/>
          <w:b w:val="1"/>
          <w:bCs w:val="1"/>
          <w:color w:val="183964"/>
        </w:rPr>
        <w:t>Condensed Consolidated Statement of Comprehensive Income/(Loss)</w:t>
      </w:r>
    </w:p>
    <w:p>
      <w:pPr>
        <w:spacing w:after="0" w:line="54" w:lineRule="exact"/>
        <w:rPr>
          <w:sz w:val="20"/>
          <w:szCs w:val="20"/>
          <w:color w:val="auto"/>
        </w:rPr>
      </w:pPr>
    </w:p>
    <w:p>
      <w:pPr>
        <w:spacing w:after="0"/>
        <w:rPr>
          <w:sz w:val="20"/>
          <w:szCs w:val="20"/>
          <w:color w:val="auto"/>
        </w:rPr>
      </w:pPr>
      <w:r>
        <w:rPr>
          <w:rFonts w:ascii="Arial" w:cs="Arial" w:eastAsia="Arial" w:hAnsi="Arial"/>
          <w:sz w:val="31"/>
          <w:szCs w:val="31"/>
          <w:b w:val="1"/>
          <w:bCs w:val="1"/>
          <w:color w:val="183964"/>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183964"/>
        </w:rPr>
        <w:t>For the six months ended June 30</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1300" w:type="dxa"/>
            <w:vAlign w:val="bottom"/>
          </w:tcPr>
          <w:p>
            <w:pPr>
              <w:jc w:val="right"/>
              <w:spacing w:after="0"/>
              <w:rPr>
                <w:sz w:val="20"/>
                <w:szCs w:val="20"/>
                <w:color w:val="auto"/>
              </w:rPr>
            </w:pPr>
            <w:r>
              <w:rPr>
                <w:rFonts w:ascii="Arial" w:cs="Arial" w:eastAsia="Arial" w:hAnsi="Arial"/>
                <w:sz w:val="13"/>
                <w:szCs w:val="13"/>
                <w:color w:val="183964"/>
              </w:rPr>
              <w:t>2024</w:t>
            </w:r>
          </w:p>
        </w:tc>
      </w:tr>
      <w:tr>
        <w:trPr>
          <w:trHeight w:val="172"/>
        </w:trPr>
        <w:tc>
          <w:tcPr>
            <w:tcW w:w="73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183964"/>
              </w:rPr>
              <w:t>Note</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$000s</w:t>
            </w:r>
          </w:p>
        </w:tc>
        <w:tc>
          <w:tcPr>
            <w:tcW w:w="1300" w:type="dxa"/>
            <w:vAlign w:val="bottom"/>
          </w:tcPr>
          <w:p>
            <w:pPr>
              <w:jc w:val="right"/>
              <w:spacing w:after="0"/>
              <w:rPr>
                <w:sz w:val="20"/>
                <w:szCs w:val="20"/>
                <w:color w:val="auto"/>
              </w:rPr>
            </w:pPr>
            <w:r>
              <w:rPr>
                <w:rFonts w:ascii="Arial" w:cs="Arial" w:eastAsia="Arial" w:hAnsi="Arial"/>
                <w:sz w:val="13"/>
                <w:szCs w:val="13"/>
                <w:color w:val="183964"/>
              </w:rPr>
              <w:t>$000s</w:t>
            </w:r>
          </w:p>
        </w:tc>
      </w:tr>
      <w:tr>
        <w:trPr>
          <w:trHeight w:val="22"/>
        </w:trPr>
        <w:tc>
          <w:tcPr>
            <w:tcW w:w="7320" w:type="dxa"/>
            <w:vAlign w:val="bottom"/>
            <w:tcBorders>
              <w:bottom w:val="single" w:sz="8" w:color="001544"/>
            </w:tcBorders>
          </w:tcPr>
          <w:p>
            <w:pPr>
              <w:spacing w:after="0" w:line="20" w:lineRule="exact"/>
              <w:rPr>
                <w:sz w:val="1"/>
                <w:szCs w:val="1"/>
                <w:color w:val="auto"/>
              </w:rPr>
            </w:pPr>
          </w:p>
        </w:tc>
        <w:tc>
          <w:tcPr>
            <w:tcW w:w="1300" w:type="dxa"/>
            <w:vAlign w:val="bottom"/>
            <w:tcBorders>
              <w:bottom w:val="single" w:sz="8" w:color="183964"/>
            </w:tcBorders>
          </w:tcPr>
          <w:p>
            <w:pPr>
              <w:spacing w:after="0" w:line="20" w:lineRule="exact"/>
              <w:rPr>
                <w:sz w:val="1"/>
                <w:szCs w:val="1"/>
                <w:color w:val="auto"/>
              </w:rPr>
            </w:pPr>
          </w:p>
        </w:tc>
        <w:tc>
          <w:tcPr>
            <w:tcW w:w="1300" w:type="dxa"/>
            <w:vAlign w:val="bottom"/>
            <w:tcBorders>
              <w:bottom w:val="single" w:sz="8" w:color="001544"/>
            </w:tcBorders>
          </w:tcPr>
          <w:p>
            <w:pPr>
              <w:spacing w:after="0" w:line="20" w:lineRule="exact"/>
              <w:rPr>
                <w:sz w:val="1"/>
                <w:szCs w:val="1"/>
                <w:color w:val="auto"/>
              </w:rPr>
            </w:pPr>
          </w:p>
        </w:tc>
        <w:tc>
          <w:tcPr>
            <w:tcW w:w="1300" w:type="dxa"/>
            <w:vAlign w:val="bottom"/>
            <w:tcBorders>
              <w:bottom w:val="single" w:sz="8" w:color="001544"/>
            </w:tcBorders>
          </w:tcPr>
          <w:p>
            <w:pPr>
              <w:spacing w:after="0" w:line="20" w:lineRule="exact"/>
              <w:rPr>
                <w:sz w:val="1"/>
                <w:szCs w:val="1"/>
                <w:color w:val="auto"/>
              </w:rPr>
            </w:pPr>
          </w:p>
        </w:tc>
      </w:tr>
      <w:tr>
        <w:trPr>
          <w:trHeight w:val="211"/>
        </w:trPr>
        <w:tc>
          <w:tcPr>
            <w:tcW w:w="7320" w:type="dxa"/>
            <w:vAlign w:val="bottom"/>
          </w:tcPr>
          <w:p>
            <w:pPr>
              <w:ind w:left="20"/>
              <w:spacing w:after="0"/>
              <w:rPr>
                <w:sz w:val="20"/>
                <w:szCs w:val="20"/>
                <w:color w:val="auto"/>
              </w:rPr>
            </w:pPr>
            <w:r>
              <w:rPr>
                <w:rFonts w:ascii="Arial" w:cs="Arial" w:eastAsia="Arial" w:hAnsi="Arial"/>
                <w:sz w:val="15"/>
                <w:szCs w:val="15"/>
                <w:color w:val="auto"/>
              </w:rPr>
              <w:t>Contract revenue</w:t>
            </w:r>
          </w:p>
        </w:tc>
        <w:tc>
          <w:tcPr>
            <w:tcW w:w="1300" w:type="dxa"/>
            <w:vAlign w:val="bottom"/>
          </w:tcPr>
          <w:p>
            <w:pPr>
              <w:spacing w:after="0"/>
              <w:rPr>
                <w:sz w:val="18"/>
                <w:szCs w:val="18"/>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1,851</w:t>
            </w: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w:t>
            </w:r>
          </w:p>
        </w:tc>
      </w:tr>
      <w:tr>
        <w:trPr>
          <w:trHeight w:val="243"/>
        </w:trPr>
        <w:tc>
          <w:tcPr>
            <w:tcW w:w="7320" w:type="dxa"/>
            <w:vAlign w:val="bottom"/>
          </w:tcPr>
          <w:p>
            <w:pPr>
              <w:ind w:left="20"/>
              <w:spacing w:after="0"/>
              <w:rPr>
                <w:sz w:val="20"/>
                <w:szCs w:val="20"/>
                <w:color w:val="auto"/>
              </w:rPr>
            </w:pPr>
            <w:r>
              <w:rPr>
                <w:rFonts w:ascii="Arial" w:cs="Arial" w:eastAsia="Arial" w:hAnsi="Arial"/>
                <w:sz w:val="15"/>
                <w:szCs w:val="15"/>
                <w:color w:val="auto"/>
              </w:rPr>
              <w:t>Grant revenue</w:t>
            </w:r>
          </w:p>
        </w:tc>
        <w:tc>
          <w:tcPr>
            <w:tcW w:w="1300" w:type="dxa"/>
            <w:vAlign w:val="bottom"/>
          </w:tcPr>
          <w:p>
            <w:pPr>
              <w:spacing w:after="0"/>
              <w:rPr>
                <w:sz w:val="21"/>
                <w:szCs w:val="21"/>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w:t>
            </w: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288</w:t>
            </w:r>
          </w:p>
        </w:tc>
      </w:tr>
      <w:tr>
        <w:trPr>
          <w:trHeight w:val="25"/>
        </w:trPr>
        <w:tc>
          <w:tcPr>
            <w:tcW w:w="732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r>
      <w:tr>
        <w:trPr>
          <w:trHeight w:val="212"/>
        </w:trPr>
        <w:tc>
          <w:tcPr>
            <w:tcW w:w="7320" w:type="dxa"/>
            <w:vAlign w:val="bottom"/>
          </w:tcPr>
          <w:p>
            <w:pPr>
              <w:ind w:left="20"/>
              <w:spacing w:after="0"/>
              <w:rPr>
                <w:sz w:val="20"/>
                <w:szCs w:val="20"/>
                <w:color w:val="auto"/>
              </w:rPr>
            </w:pPr>
            <w:r>
              <w:rPr>
                <w:rFonts w:ascii="Arial" w:cs="Arial" w:eastAsia="Arial" w:hAnsi="Arial"/>
                <w:sz w:val="15"/>
                <w:szCs w:val="15"/>
                <w:b w:val="1"/>
                <w:bCs w:val="1"/>
                <w:color w:val="auto"/>
              </w:rPr>
              <w:t>Total revenue</w:t>
            </w:r>
          </w:p>
        </w:tc>
        <w:tc>
          <w:tcPr>
            <w:tcW w:w="1300" w:type="dxa"/>
            <w:vAlign w:val="bottom"/>
          </w:tcPr>
          <w:p>
            <w:pPr>
              <w:spacing w:after="0"/>
              <w:rPr>
                <w:sz w:val="18"/>
                <w:szCs w:val="18"/>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1,851</w:t>
            </w: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288</w:t>
            </w:r>
          </w:p>
        </w:tc>
      </w:tr>
      <w:tr>
        <w:trPr>
          <w:trHeight w:val="25"/>
        </w:trPr>
        <w:tc>
          <w:tcPr>
            <w:tcW w:w="7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1"/>
        </w:trPr>
        <w:tc>
          <w:tcPr>
            <w:tcW w:w="7320" w:type="dxa"/>
            <w:vAlign w:val="bottom"/>
          </w:tcPr>
          <w:p>
            <w:pPr>
              <w:ind w:left="120"/>
              <w:spacing w:after="0"/>
              <w:rPr>
                <w:sz w:val="20"/>
                <w:szCs w:val="20"/>
                <w:color w:val="auto"/>
              </w:rPr>
            </w:pPr>
            <w:r>
              <w:rPr>
                <w:rFonts w:ascii="Arial" w:cs="Arial" w:eastAsia="Arial" w:hAnsi="Arial"/>
                <w:sz w:val="15"/>
                <w:szCs w:val="15"/>
                <w:color w:val="auto"/>
              </w:rPr>
              <w:t>General and administrative expenses</w:t>
            </w:r>
          </w:p>
        </w:tc>
        <w:tc>
          <w:tcPr>
            <w:tcW w:w="1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(24,883)</w:t>
            </w:r>
          </w:p>
        </w:tc>
        <w:tc>
          <w:tcPr>
            <w:tcW w:w="1300" w:type="dxa"/>
            <w:vAlign w:val="bottom"/>
          </w:tcPr>
          <w:p>
            <w:pPr>
              <w:jc w:val="right"/>
              <w:spacing w:after="0"/>
              <w:rPr>
                <w:sz w:val="20"/>
                <w:szCs w:val="20"/>
                <w:color w:val="auto"/>
              </w:rPr>
            </w:pPr>
            <w:r>
              <w:rPr>
                <w:rFonts w:ascii="Arial" w:cs="Arial" w:eastAsia="Arial" w:hAnsi="Arial"/>
                <w:sz w:val="15"/>
                <w:szCs w:val="15"/>
                <w:color w:val="183964"/>
              </w:rPr>
              <w:t>(27,758)</w:t>
            </w:r>
          </w:p>
        </w:tc>
      </w:tr>
      <w:tr>
        <w:trPr>
          <w:trHeight w:val="243"/>
        </w:trPr>
        <w:tc>
          <w:tcPr>
            <w:tcW w:w="7320" w:type="dxa"/>
            <w:vAlign w:val="bottom"/>
          </w:tcPr>
          <w:p>
            <w:pPr>
              <w:ind w:left="120"/>
              <w:spacing w:after="0"/>
              <w:rPr>
                <w:sz w:val="20"/>
                <w:szCs w:val="20"/>
                <w:color w:val="auto"/>
              </w:rPr>
            </w:pPr>
            <w:r>
              <w:rPr>
                <w:rFonts w:ascii="Arial" w:cs="Arial" w:eastAsia="Arial" w:hAnsi="Arial"/>
                <w:sz w:val="15"/>
                <w:szCs w:val="15"/>
                <w:color w:val="auto"/>
              </w:rPr>
              <w:t>Research and development expenses</w:t>
            </w:r>
          </w:p>
        </w:tc>
        <w:tc>
          <w:tcPr>
            <w:tcW w:w="1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(24,900)</w:t>
            </w:r>
          </w:p>
        </w:tc>
        <w:tc>
          <w:tcPr>
            <w:tcW w:w="1300" w:type="dxa"/>
            <w:vAlign w:val="bottom"/>
          </w:tcPr>
          <w:p>
            <w:pPr>
              <w:jc w:val="right"/>
              <w:spacing w:after="0"/>
              <w:rPr>
                <w:sz w:val="20"/>
                <w:szCs w:val="20"/>
                <w:color w:val="auto"/>
              </w:rPr>
            </w:pPr>
            <w:r>
              <w:rPr>
                <w:rFonts w:ascii="Arial" w:cs="Arial" w:eastAsia="Arial" w:hAnsi="Arial"/>
                <w:sz w:val="15"/>
                <w:szCs w:val="15"/>
                <w:color w:val="183964"/>
              </w:rPr>
              <w:t>(38,928)</w:t>
            </w:r>
          </w:p>
        </w:tc>
      </w:tr>
      <w:tr>
        <w:trPr>
          <w:trHeight w:val="25"/>
        </w:trPr>
        <w:tc>
          <w:tcPr>
            <w:tcW w:w="7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1"/>
        </w:trPr>
        <w:tc>
          <w:tcPr>
            <w:tcW w:w="7320" w:type="dxa"/>
            <w:vAlign w:val="bottom"/>
          </w:tcPr>
          <w:p>
            <w:pPr>
              <w:ind w:left="20"/>
              <w:spacing w:after="0"/>
              <w:rPr>
                <w:sz w:val="20"/>
                <w:szCs w:val="20"/>
                <w:color w:val="auto"/>
              </w:rPr>
            </w:pPr>
            <w:r>
              <w:rPr>
                <w:rFonts w:ascii="Arial" w:cs="Arial" w:eastAsia="Arial" w:hAnsi="Arial"/>
                <w:sz w:val="15"/>
                <w:szCs w:val="15"/>
                <w:b w:val="1"/>
                <w:bCs w:val="1"/>
                <w:color w:val="auto"/>
              </w:rPr>
              <w:t>Operating income/(loss)</w:t>
            </w:r>
          </w:p>
        </w:tc>
        <w:tc>
          <w:tcPr>
            <w:tcW w:w="1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(47,931)</w:t>
            </w:r>
          </w:p>
        </w:tc>
        <w:tc>
          <w:tcPr>
            <w:tcW w:w="1300" w:type="dxa"/>
            <w:vAlign w:val="bottom"/>
          </w:tcPr>
          <w:p>
            <w:pPr>
              <w:jc w:val="right"/>
              <w:spacing w:after="0"/>
              <w:rPr>
                <w:sz w:val="20"/>
                <w:szCs w:val="20"/>
                <w:color w:val="auto"/>
              </w:rPr>
            </w:pPr>
            <w:r>
              <w:rPr>
                <w:rFonts w:ascii="Arial" w:cs="Arial" w:eastAsia="Arial" w:hAnsi="Arial"/>
                <w:sz w:val="15"/>
                <w:szCs w:val="15"/>
                <w:color w:val="183964"/>
              </w:rPr>
              <w:t>(66,398)</w:t>
            </w:r>
          </w:p>
        </w:tc>
      </w:tr>
      <w:tr>
        <w:trPr>
          <w:trHeight w:val="25"/>
        </w:trPr>
        <w:tc>
          <w:tcPr>
            <w:tcW w:w="732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r>
      <w:tr>
        <w:trPr>
          <w:trHeight w:val="204"/>
        </w:trPr>
        <w:tc>
          <w:tcPr>
            <w:tcW w:w="7320" w:type="dxa"/>
            <w:vAlign w:val="bottom"/>
          </w:tcPr>
          <w:p>
            <w:pPr>
              <w:ind w:left="20"/>
              <w:spacing w:after="0"/>
              <w:rPr>
                <w:sz w:val="20"/>
                <w:szCs w:val="20"/>
                <w:color w:val="auto"/>
              </w:rPr>
            </w:pPr>
            <w:r>
              <w:rPr>
                <w:rFonts w:ascii="Arial" w:cs="Arial" w:eastAsia="Arial" w:hAnsi="Arial"/>
                <w:sz w:val="15"/>
                <w:szCs w:val="15"/>
                <w:color w:val="auto"/>
              </w:rPr>
              <w:t>Other income/(expense):</w:t>
            </w: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1"/>
        </w:trPr>
        <w:tc>
          <w:tcPr>
            <w:tcW w:w="7320" w:type="dxa"/>
            <w:vAlign w:val="bottom"/>
          </w:tcPr>
          <w:p>
            <w:pPr>
              <w:ind w:left="120"/>
              <w:spacing w:after="0"/>
              <w:rPr>
                <w:sz w:val="20"/>
                <w:szCs w:val="20"/>
                <w:color w:val="auto"/>
              </w:rPr>
            </w:pPr>
            <w:r>
              <w:rPr>
                <w:rFonts w:ascii="Arial" w:cs="Arial" w:eastAsia="Arial" w:hAnsi="Arial"/>
                <w:sz w:val="15"/>
                <w:szCs w:val="15"/>
                <w:color w:val="auto"/>
              </w:rPr>
              <w:t>Gain/(loss) on investments held at fair value</w:t>
            </w:r>
          </w:p>
        </w:tc>
        <w:tc>
          <w:tcPr>
            <w:tcW w:w="1300" w:type="dxa"/>
            <w:vAlign w:val="bottom"/>
          </w:tcPr>
          <w:p>
            <w:pPr>
              <w:jc w:val="right"/>
              <w:spacing w:after="0"/>
              <w:rPr>
                <w:sz w:val="20"/>
                <w:szCs w:val="20"/>
                <w:color w:val="auto"/>
              </w:rPr>
            </w:pPr>
            <w:r>
              <w:rPr>
                <w:rFonts w:ascii="Arial" w:cs="Arial" w:eastAsia="Arial" w:hAnsi="Arial"/>
                <w:sz w:val="15"/>
                <w:szCs w:val="15"/>
                <w:color w:val="183964"/>
              </w:rPr>
              <w:t>4</w:t>
            </w: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3,679</w:t>
            </w: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3,882</w:t>
            </w:r>
          </w:p>
        </w:tc>
      </w:tr>
      <w:tr>
        <w:trPr>
          <w:trHeight w:val="243"/>
        </w:trPr>
        <w:tc>
          <w:tcPr>
            <w:tcW w:w="7320" w:type="dxa"/>
            <w:vAlign w:val="bottom"/>
          </w:tcPr>
          <w:p>
            <w:pPr>
              <w:ind w:left="120"/>
              <w:spacing w:after="0"/>
              <w:rPr>
                <w:sz w:val="20"/>
                <w:szCs w:val="20"/>
                <w:color w:val="auto"/>
              </w:rPr>
            </w:pPr>
            <w:r>
              <w:rPr>
                <w:rFonts w:ascii="Arial" w:cs="Arial" w:eastAsia="Arial" w:hAnsi="Arial"/>
                <w:sz w:val="15"/>
                <w:szCs w:val="15"/>
                <w:color w:val="auto"/>
              </w:rPr>
              <w:t>Realized gain/(loss) on sale of investments</w:t>
            </w:r>
          </w:p>
        </w:tc>
        <w:tc>
          <w:tcPr>
            <w:tcW w:w="1300" w:type="dxa"/>
            <w:vAlign w:val="bottom"/>
          </w:tcPr>
          <w:p>
            <w:pPr>
              <w:jc w:val="right"/>
              <w:spacing w:after="0"/>
              <w:rPr>
                <w:sz w:val="20"/>
                <w:szCs w:val="20"/>
                <w:color w:val="auto"/>
              </w:rPr>
            </w:pPr>
            <w:r>
              <w:rPr>
                <w:rFonts w:ascii="Arial" w:cs="Arial" w:eastAsia="Arial" w:hAnsi="Arial"/>
                <w:sz w:val="15"/>
                <w:szCs w:val="15"/>
                <w:color w:val="183964"/>
              </w:rPr>
              <w:t>4</w:t>
            </w: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375</w:t>
            </w: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151</w:t>
            </w:r>
          </w:p>
        </w:tc>
      </w:tr>
      <w:tr>
        <w:trPr>
          <w:trHeight w:val="243"/>
        </w:trPr>
        <w:tc>
          <w:tcPr>
            <w:tcW w:w="7320" w:type="dxa"/>
            <w:vAlign w:val="bottom"/>
          </w:tcPr>
          <w:p>
            <w:pPr>
              <w:ind w:left="120"/>
              <w:spacing w:after="0"/>
              <w:rPr>
                <w:sz w:val="20"/>
                <w:szCs w:val="20"/>
                <w:color w:val="auto"/>
              </w:rPr>
            </w:pPr>
            <w:r>
              <w:rPr>
                <w:rFonts w:ascii="Arial" w:cs="Arial" w:eastAsia="Arial" w:hAnsi="Arial"/>
                <w:sz w:val="15"/>
                <w:szCs w:val="15"/>
                <w:color w:val="auto"/>
              </w:rPr>
              <w:t>Gain/(loss) on investments in notes from associates</w:t>
            </w:r>
          </w:p>
        </w:tc>
        <w:tc>
          <w:tcPr>
            <w:tcW w:w="1300" w:type="dxa"/>
            <w:vAlign w:val="bottom"/>
          </w:tcPr>
          <w:p>
            <w:pPr>
              <w:jc w:val="right"/>
              <w:spacing w:after="0"/>
              <w:rPr>
                <w:sz w:val="20"/>
                <w:szCs w:val="20"/>
                <w:color w:val="auto"/>
              </w:rPr>
            </w:pPr>
            <w:r>
              <w:rPr>
                <w:rFonts w:ascii="Arial" w:cs="Arial" w:eastAsia="Arial" w:hAnsi="Arial"/>
                <w:sz w:val="15"/>
                <w:szCs w:val="15"/>
                <w:color w:val="183964"/>
              </w:rPr>
              <w:t>6</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(3,726)</w:t>
            </w: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11,612</w:t>
            </w:r>
          </w:p>
        </w:tc>
      </w:tr>
      <w:tr>
        <w:trPr>
          <w:trHeight w:val="243"/>
        </w:trPr>
        <w:tc>
          <w:tcPr>
            <w:tcW w:w="7320" w:type="dxa"/>
            <w:vAlign w:val="bottom"/>
          </w:tcPr>
          <w:p>
            <w:pPr>
              <w:ind w:left="120"/>
              <w:spacing w:after="0"/>
              <w:rPr>
                <w:sz w:val="20"/>
                <w:szCs w:val="20"/>
                <w:color w:val="auto"/>
              </w:rPr>
            </w:pPr>
            <w:r>
              <w:rPr>
                <w:rFonts w:ascii="Arial" w:cs="Arial" w:eastAsia="Arial" w:hAnsi="Arial"/>
                <w:sz w:val="15"/>
                <w:szCs w:val="15"/>
                <w:color w:val="auto"/>
              </w:rPr>
              <w:t>Other income/(expense)</w:t>
            </w:r>
          </w:p>
        </w:tc>
        <w:tc>
          <w:tcPr>
            <w:tcW w:w="1300" w:type="dxa"/>
            <w:vAlign w:val="bottom"/>
          </w:tcPr>
          <w:p>
            <w:pPr>
              <w:spacing w:after="0"/>
              <w:rPr>
                <w:sz w:val="21"/>
                <w:szCs w:val="21"/>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670</w:t>
            </w: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548</w:t>
            </w:r>
          </w:p>
        </w:tc>
      </w:tr>
      <w:tr>
        <w:trPr>
          <w:trHeight w:val="25"/>
        </w:trPr>
        <w:tc>
          <w:tcPr>
            <w:tcW w:w="7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1"/>
        </w:trPr>
        <w:tc>
          <w:tcPr>
            <w:tcW w:w="7320" w:type="dxa"/>
            <w:vAlign w:val="bottom"/>
          </w:tcPr>
          <w:p>
            <w:pPr>
              <w:ind w:left="20"/>
              <w:spacing w:after="0"/>
              <w:rPr>
                <w:sz w:val="20"/>
                <w:szCs w:val="20"/>
                <w:color w:val="auto"/>
              </w:rPr>
            </w:pPr>
            <w:r>
              <w:rPr>
                <w:rFonts w:ascii="Arial" w:cs="Arial" w:eastAsia="Arial" w:hAnsi="Arial"/>
                <w:sz w:val="15"/>
                <w:szCs w:val="15"/>
                <w:b w:val="1"/>
                <w:bCs w:val="1"/>
                <w:color w:val="auto"/>
              </w:rPr>
              <w:t>Other income/(expense)</w:t>
            </w:r>
          </w:p>
        </w:tc>
        <w:tc>
          <w:tcPr>
            <w:tcW w:w="1300" w:type="dxa"/>
            <w:vAlign w:val="bottom"/>
          </w:tcPr>
          <w:p>
            <w:pPr>
              <w:spacing w:after="0"/>
              <w:rPr>
                <w:sz w:val="18"/>
                <w:szCs w:val="18"/>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998</w:t>
            </w: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16,193</w:t>
            </w:r>
          </w:p>
        </w:tc>
      </w:tr>
      <w:tr>
        <w:trPr>
          <w:trHeight w:val="25"/>
        </w:trPr>
        <w:tc>
          <w:tcPr>
            <w:tcW w:w="732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Finance income/(costs):</w:t>
            </w: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1"/>
        </w:trPr>
        <w:tc>
          <w:tcPr>
            <w:tcW w:w="7320" w:type="dxa"/>
            <w:vAlign w:val="bottom"/>
          </w:tcPr>
          <w:p>
            <w:pPr>
              <w:ind w:left="120"/>
              <w:spacing w:after="0"/>
              <w:rPr>
                <w:sz w:val="20"/>
                <w:szCs w:val="20"/>
                <w:color w:val="auto"/>
              </w:rPr>
            </w:pPr>
            <w:r>
              <w:rPr>
                <w:rFonts w:ascii="Arial" w:cs="Arial" w:eastAsia="Arial" w:hAnsi="Arial"/>
                <w:sz w:val="15"/>
                <w:szCs w:val="15"/>
                <w:color w:val="auto"/>
              </w:rPr>
              <w:t>Finance income</w:t>
            </w:r>
          </w:p>
        </w:tc>
        <w:tc>
          <w:tcPr>
            <w:tcW w:w="1300" w:type="dxa"/>
            <w:vAlign w:val="bottom"/>
          </w:tcPr>
          <w:p>
            <w:pPr>
              <w:jc w:val="right"/>
              <w:spacing w:after="0"/>
              <w:rPr>
                <w:sz w:val="20"/>
                <w:szCs w:val="20"/>
                <w:color w:val="auto"/>
              </w:rPr>
            </w:pPr>
            <w:r>
              <w:rPr>
                <w:rFonts w:ascii="Arial" w:cs="Arial" w:eastAsia="Arial" w:hAnsi="Arial"/>
                <w:sz w:val="15"/>
                <w:szCs w:val="15"/>
                <w:color w:val="183964"/>
              </w:rPr>
              <w:t>8</w:t>
            </w: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7,076</w:t>
            </w: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11,732</w:t>
            </w:r>
          </w:p>
        </w:tc>
      </w:tr>
      <w:tr>
        <w:trPr>
          <w:trHeight w:val="243"/>
        </w:trPr>
        <w:tc>
          <w:tcPr>
            <w:tcW w:w="7320" w:type="dxa"/>
            <w:vAlign w:val="bottom"/>
          </w:tcPr>
          <w:p>
            <w:pPr>
              <w:ind w:left="120"/>
              <w:spacing w:after="0"/>
              <w:rPr>
                <w:sz w:val="20"/>
                <w:szCs w:val="20"/>
                <w:color w:val="auto"/>
              </w:rPr>
            </w:pPr>
            <w:r>
              <w:rPr>
                <w:rFonts w:ascii="Arial" w:cs="Arial" w:eastAsia="Arial" w:hAnsi="Arial"/>
                <w:sz w:val="15"/>
                <w:szCs w:val="15"/>
                <w:color w:val="auto"/>
              </w:rPr>
              <w:t>Finance costs – contractual</w:t>
            </w:r>
          </w:p>
        </w:tc>
        <w:tc>
          <w:tcPr>
            <w:tcW w:w="1300" w:type="dxa"/>
            <w:vAlign w:val="bottom"/>
          </w:tcPr>
          <w:p>
            <w:pPr>
              <w:jc w:val="right"/>
              <w:spacing w:after="0"/>
              <w:rPr>
                <w:sz w:val="20"/>
                <w:szCs w:val="20"/>
                <w:color w:val="auto"/>
              </w:rPr>
            </w:pPr>
            <w:r>
              <w:rPr>
                <w:rFonts w:ascii="Arial" w:cs="Arial" w:eastAsia="Arial" w:hAnsi="Arial"/>
                <w:sz w:val="15"/>
                <w:szCs w:val="15"/>
                <w:color w:val="183964"/>
              </w:rPr>
              <w:t>8</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(960)</w:t>
            </w:r>
          </w:p>
        </w:tc>
        <w:tc>
          <w:tcPr>
            <w:tcW w:w="1300" w:type="dxa"/>
            <w:vAlign w:val="bottom"/>
          </w:tcPr>
          <w:p>
            <w:pPr>
              <w:jc w:val="right"/>
              <w:spacing w:after="0"/>
              <w:rPr>
                <w:sz w:val="20"/>
                <w:szCs w:val="20"/>
                <w:color w:val="auto"/>
              </w:rPr>
            </w:pPr>
            <w:r>
              <w:rPr>
                <w:rFonts w:ascii="Arial" w:cs="Arial" w:eastAsia="Arial" w:hAnsi="Arial"/>
                <w:sz w:val="15"/>
                <w:szCs w:val="15"/>
                <w:color w:val="183964"/>
              </w:rPr>
              <w:t>(1,036)</w:t>
            </w:r>
          </w:p>
        </w:tc>
      </w:tr>
      <w:tr>
        <w:trPr>
          <w:trHeight w:val="243"/>
        </w:trPr>
        <w:tc>
          <w:tcPr>
            <w:tcW w:w="7320" w:type="dxa"/>
            <w:vAlign w:val="bottom"/>
          </w:tcPr>
          <w:p>
            <w:pPr>
              <w:ind w:left="120"/>
              <w:spacing w:after="0"/>
              <w:rPr>
                <w:sz w:val="20"/>
                <w:szCs w:val="20"/>
                <w:color w:val="auto"/>
              </w:rPr>
            </w:pPr>
            <w:r>
              <w:rPr>
                <w:rFonts w:ascii="Arial" w:cs="Arial" w:eastAsia="Arial" w:hAnsi="Arial"/>
                <w:sz w:val="15"/>
                <w:szCs w:val="15"/>
                <w:color w:val="auto"/>
              </w:rPr>
              <w:t>Finance income/(costs) – fair value accounting</w:t>
            </w:r>
          </w:p>
        </w:tc>
        <w:tc>
          <w:tcPr>
            <w:tcW w:w="1300" w:type="dxa"/>
            <w:vAlign w:val="bottom"/>
          </w:tcPr>
          <w:p>
            <w:pPr>
              <w:jc w:val="right"/>
              <w:spacing w:after="0"/>
              <w:rPr>
                <w:sz w:val="20"/>
                <w:szCs w:val="20"/>
                <w:color w:val="auto"/>
              </w:rPr>
            </w:pPr>
            <w:r>
              <w:rPr>
                <w:rFonts w:ascii="Arial" w:cs="Arial" w:eastAsia="Arial" w:hAnsi="Arial"/>
                <w:sz w:val="15"/>
                <w:szCs w:val="15"/>
                <w:color w:val="183964"/>
              </w:rPr>
              <w:t>8</w:t>
            </w: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183964"/>
              </w:rPr>
              <w:t>(1,613)</w:t>
            </w:r>
          </w:p>
        </w:tc>
      </w:tr>
      <w:tr>
        <w:trPr>
          <w:trHeight w:val="243"/>
        </w:trPr>
        <w:tc>
          <w:tcPr>
            <w:tcW w:w="7320" w:type="dxa"/>
            <w:vAlign w:val="bottom"/>
          </w:tcPr>
          <w:p>
            <w:pPr>
              <w:ind w:left="120"/>
              <w:spacing w:after="0"/>
              <w:rPr>
                <w:sz w:val="20"/>
                <w:szCs w:val="20"/>
                <w:color w:val="auto"/>
              </w:rPr>
            </w:pPr>
            <w:r>
              <w:rPr>
                <w:rFonts w:ascii="Arial" w:cs="Arial" w:eastAsia="Arial" w:hAnsi="Arial"/>
                <w:sz w:val="15"/>
                <w:szCs w:val="15"/>
                <w:color w:val="auto"/>
              </w:rPr>
              <w:t>Finance costs – non-cash interest expense related to sale of future royalties</w:t>
            </w:r>
          </w:p>
        </w:tc>
        <w:tc>
          <w:tcPr>
            <w:tcW w:w="1300" w:type="dxa"/>
            <w:vAlign w:val="bottom"/>
          </w:tcPr>
          <w:p>
            <w:pPr>
              <w:jc w:val="right"/>
              <w:spacing w:after="0"/>
              <w:rPr>
                <w:sz w:val="20"/>
                <w:szCs w:val="20"/>
                <w:color w:val="auto"/>
              </w:rPr>
            </w:pPr>
            <w:r>
              <w:rPr>
                <w:rFonts w:ascii="Arial" w:cs="Arial" w:eastAsia="Arial" w:hAnsi="Arial"/>
                <w:sz w:val="15"/>
                <w:szCs w:val="15"/>
                <w:color w:val="183964"/>
              </w:rPr>
              <w:t>8, 12</w:t>
            </w: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247</w:t>
            </w:r>
          </w:p>
        </w:tc>
        <w:tc>
          <w:tcPr>
            <w:tcW w:w="1300" w:type="dxa"/>
            <w:vAlign w:val="bottom"/>
          </w:tcPr>
          <w:p>
            <w:pPr>
              <w:jc w:val="right"/>
              <w:spacing w:after="0"/>
              <w:rPr>
                <w:sz w:val="20"/>
                <w:szCs w:val="20"/>
                <w:color w:val="auto"/>
              </w:rPr>
            </w:pPr>
            <w:r>
              <w:rPr>
                <w:rFonts w:ascii="Arial" w:cs="Arial" w:eastAsia="Arial" w:hAnsi="Arial"/>
                <w:sz w:val="15"/>
                <w:szCs w:val="15"/>
                <w:color w:val="183964"/>
              </w:rPr>
              <w:t>(10,551)</w:t>
            </w:r>
          </w:p>
        </w:tc>
      </w:tr>
      <w:tr>
        <w:trPr>
          <w:trHeight w:val="25"/>
        </w:trPr>
        <w:tc>
          <w:tcPr>
            <w:tcW w:w="7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1"/>
        </w:trPr>
        <w:tc>
          <w:tcPr>
            <w:tcW w:w="7320" w:type="dxa"/>
            <w:vAlign w:val="bottom"/>
          </w:tcPr>
          <w:p>
            <w:pPr>
              <w:ind w:left="20"/>
              <w:spacing w:after="0"/>
              <w:rPr>
                <w:sz w:val="20"/>
                <w:szCs w:val="20"/>
                <w:color w:val="auto"/>
              </w:rPr>
            </w:pPr>
            <w:r>
              <w:rPr>
                <w:rFonts w:ascii="Arial" w:cs="Arial" w:eastAsia="Arial" w:hAnsi="Arial"/>
                <w:sz w:val="15"/>
                <w:szCs w:val="15"/>
                <w:b w:val="1"/>
                <w:bCs w:val="1"/>
                <w:color w:val="auto"/>
              </w:rPr>
              <w:t>Net finance income/(costs)</w:t>
            </w:r>
          </w:p>
        </w:tc>
        <w:tc>
          <w:tcPr>
            <w:tcW w:w="1300" w:type="dxa"/>
            <w:vAlign w:val="bottom"/>
          </w:tcPr>
          <w:p>
            <w:pPr>
              <w:spacing w:after="0"/>
              <w:rPr>
                <w:sz w:val="18"/>
                <w:szCs w:val="18"/>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6,363</w:t>
            </w:r>
          </w:p>
        </w:tc>
        <w:tc>
          <w:tcPr>
            <w:tcW w:w="1300" w:type="dxa"/>
            <w:vAlign w:val="bottom"/>
          </w:tcPr>
          <w:p>
            <w:pPr>
              <w:jc w:val="right"/>
              <w:spacing w:after="0"/>
              <w:rPr>
                <w:sz w:val="20"/>
                <w:szCs w:val="20"/>
                <w:color w:val="auto"/>
              </w:rPr>
            </w:pPr>
            <w:r>
              <w:rPr>
                <w:rFonts w:ascii="Arial" w:cs="Arial" w:eastAsia="Arial" w:hAnsi="Arial"/>
                <w:sz w:val="15"/>
                <w:szCs w:val="15"/>
                <w:color w:val="183964"/>
              </w:rPr>
              <w:t>(1,468)</w:t>
            </w:r>
          </w:p>
        </w:tc>
      </w:tr>
      <w:tr>
        <w:trPr>
          <w:trHeight w:val="25"/>
        </w:trPr>
        <w:tc>
          <w:tcPr>
            <w:tcW w:w="732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r>
      <w:tr>
        <w:trPr>
          <w:trHeight w:val="211"/>
        </w:trPr>
        <w:tc>
          <w:tcPr>
            <w:tcW w:w="7320" w:type="dxa"/>
            <w:vAlign w:val="bottom"/>
          </w:tcPr>
          <w:p>
            <w:pPr>
              <w:ind w:left="20"/>
              <w:spacing w:after="0"/>
              <w:rPr>
                <w:sz w:val="20"/>
                <w:szCs w:val="20"/>
                <w:color w:val="auto"/>
              </w:rPr>
            </w:pPr>
            <w:r>
              <w:rPr>
                <w:rFonts w:ascii="Arial" w:cs="Arial" w:eastAsia="Arial" w:hAnsi="Arial"/>
                <w:sz w:val="15"/>
                <w:szCs w:val="15"/>
                <w:color w:val="auto"/>
              </w:rPr>
              <w:t>Share of net income/(loss) of associates accounted for using the equity method</w:t>
            </w:r>
          </w:p>
        </w:tc>
        <w:tc>
          <w:tcPr>
            <w:tcW w:w="1300" w:type="dxa"/>
            <w:vAlign w:val="bottom"/>
          </w:tcPr>
          <w:p>
            <w:pPr>
              <w:jc w:val="right"/>
              <w:spacing w:after="0"/>
              <w:rPr>
                <w:sz w:val="20"/>
                <w:szCs w:val="20"/>
                <w:color w:val="auto"/>
              </w:rPr>
            </w:pPr>
            <w:r>
              <w:rPr>
                <w:rFonts w:ascii="Arial" w:cs="Arial" w:eastAsia="Arial" w:hAnsi="Arial"/>
                <w:sz w:val="15"/>
                <w:szCs w:val="15"/>
                <w:color w:val="183964"/>
              </w:rPr>
              <w:t>5</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(3,996)</w:t>
            </w:r>
          </w:p>
        </w:tc>
        <w:tc>
          <w:tcPr>
            <w:tcW w:w="1300" w:type="dxa"/>
            <w:vAlign w:val="bottom"/>
          </w:tcPr>
          <w:p>
            <w:pPr>
              <w:jc w:val="right"/>
              <w:spacing w:after="0"/>
              <w:rPr>
                <w:sz w:val="20"/>
                <w:szCs w:val="20"/>
                <w:color w:val="auto"/>
              </w:rPr>
            </w:pPr>
            <w:r>
              <w:rPr>
                <w:rFonts w:ascii="Arial" w:cs="Arial" w:eastAsia="Arial" w:hAnsi="Arial"/>
                <w:sz w:val="15"/>
                <w:szCs w:val="15"/>
                <w:color w:val="183964"/>
              </w:rPr>
              <w:t>(3,357)</w:t>
            </w:r>
          </w:p>
        </w:tc>
      </w:tr>
      <w:tr>
        <w:trPr>
          <w:trHeight w:val="243"/>
        </w:trPr>
        <w:tc>
          <w:tcPr>
            <w:tcW w:w="7320" w:type="dxa"/>
            <w:vAlign w:val="bottom"/>
          </w:tcPr>
          <w:p>
            <w:pPr>
              <w:ind w:left="20"/>
              <w:spacing w:after="0"/>
              <w:rPr>
                <w:sz w:val="20"/>
                <w:szCs w:val="20"/>
                <w:color w:val="auto"/>
              </w:rPr>
            </w:pPr>
            <w:r>
              <w:rPr>
                <w:rFonts w:ascii="Arial" w:cs="Arial" w:eastAsia="Arial" w:hAnsi="Arial"/>
                <w:sz w:val="15"/>
                <w:szCs w:val="15"/>
                <w:color w:val="auto"/>
              </w:rPr>
              <w:t>Gain/(loss) on dilution of ownership interest in associates</w:t>
            </w:r>
          </w:p>
        </w:tc>
        <w:tc>
          <w:tcPr>
            <w:tcW w:w="1300" w:type="dxa"/>
            <w:vAlign w:val="bottom"/>
          </w:tcPr>
          <w:p>
            <w:pPr>
              <w:jc w:val="right"/>
              <w:spacing w:after="0"/>
              <w:rPr>
                <w:sz w:val="20"/>
                <w:szCs w:val="20"/>
                <w:color w:val="auto"/>
              </w:rPr>
            </w:pPr>
            <w:r>
              <w:rPr>
                <w:rFonts w:ascii="Arial" w:cs="Arial" w:eastAsia="Arial" w:hAnsi="Arial"/>
                <w:sz w:val="15"/>
                <w:szCs w:val="15"/>
                <w:color w:val="183964"/>
              </w:rPr>
              <w:t>5</w:t>
            </w: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708</w:t>
            </w: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w:t>
            </w:r>
          </w:p>
        </w:tc>
      </w:tr>
      <w:tr>
        <w:trPr>
          <w:trHeight w:val="25"/>
        </w:trPr>
        <w:tc>
          <w:tcPr>
            <w:tcW w:w="7320" w:type="dxa"/>
            <w:vAlign w:val="bottom"/>
            <w:tcBorders>
              <w:bottom w:val="single" w:sz="8" w:color="auto"/>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r>
      <w:tr>
        <w:trPr>
          <w:trHeight w:val="211"/>
        </w:trPr>
        <w:tc>
          <w:tcPr>
            <w:tcW w:w="7320" w:type="dxa"/>
            <w:vAlign w:val="bottom"/>
          </w:tcPr>
          <w:p>
            <w:pPr>
              <w:ind w:left="20"/>
              <w:spacing w:after="0"/>
              <w:rPr>
                <w:sz w:val="20"/>
                <w:szCs w:val="20"/>
                <w:color w:val="auto"/>
              </w:rPr>
            </w:pPr>
            <w:r>
              <w:rPr>
                <w:rFonts w:ascii="Arial" w:cs="Arial" w:eastAsia="Arial" w:hAnsi="Arial"/>
                <w:sz w:val="15"/>
                <w:szCs w:val="15"/>
                <w:b w:val="1"/>
                <w:bCs w:val="1"/>
                <w:color w:val="auto"/>
              </w:rPr>
              <w:t>Income/(loss) before taxes</w:t>
            </w:r>
          </w:p>
        </w:tc>
        <w:tc>
          <w:tcPr>
            <w:tcW w:w="1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(43,859)</w:t>
            </w:r>
          </w:p>
        </w:tc>
        <w:tc>
          <w:tcPr>
            <w:tcW w:w="1300" w:type="dxa"/>
            <w:vAlign w:val="bottom"/>
          </w:tcPr>
          <w:p>
            <w:pPr>
              <w:jc w:val="right"/>
              <w:spacing w:after="0"/>
              <w:rPr>
                <w:sz w:val="20"/>
                <w:szCs w:val="20"/>
                <w:color w:val="auto"/>
              </w:rPr>
            </w:pPr>
            <w:r>
              <w:rPr>
                <w:rFonts w:ascii="Arial" w:cs="Arial" w:eastAsia="Arial" w:hAnsi="Arial"/>
                <w:sz w:val="15"/>
                <w:szCs w:val="15"/>
                <w:color w:val="183964"/>
              </w:rPr>
              <w:t>(55,030)</w:t>
            </w:r>
          </w:p>
        </w:tc>
      </w:tr>
      <w:tr>
        <w:trPr>
          <w:trHeight w:val="243"/>
        </w:trPr>
        <w:tc>
          <w:tcPr>
            <w:tcW w:w="7320" w:type="dxa"/>
            <w:vAlign w:val="bottom"/>
          </w:tcPr>
          <w:p>
            <w:pPr>
              <w:ind w:left="20"/>
              <w:spacing w:after="0"/>
              <w:rPr>
                <w:sz w:val="20"/>
                <w:szCs w:val="20"/>
                <w:color w:val="auto"/>
              </w:rPr>
            </w:pPr>
            <w:r>
              <w:rPr>
                <w:rFonts w:ascii="Arial" w:cs="Arial" w:eastAsia="Arial" w:hAnsi="Arial"/>
                <w:sz w:val="15"/>
                <w:szCs w:val="15"/>
                <w:color w:val="auto"/>
              </w:rPr>
              <w:t>Tax benefit/(expense)</w:t>
            </w:r>
          </w:p>
        </w:tc>
        <w:tc>
          <w:tcPr>
            <w:tcW w:w="1300" w:type="dxa"/>
            <w:vAlign w:val="bottom"/>
          </w:tcPr>
          <w:p>
            <w:pPr>
              <w:jc w:val="right"/>
              <w:spacing w:after="0"/>
              <w:rPr>
                <w:sz w:val="20"/>
                <w:szCs w:val="20"/>
                <w:color w:val="auto"/>
              </w:rPr>
            </w:pPr>
            <w:r>
              <w:rPr>
                <w:rFonts w:ascii="Arial" w:cs="Arial" w:eastAsia="Arial" w:hAnsi="Arial"/>
                <w:sz w:val="15"/>
                <w:szCs w:val="15"/>
                <w:color w:val="183964"/>
              </w:rPr>
              <w:t>18</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(923)</w:t>
            </w: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6,147</w:t>
            </w:r>
          </w:p>
        </w:tc>
      </w:tr>
      <w:tr>
        <w:trPr>
          <w:trHeight w:val="25"/>
        </w:trPr>
        <w:tc>
          <w:tcPr>
            <w:tcW w:w="7320" w:type="dxa"/>
            <w:vAlign w:val="bottom"/>
            <w:tcBorders>
              <w:bottom w:val="single" w:sz="8" w:color="auto"/>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r>
      <w:tr>
        <w:trPr>
          <w:trHeight w:val="211"/>
        </w:trPr>
        <w:tc>
          <w:tcPr>
            <w:tcW w:w="7320" w:type="dxa"/>
            <w:vAlign w:val="bottom"/>
          </w:tcPr>
          <w:p>
            <w:pPr>
              <w:ind w:left="20"/>
              <w:spacing w:after="0"/>
              <w:rPr>
                <w:sz w:val="20"/>
                <w:szCs w:val="20"/>
                <w:color w:val="auto"/>
              </w:rPr>
            </w:pPr>
            <w:r>
              <w:rPr>
                <w:rFonts w:ascii="Arial" w:cs="Arial" w:eastAsia="Arial" w:hAnsi="Arial"/>
                <w:sz w:val="15"/>
                <w:szCs w:val="15"/>
                <w:b w:val="1"/>
                <w:bCs w:val="1"/>
                <w:color w:val="auto"/>
              </w:rPr>
              <w:t>Income/(loss) for the period</w:t>
            </w:r>
          </w:p>
        </w:tc>
        <w:tc>
          <w:tcPr>
            <w:tcW w:w="1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(44,781)</w:t>
            </w:r>
          </w:p>
        </w:tc>
        <w:tc>
          <w:tcPr>
            <w:tcW w:w="1300" w:type="dxa"/>
            <w:vAlign w:val="bottom"/>
          </w:tcPr>
          <w:p>
            <w:pPr>
              <w:jc w:val="right"/>
              <w:spacing w:after="0"/>
              <w:rPr>
                <w:sz w:val="20"/>
                <w:szCs w:val="20"/>
                <w:color w:val="auto"/>
              </w:rPr>
            </w:pPr>
            <w:r>
              <w:rPr>
                <w:rFonts w:ascii="Arial" w:cs="Arial" w:eastAsia="Arial" w:hAnsi="Arial"/>
                <w:sz w:val="15"/>
                <w:szCs w:val="15"/>
                <w:color w:val="183964"/>
              </w:rPr>
              <w:t>(48,883)</w:t>
            </w:r>
          </w:p>
        </w:tc>
      </w:tr>
      <w:tr>
        <w:trPr>
          <w:trHeight w:val="25"/>
        </w:trPr>
        <w:tc>
          <w:tcPr>
            <w:tcW w:w="732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r>
      <w:tr>
        <w:trPr>
          <w:trHeight w:val="211"/>
        </w:trPr>
        <w:tc>
          <w:tcPr>
            <w:tcW w:w="7320" w:type="dxa"/>
            <w:vAlign w:val="bottom"/>
          </w:tcPr>
          <w:p>
            <w:pPr>
              <w:ind w:left="20"/>
              <w:spacing w:after="0"/>
              <w:rPr>
                <w:sz w:val="20"/>
                <w:szCs w:val="20"/>
                <w:color w:val="auto"/>
              </w:rPr>
            </w:pPr>
            <w:r>
              <w:rPr>
                <w:rFonts w:ascii="Arial" w:cs="Arial" w:eastAsia="Arial" w:hAnsi="Arial"/>
                <w:sz w:val="15"/>
                <w:szCs w:val="15"/>
                <w:color w:val="auto"/>
              </w:rPr>
              <w:t>Total other comprehensive income/(loss)</w:t>
            </w:r>
          </w:p>
        </w:tc>
        <w:tc>
          <w:tcPr>
            <w:tcW w:w="1300" w:type="dxa"/>
            <w:vAlign w:val="bottom"/>
          </w:tcPr>
          <w:p>
            <w:pPr>
              <w:spacing w:after="0"/>
              <w:rPr>
                <w:sz w:val="18"/>
                <w:szCs w:val="18"/>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w:t>
            </w: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w:t>
            </w:r>
          </w:p>
        </w:tc>
      </w:tr>
      <w:tr>
        <w:trPr>
          <w:trHeight w:val="25"/>
        </w:trPr>
        <w:tc>
          <w:tcPr>
            <w:tcW w:w="732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r>
      <w:tr>
        <w:trPr>
          <w:trHeight w:val="211"/>
        </w:trPr>
        <w:tc>
          <w:tcPr>
            <w:tcW w:w="732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income/(loss) for the period</w:t>
            </w:r>
          </w:p>
        </w:tc>
        <w:tc>
          <w:tcPr>
            <w:tcW w:w="1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(44,781)</w:t>
            </w:r>
          </w:p>
        </w:tc>
        <w:tc>
          <w:tcPr>
            <w:tcW w:w="1300" w:type="dxa"/>
            <w:vAlign w:val="bottom"/>
          </w:tcPr>
          <w:p>
            <w:pPr>
              <w:jc w:val="right"/>
              <w:spacing w:after="0"/>
              <w:rPr>
                <w:sz w:val="20"/>
                <w:szCs w:val="20"/>
                <w:color w:val="auto"/>
              </w:rPr>
            </w:pPr>
            <w:r>
              <w:rPr>
                <w:rFonts w:ascii="Arial" w:cs="Arial" w:eastAsia="Arial" w:hAnsi="Arial"/>
                <w:sz w:val="15"/>
                <w:szCs w:val="15"/>
                <w:color w:val="183964"/>
              </w:rPr>
              <w:t>(48,883)</w:t>
            </w:r>
          </w:p>
        </w:tc>
      </w:tr>
      <w:tr>
        <w:trPr>
          <w:trHeight w:val="25"/>
        </w:trPr>
        <w:tc>
          <w:tcPr>
            <w:tcW w:w="732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r>
      <w:tr>
        <w:trPr>
          <w:trHeight w:val="212"/>
        </w:trPr>
        <w:tc>
          <w:tcPr>
            <w:tcW w:w="7320" w:type="dxa"/>
            <w:vAlign w:val="bottom"/>
          </w:tcPr>
          <w:p>
            <w:pPr>
              <w:ind w:left="20"/>
              <w:spacing w:after="0"/>
              <w:rPr>
                <w:sz w:val="20"/>
                <w:szCs w:val="20"/>
                <w:color w:val="auto"/>
              </w:rPr>
            </w:pPr>
            <w:r>
              <w:rPr>
                <w:rFonts w:ascii="Arial" w:cs="Arial" w:eastAsia="Arial" w:hAnsi="Arial"/>
                <w:sz w:val="15"/>
                <w:szCs w:val="15"/>
                <w:b w:val="1"/>
                <w:bCs w:val="1"/>
                <w:color w:val="auto"/>
              </w:rPr>
              <w:t>Income/(loss) attributable to:</w:t>
            </w: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3"/>
        </w:trPr>
        <w:tc>
          <w:tcPr>
            <w:tcW w:w="7320" w:type="dxa"/>
            <w:vAlign w:val="bottom"/>
          </w:tcPr>
          <w:p>
            <w:pPr>
              <w:ind w:left="20"/>
              <w:spacing w:after="0"/>
              <w:rPr>
                <w:sz w:val="20"/>
                <w:szCs w:val="20"/>
                <w:color w:val="auto"/>
              </w:rPr>
            </w:pPr>
            <w:r>
              <w:rPr>
                <w:rFonts w:ascii="Arial" w:cs="Arial" w:eastAsia="Arial" w:hAnsi="Arial"/>
                <w:sz w:val="15"/>
                <w:szCs w:val="15"/>
                <w:color w:val="auto"/>
              </w:rPr>
              <w:t>Owners of the Group</w:t>
            </w:r>
          </w:p>
        </w:tc>
        <w:tc>
          <w:tcPr>
            <w:tcW w:w="1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(44,605)</w:t>
            </w:r>
          </w:p>
        </w:tc>
        <w:tc>
          <w:tcPr>
            <w:tcW w:w="1300" w:type="dxa"/>
            <w:vAlign w:val="bottom"/>
          </w:tcPr>
          <w:p>
            <w:pPr>
              <w:jc w:val="right"/>
              <w:spacing w:after="0"/>
              <w:rPr>
                <w:sz w:val="20"/>
                <w:szCs w:val="20"/>
                <w:color w:val="auto"/>
              </w:rPr>
            </w:pPr>
            <w:r>
              <w:rPr>
                <w:rFonts w:ascii="Arial" w:cs="Arial" w:eastAsia="Arial" w:hAnsi="Arial"/>
                <w:sz w:val="15"/>
                <w:szCs w:val="15"/>
                <w:color w:val="183964"/>
              </w:rPr>
              <w:t>(41,773)</w:t>
            </w:r>
          </w:p>
        </w:tc>
      </w:tr>
      <w:tr>
        <w:trPr>
          <w:trHeight w:val="243"/>
        </w:trPr>
        <w:tc>
          <w:tcPr>
            <w:tcW w:w="7320" w:type="dxa"/>
            <w:vAlign w:val="bottom"/>
          </w:tcPr>
          <w:p>
            <w:pPr>
              <w:ind w:left="20"/>
              <w:spacing w:after="0"/>
              <w:rPr>
                <w:sz w:val="20"/>
                <w:szCs w:val="20"/>
                <w:color w:val="auto"/>
              </w:rPr>
            </w:pPr>
            <w:r>
              <w:rPr>
                <w:rFonts w:ascii="Arial" w:cs="Arial" w:eastAsia="Arial" w:hAnsi="Arial"/>
                <w:sz w:val="15"/>
                <w:szCs w:val="15"/>
                <w:color w:val="auto"/>
              </w:rPr>
              <w:t>Non-controlling interests</w:t>
            </w:r>
          </w:p>
        </w:tc>
        <w:tc>
          <w:tcPr>
            <w:tcW w:w="1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(176)</w:t>
            </w:r>
          </w:p>
        </w:tc>
        <w:tc>
          <w:tcPr>
            <w:tcW w:w="1300" w:type="dxa"/>
            <w:vAlign w:val="bottom"/>
          </w:tcPr>
          <w:p>
            <w:pPr>
              <w:jc w:val="right"/>
              <w:spacing w:after="0"/>
              <w:rPr>
                <w:sz w:val="20"/>
                <w:szCs w:val="20"/>
                <w:color w:val="auto"/>
              </w:rPr>
            </w:pPr>
            <w:r>
              <w:rPr>
                <w:rFonts w:ascii="Arial" w:cs="Arial" w:eastAsia="Arial" w:hAnsi="Arial"/>
                <w:sz w:val="15"/>
                <w:szCs w:val="15"/>
                <w:color w:val="183964"/>
              </w:rPr>
              <w:t>(7,111)</w:t>
            </w:r>
          </w:p>
        </w:tc>
      </w:tr>
      <w:tr>
        <w:trPr>
          <w:trHeight w:val="25"/>
        </w:trPr>
        <w:tc>
          <w:tcPr>
            <w:tcW w:w="7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1"/>
        </w:trPr>
        <w:tc>
          <w:tcPr>
            <w:tcW w:w="7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(44,781)</w:t>
            </w:r>
          </w:p>
        </w:tc>
        <w:tc>
          <w:tcPr>
            <w:tcW w:w="1300" w:type="dxa"/>
            <w:vAlign w:val="bottom"/>
          </w:tcPr>
          <w:p>
            <w:pPr>
              <w:jc w:val="right"/>
              <w:spacing w:after="0"/>
              <w:rPr>
                <w:sz w:val="20"/>
                <w:szCs w:val="20"/>
                <w:color w:val="auto"/>
              </w:rPr>
            </w:pPr>
            <w:r>
              <w:rPr>
                <w:rFonts w:ascii="Arial" w:cs="Arial" w:eastAsia="Arial" w:hAnsi="Arial"/>
                <w:sz w:val="15"/>
                <w:szCs w:val="15"/>
                <w:color w:val="183964"/>
              </w:rPr>
              <w:t>(48,883)</w:t>
            </w:r>
          </w:p>
        </w:tc>
      </w:tr>
      <w:tr>
        <w:trPr>
          <w:trHeight w:val="25"/>
        </w:trPr>
        <w:tc>
          <w:tcPr>
            <w:tcW w:w="7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1"/>
        </w:trPr>
        <w:tc>
          <w:tcPr>
            <w:tcW w:w="7320" w:type="dxa"/>
            <w:vAlign w:val="bottom"/>
          </w:tcPr>
          <w:p>
            <w:pPr>
              <w:ind w:left="20"/>
              <w:spacing w:after="0"/>
              <w:rPr>
                <w:sz w:val="20"/>
                <w:szCs w:val="20"/>
                <w:color w:val="auto"/>
              </w:rPr>
            </w:pPr>
            <w:r>
              <w:rPr>
                <w:rFonts w:ascii="Arial" w:cs="Arial" w:eastAsia="Arial" w:hAnsi="Arial"/>
                <w:sz w:val="15"/>
                <w:szCs w:val="15"/>
                <w:b w:val="1"/>
                <w:bCs w:val="1"/>
                <w:color w:val="auto"/>
              </w:rPr>
              <w:t>Comprehensive income/(loss) attributable to:</w:t>
            </w: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3"/>
        </w:trPr>
        <w:tc>
          <w:tcPr>
            <w:tcW w:w="7320" w:type="dxa"/>
            <w:vAlign w:val="bottom"/>
          </w:tcPr>
          <w:p>
            <w:pPr>
              <w:ind w:left="20"/>
              <w:spacing w:after="0"/>
              <w:rPr>
                <w:sz w:val="20"/>
                <w:szCs w:val="20"/>
                <w:color w:val="auto"/>
              </w:rPr>
            </w:pPr>
            <w:r>
              <w:rPr>
                <w:rFonts w:ascii="Arial" w:cs="Arial" w:eastAsia="Arial" w:hAnsi="Arial"/>
                <w:sz w:val="15"/>
                <w:szCs w:val="15"/>
                <w:color w:val="auto"/>
              </w:rPr>
              <w:t>Owners of the Group</w:t>
            </w:r>
          </w:p>
        </w:tc>
        <w:tc>
          <w:tcPr>
            <w:tcW w:w="1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(44,605)</w:t>
            </w:r>
          </w:p>
        </w:tc>
        <w:tc>
          <w:tcPr>
            <w:tcW w:w="1300" w:type="dxa"/>
            <w:vAlign w:val="bottom"/>
          </w:tcPr>
          <w:p>
            <w:pPr>
              <w:jc w:val="right"/>
              <w:spacing w:after="0"/>
              <w:rPr>
                <w:sz w:val="20"/>
                <w:szCs w:val="20"/>
                <w:color w:val="auto"/>
              </w:rPr>
            </w:pPr>
            <w:r>
              <w:rPr>
                <w:rFonts w:ascii="Arial" w:cs="Arial" w:eastAsia="Arial" w:hAnsi="Arial"/>
                <w:sz w:val="15"/>
                <w:szCs w:val="15"/>
                <w:color w:val="183964"/>
              </w:rPr>
              <w:t>(41,773)</w:t>
            </w:r>
          </w:p>
        </w:tc>
      </w:tr>
      <w:tr>
        <w:trPr>
          <w:trHeight w:val="243"/>
        </w:trPr>
        <w:tc>
          <w:tcPr>
            <w:tcW w:w="7320" w:type="dxa"/>
            <w:vAlign w:val="bottom"/>
          </w:tcPr>
          <w:p>
            <w:pPr>
              <w:ind w:left="20"/>
              <w:spacing w:after="0"/>
              <w:rPr>
                <w:sz w:val="20"/>
                <w:szCs w:val="20"/>
                <w:color w:val="auto"/>
              </w:rPr>
            </w:pPr>
            <w:r>
              <w:rPr>
                <w:rFonts w:ascii="Arial" w:cs="Arial" w:eastAsia="Arial" w:hAnsi="Arial"/>
                <w:sz w:val="15"/>
                <w:szCs w:val="15"/>
                <w:color w:val="auto"/>
              </w:rPr>
              <w:t>Non-controlling interests</w:t>
            </w:r>
          </w:p>
        </w:tc>
        <w:tc>
          <w:tcPr>
            <w:tcW w:w="1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(176)</w:t>
            </w:r>
          </w:p>
        </w:tc>
        <w:tc>
          <w:tcPr>
            <w:tcW w:w="1300" w:type="dxa"/>
            <w:vAlign w:val="bottom"/>
          </w:tcPr>
          <w:p>
            <w:pPr>
              <w:jc w:val="right"/>
              <w:spacing w:after="0"/>
              <w:rPr>
                <w:sz w:val="20"/>
                <w:szCs w:val="20"/>
                <w:color w:val="auto"/>
              </w:rPr>
            </w:pPr>
            <w:r>
              <w:rPr>
                <w:rFonts w:ascii="Arial" w:cs="Arial" w:eastAsia="Arial" w:hAnsi="Arial"/>
                <w:sz w:val="15"/>
                <w:szCs w:val="15"/>
                <w:color w:val="183964"/>
              </w:rPr>
              <w:t>(7,111)</w:t>
            </w:r>
          </w:p>
        </w:tc>
      </w:tr>
      <w:tr>
        <w:trPr>
          <w:trHeight w:val="25"/>
        </w:trPr>
        <w:tc>
          <w:tcPr>
            <w:tcW w:w="7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2"/>
        </w:trPr>
        <w:tc>
          <w:tcPr>
            <w:tcW w:w="7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(44,781)</w:t>
            </w:r>
          </w:p>
        </w:tc>
        <w:tc>
          <w:tcPr>
            <w:tcW w:w="1300" w:type="dxa"/>
            <w:vAlign w:val="bottom"/>
          </w:tcPr>
          <w:p>
            <w:pPr>
              <w:jc w:val="right"/>
              <w:spacing w:after="0"/>
              <w:rPr>
                <w:sz w:val="20"/>
                <w:szCs w:val="20"/>
                <w:color w:val="auto"/>
              </w:rPr>
            </w:pPr>
            <w:r>
              <w:rPr>
                <w:rFonts w:ascii="Arial" w:cs="Arial" w:eastAsia="Arial" w:hAnsi="Arial"/>
                <w:sz w:val="15"/>
                <w:szCs w:val="15"/>
                <w:color w:val="183964"/>
              </w:rPr>
              <w:t>(48,883)</w:t>
            </w:r>
          </w:p>
        </w:tc>
      </w:tr>
      <w:tr>
        <w:trPr>
          <w:trHeight w:val="25"/>
        </w:trPr>
        <w:tc>
          <w:tcPr>
            <w:tcW w:w="7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5"/>
        </w:trPr>
        <w:tc>
          <w:tcPr>
            <w:tcW w:w="7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183964"/>
              </w:rPr>
              <w:t>$</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1"/>
        </w:trPr>
        <w:tc>
          <w:tcPr>
            <w:tcW w:w="7320" w:type="dxa"/>
            <w:vAlign w:val="bottom"/>
          </w:tcPr>
          <w:p>
            <w:pPr>
              <w:ind w:left="20"/>
              <w:spacing w:after="0"/>
              <w:rPr>
                <w:sz w:val="20"/>
                <w:szCs w:val="20"/>
                <w:color w:val="auto"/>
              </w:rPr>
            </w:pPr>
            <w:r>
              <w:rPr>
                <w:rFonts w:ascii="Arial" w:cs="Arial" w:eastAsia="Arial" w:hAnsi="Arial"/>
                <w:sz w:val="15"/>
                <w:szCs w:val="15"/>
                <w:b w:val="1"/>
                <w:bCs w:val="1"/>
                <w:color w:val="auto"/>
              </w:rPr>
              <w:t>Earnings/(loss) per share:</w:t>
            </w: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3"/>
        </w:trPr>
        <w:tc>
          <w:tcPr>
            <w:tcW w:w="7320" w:type="dxa"/>
            <w:vAlign w:val="bottom"/>
          </w:tcPr>
          <w:p>
            <w:pPr>
              <w:ind w:left="20"/>
              <w:spacing w:after="0"/>
              <w:rPr>
                <w:sz w:val="20"/>
                <w:szCs w:val="20"/>
                <w:color w:val="auto"/>
              </w:rPr>
            </w:pPr>
            <w:r>
              <w:rPr>
                <w:rFonts w:ascii="Arial" w:cs="Arial" w:eastAsia="Arial" w:hAnsi="Arial"/>
                <w:sz w:val="15"/>
                <w:szCs w:val="15"/>
                <w:color w:val="auto"/>
              </w:rPr>
              <w:t>Basic earnings/(loss) per share</w:t>
            </w:r>
          </w:p>
        </w:tc>
        <w:tc>
          <w:tcPr>
            <w:tcW w:w="1300" w:type="dxa"/>
            <w:vAlign w:val="bottom"/>
          </w:tcPr>
          <w:p>
            <w:pPr>
              <w:jc w:val="right"/>
              <w:spacing w:after="0"/>
              <w:rPr>
                <w:sz w:val="20"/>
                <w:szCs w:val="20"/>
                <w:color w:val="auto"/>
              </w:rPr>
            </w:pPr>
            <w:r>
              <w:rPr>
                <w:rFonts w:ascii="Arial" w:cs="Arial" w:eastAsia="Arial" w:hAnsi="Arial"/>
                <w:sz w:val="15"/>
                <w:szCs w:val="15"/>
                <w:color w:val="183964"/>
              </w:rPr>
              <w:t>9</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(0.19)</w:t>
            </w:r>
          </w:p>
        </w:tc>
        <w:tc>
          <w:tcPr>
            <w:tcW w:w="1300" w:type="dxa"/>
            <w:vAlign w:val="bottom"/>
          </w:tcPr>
          <w:p>
            <w:pPr>
              <w:jc w:val="right"/>
              <w:spacing w:after="0"/>
              <w:rPr>
                <w:sz w:val="20"/>
                <w:szCs w:val="20"/>
                <w:color w:val="auto"/>
              </w:rPr>
            </w:pPr>
            <w:r>
              <w:rPr>
                <w:rFonts w:ascii="Arial" w:cs="Arial" w:eastAsia="Arial" w:hAnsi="Arial"/>
                <w:sz w:val="15"/>
                <w:szCs w:val="15"/>
                <w:color w:val="183964"/>
              </w:rPr>
              <w:t>(0.15)</w:t>
            </w:r>
          </w:p>
        </w:tc>
      </w:tr>
      <w:tr>
        <w:trPr>
          <w:trHeight w:val="243"/>
        </w:trPr>
        <w:tc>
          <w:tcPr>
            <w:tcW w:w="7320" w:type="dxa"/>
            <w:vAlign w:val="bottom"/>
          </w:tcPr>
          <w:p>
            <w:pPr>
              <w:ind w:left="20"/>
              <w:spacing w:after="0"/>
              <w:rPr>
                <w:sz w:val="20"/>
                <w:szCs w:val="20"/>
                <w:color w:val="auto"/>
              </w:rPr>
            </w:pPr>
            <w:r>
              <w:rPr>
                <w:rFonts w:ascii="Arial" w:cs="Arial" w:eastAsia="Arial" w:hAnsi="Arial"/>
                <w:sz w:val="15"/>
                <w:szCs w:val="15"/>
                <w:color w:val="auto"/>
              </w:rPr>
              <w:t>Diluted earnings/(loss) per share</w:t>
            </w:r>
          </w:p>
        </w:tc>
        <w:tc>
          <w:tcPr>
            <w:tcW w:w="1300" w:type="dxa"/>
            <w:vAlign w:val="bottom"/>
          </w:tcPr>
          <w:p>
            <w:pPr>
              <w:jc w:val="right"/>
              <w:spacing w:after="0"/>
              <w:rPr>
                <w:sz w:val="20"/>
                <w:szCs w:val="20"/>
                <w:color w:val="auto"/>
              </w:rPr>
            </w:pPr>
            <w:r>
              <w:rPr>
                <w:rFonts w:ascii="Arial" w:cs="Arial" w:eastAsia="Arial" w:hAnsi="Arial"/>
                <w:sz w:val="15"/>
                <w:szCs w:val="15"/>
                <w:color w:val="183964"/>
              </w:rPr>
              <w:t>9</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(0.19)</w:t>
            </w:r>
          </w:p>
        </w:tc>
        <w:tc>
          <w:tcPr>
            <w:tcW w:w="1300" w:type="dxa"/>
            <w:vAlign w:val="bottom"/>
          </w:tcPr>
          <w:p>
            <w:pPr>
              <w:jc w:val="right"/>
              <w:spacing w:after="0"/>
              <w:rPr>
                <w:sz w:val="20"/>
                <w:szCs w:val="20"/>
                <w:color w:val="auto"/>
              </w:rPr>
            </w:pPr>
            <w:r>
              <w:rPr>
                <w:rFonts w:ascii="Arial" w:cs="Arial" w:eastAsia="Arial" w:hAnsi="Arial"/>
                <w:sz w:val="15"/>
                <w:szCs w:val="15"/>
                <w:color w:val="183964"/>
              </w:rPr>
              <w:t>(0.15)</w:t>
            </w:r>
          </w:p>
        </w:tc>
      </w:tr>
      <w:tr>
        <w:trPr>
          <w:trHeight w:val="25"/>
        </w:trPr>
        <w:tc>
          <w:tcPr>
            <w:tcW w:w="7320" w:type="dxa"/>
            <w:vAlign w:val="bottom"/>
            <w:tcBorders>
              <w:bottom w:val="single" w:sz="8" w:color="auto"/>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financial statements.</w:t>
      </w:r>
    </w:p>
    <w:p>
      <w:pPr>
        <w:sectPr>
          <w:pgSz w:w="11900" w:h="16838" w:orient="portrait"/>
          <w:cols w:equalWidth="0" w:num="1">
            <w:col w:w="11240"/>
          </w:cols>
          <w:pgMar w:left="320" w:top="1245" w:right="339" w:bottom="1440" w:gutter="0" w:footer="0" w:header="0"/>
        </w:sectPr>
      </w:pPr>
    </w:p>
    <w:bookmarkStart w:id="21" w:name="page22"/>
    <w:bookmarkEnd w:id="21"/>
    <w:p>
      <w:pPr>
        <w:spacing w:after="0"/>
        <w:rPr>
          <w:sz w:val="20"/>
          <w:szCs w:val="20"/>
          <w:color w:val="auto"/>
        </w:rPr>
      </w:pPr>
      <w:r>
        <w:rPr>
          <w:rFonts w:ascii="Arial" w:cs="Arial" w:eastAsia="Arial" w:hAnsi="Arial"/>
          <w:sz w:val="31"/>
          <w:szCs w:val="31"/>
          <w:b w:val="1"/>
          <w:bCs w:val="1"/>
          <w:color w:val="183964"/>
        </w:rPr>
        <w:t>Condensed Consolidated Statement of Financial Position (Unaudited)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80" w:type="dxa"/>
            <w:vAlign w:val="bottom"/>
          </w:tcPr>
          <w:p>
            <w:pPr>
              <w:spacing w:after="0"/>
              <w:rPr>
                <w:sz w:val="20"/>
                <w:szCs w:val="20"/>
                <w:color w:val="auto"/>
              </w:rPr>
            </w:pPr>
            <w:r>
              <w:rPr>
                <w:rFonts w:ascii="Arial" w:cs="Arial" w:eastAsia="Arial" w:hAnsi="Arial"/>
                <w:sz w:val="13"/>
                <w:szCs w:val="13"/>
                <w:b w:val="1"/>
                <w:bCs w:val="1"/>
                <w:color w:val="183964"/>
              </w:rPr>
              <w:t>As of</w:t>
            </w:r>
          </w:p>
        </w:tc>
        <w:tc>
          <w:tcPr>
            <w:tcW w:w="3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9"/>
        </w:trPr>
        <w:tc>
          <w:tcPr>
            <w:tcW w:w="57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360" w:type="dxa"/>
            <w:vAlign w:val="bottom"/>
            <w:gridSpan w:val="2"/>
          </w:tcPr>
          <w:p>
            <w:pPr>
              <w:jc w:val="right"/>
              <w:spacing w:after="0"/>
              <w:rPr>
                <w:sz w:val="20"/>
                <w:szCs w:val="20"/>
                <w:color w:val="auto"/>
              </w:rPr>
            </w:pPr>
            <w:r>
              <w:rPr>
                <w:rFonts w:ascii="Arial" w:cs="Arial" w:eastAsia="Arial" w:hAnsi="Arial"/>
                <w:sz w:val="13"/>
                <w:szCs w:val="13"/>
                <w:b w:val="1"/>
                <w:bCs w:val="1"/>
                <w:color w:val="auto"/>
              </w:rPr>
              <w:t xml:space="preserve">June 30, 2025   </w:t>
            </w:r>
            <w:r>
              <w:rPr>
                <w:rFonts w:ascii="Arial" w:cs="Arial" w:eastAsia="Arial" w:hAnsi="Arial"/>
                <w:sz w:val="13"/>
                <w:szCs w:val="13"/>
                <w:color w:val="183964"/>
              </w:rPr>
              <w:t>December 31, 2024</w:t>
            </w:r>
          </w:p>
        </w:tc>
      </w:tr>
      <w:tr>
        <w:trPr>
          <w:trHeight w:val="172"/>
        </w:trPr>
        <w:tc>
          <w:tcPr>
            <w:tcW w:w="5780" w:type="dxa"/>
            <w:vAlign w:val="bottom"/>
          </w:tcPr>
          <w:p>
            <w:pPr>
              <w:spacing w:after="0"/>
              <w:rPr>
                <w:sz w:val="14"/>
                <w:szCs w:val="14"/>
                <w:color w:val="auto"/>
              </w:rPr>
            </w:pPr>
          </w:p>
        </w:tc>
        <w:tc>
          <w:tcPr>
            <w:tcW w:w="3080" w:type="dxa"/>
            <w:vAlign w:val="bottom"/>
          </w:tcPr>
          <w:p>
            <w:pPr>
              <w:jc w:val="right"/>
              <w:ind w:right="165"/>
              <w:spacing w:after="0"/>
              <w:rPr>
                <w:sz w:val="20"/>
                <w:szCs w:val="20"/>
                <w:color w:val="auto"/>
              </w:rPr>
            </w:pPr>
            <w:r>
              <w:rPr>
                <w:rFonts w:ascii="Arial" w:cs="Arial" w:eastAsia="Arial" w:hAnsi="Arial"/>
                <w:sz w:val="13"/>
                <w:szCs w:val="13"/>
                <w:color w:val="183964"/>
              </w:rPr>
              <w:t>Note</w:t>
            </w:r>
          </w:p>
        </w:tc>
        <w:tc>
          <w:tcPr>
            <w:tcW w:w="1400" w:type="dxa"/>
            <w:vAlign w:val="bottom"/>
          </w:tcPr>
          <w:p>
            <w:pPr>
              <w:jc w:val="right"/>
              <w:ind w:right="264"/>
              <w:spacing w:after="0"/>
              <w:rPr>
                <w:sz w:val="20"/>
                <w:szCs w:val="20"/>
                <w:color w:val="auto"/>
              </w:rPr>
            </w:pPr>
            <w:r>
              <w:rPr>
                <w:rFonts w:ascii="Arial" w:cs="Arial" w:eastAsia="Arial" w:hAnsi="Arial"/>
                <w:sz w:val="13"/>
                <w:szCs w:val="13"/>
                <w:b w:val="1"/>
                <w:bCs w:val="1"/>
                <w:color w:val="auto"/>
              </w:rPr>
              <w:t>$000s</w:t>
            </w:r>
          </w:p>
        </w:tc>
        <w:tc>
          <w:tcPr>
            <w:tcW w:w="960" w:type="dxa"/>
            <w:vAlign w:val="bottom"/>
          </w:tcPr>
          <w:p>
            <w:pPr>
              <w:jc w:val="right"/>
              <w:spacing w:after="0"/>
              <w:rPr>
                <w:sz w:val="20"/>
                <w:szCs w:val="20"/>
                <w:color w:val="auto"/>
              </w:rPr>
            </w:pPr>
            <w:r>
              <w:rPr>
                <w:rFonts w:ascii="Arial" w:cs="Arial" w:eastAsia="Arial" w:hAnsi="Arial"/>
                <w:sz w:val="13"/>
                <w:szCs w:val="13"/>
                <w:color w:val="183964"/>
              </w:rPr>
              <w:t>$000s</w:t>
            </w:r>
          </w:p>
        </w:tc>
      </w:tr>
      <w:tr>
        <w:trPr>
          <w:trHeight w:val="22"/>
        </w:trPr>
        <w:tc>
          <w:tcPr>
            <w:tcW w:w="5780" w:type="dxa"/>
            <w:vAlign w:val="bottom"/>
            <w:tcBorders>
              <w:bottom w:val="single" w:sz="8" w:color="001544"/>
            </w:tcBorders>
          </w:tcPr>
          <w:p>
            <w:pPr>
              <w:spacing w:after="0" w:line="20" w:lineRule="exact"/>
              <w:rPr>
                <w:sz w:val="1"/>
                <w:szCs w:val="1"/>
                <w:color w:val="auto"/>
              </w:rPr>
            </w:pPr>
          </w:p>
        </w:tc>
        <w:tc>
          <w:tcPr>
            <w:tcW w:w="3080" w:type="dxa"/>
            <w:vAlign w:val="bottom"/>
            <w:tcBorders>
              <w:bottom w:val="single" w:sz="8" w:color="001544"/>
            </w:tcBorders>
          </w:tcPr>
          <w:p>
            <w:pPr>
              <w:spacing w:after="0" w:line="20" w:lineRule="exact"/>
              <w:rPr>
                <w:sz w:val="1"/>
                <w:szCs w:val="1"/>
                <w:color w:val="auto"/>
              </w:rPr>
            </w:pPr>
          </w:p>
        </w:tc>
        <w:tc>
          <w:tcPr>
            <w:tcW w:w="1400" w:type="dxa"/>
            <w:vAlign w:val="bottom"/>
            <w:tcBorders>
              <w:bottom w:val="single" w:sz="8" w:color="001544"/>
            </w:tcBorders>
          </w:tcPr>
          <w:p>
            <w:pPr>
              <w:spacing w:after="0" w:line="20" w:lineRule="exact"/>
              <w:rPr>
                <w:sz w:val="1"/>
                <w:szCs w:val="1"/>
                <w:color w:val="auto"/>
              </w:rPr>
            </w:pPr>
          </w:p>
        </w:tc>
        <w:tc>
          <w:tcPr>
            <w:tcW w:w="960" w:type="dxa"/>
            <w:vAlign w:val="bottom"/>
            <w:tcBorders>
              <w:bottom w:val="single" w:sz="8" w:color="001544"/>
            </w:tcBorders>
          </w:tcPr>
          <w:p>
            <w:pPr>
              <w:spacing w:after="0" w:line="20" w:lineRule="exact"/>
              <w:rPr>
                <w:sz w:val="1"/>
                <w:szCs w:val="1"/>
                <w:color w:val="auto"/>
              </w:rPr>
            </w:pPr>
          </w:p>
        </w:tc>
      </w:tr>
      <w:tr>
        <w:trPr>
          <w:trHeight w:val="212"/>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3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Non-current assets</w:t>
            </w:r>
          </w:p>
        </w:tc>
        <w:tc>
          <w:tcPr>
            <w:tcW w:w="3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6,135</w:t>
            </w:r>
          </w:p>
        </w:tc>
        <w:tc>
          <w:tcPr>
            <w:tcW w:w="960" w:type="dxa"/>
            <w:vAlign w:val="bottom"/>
          </w:tcPr>
          <w:p>
            <w:pPr>
              <w:jc w:val="right"/>
              <w:spacing w:after="0"/>
              <w:rPr>
                <w:sz w:val="20"/>
                <w:szCs w:val="20"/>
                <w:color w:val="auto"/>
              </w:rPr>
            </w:pPr>
            <w:r>
              <w:rPr>
                <w:rFonts w:ascii="Arial" w:cs="Arial" w:eastAsia="Arial" w:hAnsi="Arial"/>
                <w:sz w:val="15"/>
                <w:szCs w:val="15"/>
                <w:color w:val="183964"/>
              </w:rPr>
              <w:t>7,069</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Right of use asset, net</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7,179</w:t>
            </w:r>
          </w:p>
        </w:tc>
        <w:tc>
          <w:tcPr>
            <w:tcW w:w="960" w:type="dxa"/>
            <w:vAlign w:val="bottom"/>
          </w:tcPr>
          <w:p>
            <w:pPr>
              <w:jc w:val="right"/>
              <w:spacing w:after="0"/>
              <w:rPr>
                <w:sz w:val="20"/>
                <w:szCs w:val="20"/>
                <w:color w:val="auto"/>
              </w:rPr>
            </w:pPr>
            <w:r>
              <w:rPr>
                <w:rFonts w:ascii="Arial" w:cs="Arial" w:eastAsia="Arial" w:hAnsi="Arial"/>
                <w:sz w:val="15"/>
                <w:szCs w:val="15"/>
                <w:color w:val="183964"/>
              </w:rPr>
              <w:t>8,061</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Intangible assets, net</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601</w:t>
            </w:r>
          </w:p>
        </w:tc>
        <w:tc>
          <w:tcPr>
            <w:tcW w:w="960" w:type="dxa"/>
            <w:vAlign w:val="bottom"/>
          </w:tcPr>
          <w:p>
            <w:pPr>
              <w:jc w:val="right"/>
              <w:spacing w:after="0"/>
              <w:rPr>
                <w:sz w:val="20"/>
                <w:szCs w:val="20"/>
                <w:color w:val="auto"/>
              </w:rPr>
            </w:pPr>
            <w:r>
              <w:rPr>
                <w:rFonts w:ascii="Arial" w:cs="Arial" w:eastAsia="Arial" w:hAnsi="Arial"/>
                <w:sz w:val="15"/>
                <w:szCs w:val="15"/>
                <w:color w:val="183964"/>
              </w:rPr>
              <w:t>601</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Investments held at fair value</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4</w:t>
            </w: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191,836</w:t>
            </w:r>
          </w:p>
        </w:tc>
        <w:tc>
          <w:tcPr>
            <w:tcW w:w="960" w:type="dxa"/>
            <w:vAlign w:val="bottom"/>
          </w:tcPr>
          <w:p>
            <w:pPr>
              <w:jc w:val="right"/>
              <w:spacing w:after="0"/>
              <w:rPr>
                <w:sz w:val="20"/>
                <w:szCs w:val="20"/>
                <w:color w:val="auto"/>
              </w:rPr>
            </w:pPr>
            <w:r>
              <w:rPr>
                <w:rFonts w:ascii="Arial" w:cs="Arial" w:eastAsia="Arial" w:hAnsi="Arial"/>
                <w:sz w:val="15"/>
                <w:szCs w:val="15"/>
                <w:color w:val="183964"/>
              </w:rPr>
              <w:t>191,426</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Investment in associates – equity method</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5</w:t>
            </w: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183964"/>
              </w:rPr>
              <w:t>2,397</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Investment in notes from associates, non-current</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6</w:t>
            </w: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2,628</w:t>
            </w:r>
          </w:p>
        </w:tc>
        <w:tc>
          <w:tcPr>
            <w:tcW w:w="960" w:type="dxa"/>
            <w:vAlign w:val="bottom"/>
          </w:tcPr>
          <w:p>
            <w:pPr>
              <w:jc w:val="right"/>
              <w:spacing w:after="0"/>
              <w:rPr>
                <w:sz w:val="20"/>
                <w:szCs w:val="20"/>
                <w:color w:val="auto"/>
              </w:rPr>
            </w:pPr>
            <w:r>
              <w:rPr>
                <w:rFonts w:ascii="Arial" w:cs="Arial" w:eastAsia="Arial" w:hAnsi="Arial"/>
                <w:sz w:val="15"/>
                <w:szCs w:val="15"/>
                <w:color w:val="183964"/>
              </w:rPr>
              <w:t>6,350</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Other non-current assets</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475</w:t>
            </w:r>
          </w:p>
        </w:tc>
        <w:tc>
          <w:tcPr>
            <w:tcW w:w="960" w:type="dxa"/>
            <w:vAlign w:val="bottom"/>
          </w:tcPr>
          <w:p>
            <w:pPr>
              <w:jc w:val="right"/>
              <w:spacing w:after="0"/>
              <w:rPr>
                <w:sz w:val="20"/>
                <w:szCs w:val="20"/>
                <w:color w:val="auto"/>
              </w:rPr>
            </w:pPr>
            <w:r>
              <w:rPr>
                <w:rFonts w:ascii="Arial" w:cs="Arial" w:eastAsia="Arial" w:hAnsi="Arial"/>
                <w:sz w:val="15"/>
                <w:szCs w:val="15"/>
                <w:color w:val="183964"/>
              </w:rPr>
              <w:t>475</w:t>
            </w:r>
          </w:p>
        </w:tc>
      </w:tr>
      <w:tr>
        <w:trPr>
          <w:trHeight w:val="25"/>
        </w:trPr>
        <w:tc>
          <w:tcPr>
            <w:tcW w:w="57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color w:val="auto"/>
              </w:rPr>
              <w:t>Total non-current assets</w:t>
            </w:r>
          </w:p>
        </w:tc>
        <w:tc>
          <w:tcPr>
            <w:tcW w:w="3080" w:type="dxa"/>
            <w:vAlign w:val="bottom"/>
          </w:tcPr>
          <w:p>
            <w:pPr>
              <w:spacing w:after="0"/>
              <w:rPr>
                <w:sz w:val="18"/>
                <w:szCs w:val="18"/>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208,854</w:t>
            </w:r>
          </w:p>
        </w:tc>
        <w:tc>
          <w:tcPr>
            <w:tcW w:w="960" w:type="dxa"/>
            <w:vAlign w:val="bottom"/>
          </w:tcPr>
          <w:p>
            <w:pPr>
              <w:jc w:val="right"/>
              <w:spacing w:after="0"/>
              <w:rPr>
                <w:sz w:val="20"/>
                <w:szCs w:val="20"/>
                <w:color w:val="auto"/>
              </w:rPr>
            </w:pPr>
            <w:r>
              <w:rPr>
                <w:rFonts w:ascii="Arial" w:cs="Arial" w:eastAsia="Arial" w:hAnsi="Arial"/>
                <w:sz w:val="15"/>
                <w:szCs w:val="15"/>
                <w:color w:val="183964"/>
              </w:rPr>
              <w:t>216,379</w:t>
            </w:r>
          </w:p>
        </w:tc>
      </w:tr>
      <w:tr>
        <w:trPr>
          <w:trHeight w:val="25"/>
        </w:trPr>
        <w:tc>
          <w:tcPr>
            <w:tcW w:w="5780" w:type="dxa"/>
            <w:vAlign w:val="bottom"/>
            <w:tcBorders>
              <w:bottom w:val="single" w:sz="8" w:color="183964"/>
            </w:tcBorders>
          </w:tcPr>
          <w:p>
            <w:pPr>
              <w:spacing w:after="0"/>
              <w:rPr>
                <w:sz w:val="2"/>
                <w:szCs w:val="2"/>
                <w:color w:val="auto"/>
              </w:rPr>
            </w:pPr>
          </w:p>
        </w:tc>
        <w:tc>
          <w:tcPr>
            <w:tcW w:w="3080" w:type="dxa"/>
            <w:vAlign w:val="bottom"/>
            <w:tcBorders>
              <w:bottom w:val="single" w:sz="8" w:color="183964"/>
            </w:tcBorders>
          </w:tcPr>
          <w:p>
            <w:pPr>
              <w:spacing w:after="0"/>
              <w:rPr>
                <w:sz w:val="2"/>
                <w:szCs w:val="2"/>
                <w:color w:val="auto"/>
              </w:rPr>
            </w:pPr>
          </w:p>
        </w:tc>
        <w:tc>
          <w:tcPr>
            <w:tcW w:w="140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3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Trade and other receivables</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2,486</w:t>
            </w:r>
          </w:p>
        </w:tc>
        <w:tc>
          <w:tcPr>
            <w:tcW w:w="960" w:type="dxa"/>
            <w:vAlign w:val="bottom"/>
          </w:tcPr>
          <w:p>
            <w:pPr>
              <w:jc w:val="right"/>
              <w:spacing w:after="0"/>
              <w:rPr>
                <w:sz w:val="20"/>
                <w:szCs w:val="20"/>
                <w:color w:val="auto"/>
              </w:rPr>
            </w:pPr>
            <w:r>
              <w:rPr>
                <w:rFonts w:ascii="Arial" w:cs="Arial" w:eastAsia="Arial" w:hAnsi="Arial"/>
                <w:sz w:val="15"/>
                <w:szCs w:val="15"/>
                <w:color w:val="183964"/>
              </w:rPr>
              <w:t>1,522</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Income tax receivable</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5,179</w:t>
            </w:r>
          </w:p>
        </w:tc>
        <w:tc>
          <w:tcPr>
            <w:tcW w:w="960" w:type="dxa"/>
            <w:vAlign w:val="bottom"/>
          </w:tcPr>
          <w:p>
            <w:pPr>
              <w:jc w:val="right"/>
              <w:spacing w:after="0"/>
              <w:rPr>
                <w:sz w:val="20"/>
                <w:szCs w:val="20"/>
                <w:color w:val="auto"/>
              </w:rPr>
            </w:pPr>
            <w:r>
              <w:rPr>
                <w:rFonts w:ascii="Arial" w:cs="Arial" w:eastAsia="Arial" w:hAnsi="Arial"/>
                <w:sz w:val="15"/>
                <w:szCs w:val="15"/>
                <w:color w:val="183964"/>
              </w:rPr>
              <w:t>—</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Prepaid expenses</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3,795</w:t>
            </w:r>
          </w:p>
        </w:tc>
        <w:tc>
          <w:tcPr>
            <w:tcW w:w="960" w:type="dxa"/>
            <w:vAlign w:val="bottom"/>
          </w:tcPr>
          <w:p>
            <w:pPr>
              <w:jc w:val="right"/>
              <w:spacing w:after="0"/>
              <w:rPr>
                <w:sz w:val="20"/>
                <w:szCs w:val="20"/>
                <w:color w:val="auto"/>
              </w:rPr>
            </w:pPr>
            <w:r>
              <w:rPr>
                <w:rFonts w:ascii="Arial" w:cs="Arial" w:eastAsia="Arial" w:hAnsi="Arial"/>
                <w:sz w:val="15"/>
                <w:szCs w:val="15"/>
                <w:color w:val="183964"/>
              </w:rPr>
              <w:t>4,404</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Other financial assets</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1,644</w:t>
            </w:r>
          </w:p>
        </w:tc>
        <w:tc>
          <w:tcPr>
            <w:tcW w:w="960" w:type="dxa"/>
            <w:vAlign w:val="bottom"/>
          </w:tcPr>
          <w:p>
            <w:pPr>
              <w:jc w:val="right"/>
              <w:spacing w:after="0"/>
              <w:rPr>
                <w:sz w:val="20"/>
                <w:szCs w:val="20"/>
                <w:color w:val="auto"/>
              </w:rPr>
            </w:pPr>
            <w:r>
              <w:rPr>
                <w:rFonts w:ascii="Arial" w:cs="Arial" w:eastAsia="Arial" w:hAnsi="Arial"/>
                <w:sz w:val="15"/>
                <w:szCs w:val="15"/>
                <w:color w:val="183964"/>
              </w:rPr>
              <w:t>1,642</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Investment in notes from associates, current</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6</w:t>
            </w: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11,377</w:t>
            </w:r>
          </w:p>
        </w:tc>
        <w:tc>
          <w:tcPr>
            <w:tcW w:w="960" w:type="dxa"/>
            <w:vAlign w:val="bottom"/>
          </w:tcPr>
          <w:p>
            <w:pPr>
              <w:jc w:val="right"/>
              <w:spacing w:after="0"/>
              <w:rPr>
                <w:sz w:val="20"/>
                <w:szCs w:val="20"/>
                <w:color w:val="auto"/>
              </w:rPr>
            </w:pPr>
            <w:r>
              <w:rPr>
                <w:rFonts w:ascii="Arial" w:cs="Arial" w:eastAsia="Arial" w:hAnsi="Arial"/>
                <w:sz w:val="15"/>
                <w:szCs w:val="15"/>
                <w:color w:val="183964"/>
              </w:rPr>
              <w:t>11,381</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Short-term investments</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59,303</w:t>
            </w:r>
          </w:p>
        </w:tc>
        <w:tc>
          <w:tcPr>
            <w:tcW w:w="960" w:type="dxa"/>
            <w:vAlign w:val="bottom"/>
          </w:tcPr>
          <w:p>
            <w:pPr>
              <w:jc w:val="right"/>
              <w:spacing w:after="0"/>
              <w:rPr>
                <w:sz w:val="20"/>
                <w:szCs w:val="20"/>
                <w:color w:val="auto"/>
              </w:rPr>
            </w:pPr>
            <w:r>
              <w:rPr>
                <w:rFonts w:ascii="Arial" w:cs="Arial" w:eastAsia="Arial" w:hAnsi="Arial"/>
                <w:sz w:val="15"/>
                <w:szCs w:val="15"/>
                <w:color w:val="183964"/>
              </w:rPr>
              <w:t>86,666</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260,604</w:t>
            </w:r>
          </w:p>
        </w:tc>
        <w:tc>
          <w:tcPr>
            <w:tcW w:w="960" w:type="dxa"/>
            <w:vAlign w:val="bottom"/>
          </w:tcPr>
          <w:p>
            <w:pPr>
              <w:jc w:val="right"/>
              <w:spacing w:after="0"/>
              <w:rPr>
                <w:sz w:val="20"/>
                <w:szCs w:val="20"/>
                <w:color w:val="auto"/>
              </w:rPr>
            </w:pPr>
            <w:r>
              <w:rPr>
                <w:rFonts w:ascii="Arial" w:cs="Arial" w:eastAsia="Arial" w:hAnsi="Arial"/>
                <w:sz w:val="15"/>
                <w:szCs w:val="15"/>
                <w:color w:val="183964"/>
              </w:rPr>
              <w:t>280,641</w:t>
            </w:r>
          </w:p>
        </w:tc>
      </w:tr>
      <w:tr>
        <w:trPr>
          <w:trHeight w:val="25"/>
        </w:trPr>
        <w:tc>
          <w:tcPr>
            <w:tcW w:w="57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color w:val="auto"/>
              </w:rPr>
              <w:t>Total current assets</w:t>
            </w:r>
          </w:p>
        </w:tc>
        <w:tc>
          <w:tcPr>
            <w:tcW w:w="3080" w:type="dxa"/>
            <w:vAlign w:val="bottom"/>
          </w:tcPr>
          <w:p>
            <w:pPr>
              <w:spacing w:after="0"/>
              <w:rPr>
                <w:sz w:val="18"/>
                <w:szCs w:val="18"/>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344,388</w:t>
            </w:r>
          </w:p>
        </w:tc>
        <w:tc>
          <w:tcPr>
            <w:tcW w:w="960" w:type="dxa"/>
            <w:vAlign w:val="bottom"/>
          </w:tcPr>
          <w:p>
            <w:pPr>
              <w:jc w:val="right"/>
              <w:spacing w:after="0"/>
              <w:rPr>
                <w:sz w:val="20"/>
                <w:szCs w:val="20"/>
                <w:color w:val="auto"/>
              </w:rPr>
            </w:pPr>
            <w:r>
              <w:rPr>
                <w:rFonts w:ascii="Arial" w:cs="Arial" w:eastAsia="Arial" w:hAnsi="Arial"/>
                <w:sz w:val="15"/>
                <w:szCs w:val="15"/>
                <w:color w:val="183964"/>
              </w:rPr>
              <w:t>386,256</w:t>
            </w:r>
          </w:p>
        </w:tc>
      </w:tr>
      <w:tr>
        <w:trPr>
          <w:trHeight w:val="25"/>
        </w:trPr>
        <w:tc>
          <w:tcPr>
            <w:tcW w:w="57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Total assets</w:t>
            </w:r>
          </w:p>
        </w:tc>
        <w:tc>
          <w:tcPr>
            <w:tcW w:w="3080" w:type="dxa"/>
            <w:vAlign w:val="bottom"/>
          </w:tcPr>
          <w:p>
            <w:pPr>
              <w:spacing w:after="0"/>
              <w:rPr>
                <w:sz w:val="18"/>
                <w:szCs w:val="18"/>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553,242</w:t>
            </w:r>
          </w:p>
        </w:tc>
        <w:tc>
          <w:tcPr>
            <w:tcW w:w="960" w:type="dxa"/>
            <w:vAlign w:val="bottom"/>
          </w:tcPr>
          <w:p>
            <w:pPr>
              <w:jc w:val="right"/>
              <w:spacing w:after="0"/>
              <w:rPr>
                <w:sz w:val="20"/>
                <w:szCs w:val="20"/>
                <w:color w:val="auto"/>
              </w:rPr>
            </w:pPr>
            <w:r>
              <w:rPr>
                <w:rFonts w:ascii="Arial" w:cs="Arial" w:eastAsia="Arial" w:hAnsi="Arial"/>
                <w:sz w:val="15"/>
                <w:szCs w:val="15"/>
                <w:color w:val="183964"/>
              </w:rPr>
              <w:t>602,635</w:t>
            </w:r>
          </w:p>
        </w:tc>
      </w:tr>
      <w:tr>
        <w:trPr>
          <w:trHeight w:val="25"/>
        </w:trPr>
        <w:tc>
          <w:tcPr>
            <w:tcW w:w="57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Equity and liabilities</w:t>
            </w:r>
          </w:p>
        </w:tc>
        <w:tc>
          <w:tcPr>
            <w:tcW w:w="3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Equity</w:t>
            </w:r>
          </w:p>
        </w:tc>
        <w:tc>
          <w:tcPr>
            <w:tcW w:w="3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Share capital</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4,860</w:t>
            </w:r>
          </w:p>
        </w:tc>
        <w:tc>
          <w:tcPr>
            <w:tcW w:w="960" w:type="dxa"/>
            <w:vAlign w:val="bottom"/>
          </w:tcPr>
          <w:p>
            <w:pPr>
              <w:jc w:val="right"/>
              <w:spacing w:after="0"/>
              <w:rPr>
                <w:sz w:val="20"/>
                <w:szCs w:val="20"/>
                <w:color w:val="auto"/>
              </w:rPr>
            </w:pPr>
            <w:r>
              <w:rPr>
                <w:rFonts w:ascii="Arial" w:cs="Arial" w:eastAsia="Arial" w:hAnsi="Arial"/>
                <w:sz w:val="15"/>
                <w:szCs w:val="15"/>
                <w:color w:val="183964"/>
              </w:rPr>
              <w:t>4,860</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Share premium</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290,262</w:t>
            </w:r>
          </w:p>
        </w:tc>
        <w:tc>
          <w:tcPr>
            <w:tcW w:w="960" w:type="dxa"/>
            <w:vAlign w:val="bottom"/>
          </w:tcPr>
          <w:p>
            <w:pPr>
              <w:jc w:val="right"/>
              <w:spacing w:after="0"/>
              <w:rPr>
                <w:sz w:val="20"/>
                <w:szCs w:val="20"/>
                <w:color w:val="auto"/>
              </w:rPr>
            </w:pPr>
            <w:r>
              <w:rPr>
                <w:rFonts w:ascii="Arial" w:cs="Arial" w:eastAsia="Arial" w:hAnsi="Arial"/>
                <w:sz w:val="15"/>
                <w:szCs w:val="15"/>
                <w:color w:val="183964"/>
              </w:rPr>
              <w:t>290,262</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Treasury stock</w:t>
            </w:r>
          </w:p>
        </w:tc>
        <w:tc>
          <w:tcPr>
            <w:tcW w:w="3080" w:type="dxa"/>
            <w:vAlign w:val="bottom"/>
          </w:tcPr>
          <w:p>
            <w:pPr>
              <w:spacing w:after="0"/>
              <w:rPr>
                <w:sz w:val="21"/>
                <w:szCs w:val="21"/>
                <w:color w:val="auto"/>
              </w:rPr>
            </w:pPr>
          </w:p>
        </w:tc>
        <w:tc>
          <w:tcPr>
            <w:tcW w:w="1400" w:type="dxa"/>
            <w:vAlign w:val="bottom"/>
          </w:tcPr>
          <w:p>
            <w:pPr>
              <w:jc w:val="right"/>
              <w:ind w:right="284"/>
              <w:spacing w:after="0"/>
              <w:rPr>
                <w:sz w:val="20"/>
                <w:szCs w:val="20"/>
                <w:color w:val="auto"/>
              </w:rPr>
            </w:pPr>
            <w:r>
              <w:rPr>
                <w:rFonts w:ascii="Arial" w:cs="Arial" w:eastAsia="Arial" w:hAnsi="Arial"/>
                <w:sz w:val="15"/>
                <w:szCs w:val="15"/>
                <w:b w:val="1"/>
                <w:bCs w:val="1"/>
                <w:color w:val="auto"/>
              </w:rPr>
              <w:t>(44,761)</w:t>
            </w:r>
          </w:p>
        </w:tc>
        <w:tc>
          <w:tcPr>
            <w:tcW w:w="960" w:type="dxa"/>
            <w:vAlign w:val="bottom"/>
          </w:tcPr>
          <w:p>
            <w:pPr>
              <w:jc w:val="right"/>
              <w:spacing w:after="0"/>
              <w:rPr>
                <w:sz w:val="20"/>
                <w:szCs w:val="20"/>
                <w:color w:val="auto"/>
              </w:rPr>
            </w:pPr>
            <w:r>
              <w:rPr>
                <w:rFonts w:ascii="Arial" w:cs="Arial" w:eastAsia="Arial" w:hAnsi="Arial"/>
                <w:sz w:val="15"/>
                <w:szCs w:val="15"/>
                <w:color w:val="183964"/>
              </w:rPr>
              <w:t>(46,864)</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Merger reserve</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138,506</w:t>
            </w:r>
          </w:p>
        </w:tc>
        <w:tc>
          <w:tcPr>
            <w:tcW w:w="960" w:type="dxa"/>
            <w:vAlign w:val="bottom"/>
          </w:tcPr>
          <w:p>
            <w:pPr>
              <w:jc w:val="right"/>
              <w:spacing w:after="0"/>
              <w:rPr>
                <w:sz w:val="20"/>
                <w:szCs w:val="20"/>
                <w:color w:val="auto"/>
              </w:rPr>
            </w:pPr>
            <w:r>
              <w:rPr>
                <w:rFonts w:ascii="Arial" w:cs="Arial" w:eastAsia="Arial" w:hAnsi="Arial"/>
                <w:sz w:val="15"/>
                <w:szCs w:val="15"/>
                <w:color w:val="183964"/>
              </w:rPr>
              <w:t>138,506</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Translation reserve</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182</w:t>
            </w:r>
          </w:p>
        </w:tc>
        <w:tc>
          <w:tcPr>
            <w:tcW w:w="960" w:type="dxa"/>
            <w:vAlign w:val="bottom"/>
          </w:tcPr>
          <w:p>
            <w:pPr>
              <w:jc w:val="right"/>
              <w:spacing w:after="0"/>
              <w:rPr>
                <w:sz w:val="20"/>
                <w:szCs w:val="20"/>
                <w:color w:val="auto"/>
              </w:rPr>
            </w:pPr>
            <w:r>
              <w:rPr>
                <w:rFonts w:ascii="Arial" w:cs="Arial" w:eastAsia="Arial" w:hAnsi="Arial"/>
                <w:sz w:val="15"/>
                <w:szCs w:val="15"/>
                <w:color w:val="183964"/>
              </w:rPr>
              <w:t>182</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Other reserve</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10</w:t>
            </w:r>
          </w:p>
        </w:tc>
        <w:tc>
          <w:tcPr>
            <w:tcW w:w="1400" w:type="dxa"/>
            <w:vAlign w:val="bottom"/>
          </w:tcPr>
          <w:p>
            <w:pPr>
              <w:jc w:val="right"/>
              <w:ind w:right="284"/>
              <w:spacing w:after="0"/>
              <w:rPr>
                <w:sz w:val="20"/>
                <w:szCs w:val="20"/>
                <w:color w:val="auto"/>
              </w:rPr>
            </w:pPr>
            <w:r>
              <w:rPr>
                <w:rFonts w:ascii="Arial" w:cs="Arial" w:eastAsia="Arial" w:hAnsi="Arial"/>
                <w:sz w:val="15"/>
                <w:szCs w:val="15"/>
                <w:b w:val="1"/>
                <w:bCs w:val="1"/>
                <w:color w:val="auto"/>
              </w:rPr>
              <w:t>(978)</w:t>
            </w:r>
          </w:p>
        </w:tc>
        <w:tc>
          <w:tcPr>
            <w:tcW w:w="960" w:type="dxa"/>
            <w:vAlign w:val="bottom"/>
          </w:tcPr>
          <w:p>
            <w:pPr>
              <w:jc w:val="right"/>
              <w:spacing w:after="0"/>
              <w:rPr>
                <w:sz w:val="20"/>
                <w:szCs w:val="20"/>
                <w:color w:val="auto"/>
              </w:rPr>
            </w:pPr>
            <w:r>
              <w:rPr>
                <w:rFonts w:ascii="Arial" w:cs="Arial" w:eastAsia="Arial" w:hAnsi="Arial"/>
                <w:sz w:val="15"/>
                <w:szCs w:val="15"/>
                <w:color w:val="183964"/>
              </w:rPr>
              <w:t>(4,726)</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Retained earnings/(Accumulated deficit)</w:t>
            </w:r>
          </w:p>
        </w:tc>
        <w:tc>
          <w:tcPr>
            <w:tcW w:w="3080" w:type="dxa"/>
            <w:vAlign w:val="bottom"/>
          </w:tcPr>
          <w:p>
            <w:pPr>
              <w:spacing w:after="0"/>
              <w:rPr>
                <w:sz w:val="21"/>
                <w:szCs w:val="21"/>
                <w:color w:val="auto"/>
              </w:rPr>
            </w:pPr>
          </w:p>
        </w:tc>
        <w:tc>
          <w:tcPr>
            <w:tcW w:w="1400" w:type="dxa"/>
            <w:vAlign w:val="bottom"/>
          </w:tcPr>
          <w:p>
            <w:pPr>
              <w:jc w:val="right"/>
              <w:ind w:right="284"/>
              <w:spacing w:after="0"/>
              <w:rPr>
                <w:sz w:val="20"/>
                <w:szCs w:val="20"/>
                <w:color w:val="auto"/>
              </w:rPr>
            </w:pPr>
            <w:r>
              <w:rPr>
                <w:rFonts w:ascii="Arial" w:cs="Arial" w:eastAsia="Arial" w:hAnsi="Arial"/>
                <w:sz w:val="15"/>
                <w:szCs w:val="15"/>
                <w:b w:val="1"/>
                <w:bCs w:val="1"/>
                <w:color w:val="auto"/>
              </w:rPr>
              <w:t>(12,097)</w:t>
            </w:r>
          </w:p>
        </w:tc>
        <w:tc>
          <w:tcPr>
            <w:tcW w:w="960" w:type="dxa"/>
            <w:vAlign w:val="bottom"/>
          </w:tcPr>
          <w:p>
            <w:pPr>
              <w:jc w:val="right"/>
              <w:spacing w:after="0"/>
              <w:rPr>
                <w:sz w:val="20"/>
                <w:szCs w:val="20"/>
                <w:color w:val="auto"/>
              </w:rPr>
            </w:pPr>
            <w:r>
              <w:rPr>
                <w:rFonts w:ascii="Arial" w:cs="Arial" w:eastAsia="Arial" w:hAnsi="Arial"/>
                <w:sz w:val="15"/>
                <w:szCs w:val="15"/>
                <w:color w:val="183964"/>
              </w:rPr>
              <w:t>32,486</w:t>
            </w:r>
          </w:p>
        </w:tc>
      </w:tr>
      <w:tr>
        <w:trPr>
          <w:trHeight w:val="25"/>
        </w:trPr>
        <w:tc>
          <w:tcPr>
            <w:tcW w:w="5780" w:type="dxa"/>
            <w:vAlign w:val="bottom"/>
            <w:tcBorders>
              <w:bottom w:val="single" w:sz="8" w:color="001544"/>
            </w:tcBorders>
          </w:tcPr>
          <w:p>
            <w:pPr>
              <w:spacing w:after="0"/>
              <w:rPr>
                <w:sz w:val="2"/>
                <w:szCs w:val="2"/>
                <w:color w:val="auto"/>
              </w:rPr>
            </w:pPr>
          </w:p>
        </w:tc>
        <w:tc>
          <w:tcPr>
            <w:tcW w:w="3080" w:type="dxa"/>
            <w:vAlign w:val="bottom"/>
            <w:tcBorders>
              <w:bottom w:val="single" w:sz="8" w:color="001544"/>
            </w:tcBorders>
          </w:tcPr>
          <w:p>
            <w:pPr>
              <w:spacing w:after="0"/>
              <w:rPr>
                <w:sz w:val="2"/>
                <w:szCs w:val="2"/>
                <w:color w:val="auto"/>
              </w:rPr>
            </w:pPr>
          </w:p>
        </w:tc>
        <w:tc>
          <w:tcPr>
            <w:tcW w:w="1400" w:type="dxa"/>
            <w:vAlign w:val="bottom"/>
            <w:tcBorders>
              <w:bottom w:val="single" w:sz="8" w:color="001544"/>
            </w:tcBorders>
          </w:tcPr>
          <w:p>
            <w:pPr>
              <w:spacing w:after="0"/>
              <w:rPr>
                <w:sz w:val="2"/>
                <w:szCs w:val="2"/>
                <w:color w:val="auto"/>
              </w:rPr>
            </w:pPr>
          </w:p>
        </w:tc>
        <w:tc>
          <w:tcPr>
            <w:tcW w:w="960" w:type="dxa"/>
            <w:vAlign w:val="bottom"/>
            <w:tcBorders>
              <w:bottom w:val="single" w:sz="8" w:color="001544"/>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Equity attributable to the owners of the Group</w:t>
            </w:r>
          </w:p>
        </w:tc>
        <w:tc>
          <w:tcPr>
            <w:tcW w:w="3080" w:type="dxa"/>
            <w:vAlign w:val="bottom"/>
          </w:tcPr>
          <w:p>
            <w:pPr>
              <w:spacing w:after="0"/>
              <w:rPr>
                <w:sz w:val="18"/>
                <w:szCs w:val="18"/>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375,975</w:t>
            </w:r>
          </w:p>
        </w:tc>
        <w:tc>
          <w:tcPr>
            <w:tcW w:w="960" w:type="dxa"/>
            <w:vAlign w:val="bottom"/>
          </w:tcPr>
          <w:p>
            <w:pPr>
              <w:jc w:val="right"/>
              <w:spacing w:after="0"/>
              <w:rPr>
                <w:sz w:val="20"/>
                <w:szCs w:val="20"/>
                <w:color w:val="auto"/>
              </w:rPr>
            </w:pPr>
            <w:r>
              <w:rPr>
                <w:rFonts w:ascii="Arial" w:cs="Arial" w:eastAsia="Arial" w:hAnsi="Arial"/>
                <w:sz w:val="15"/>
                <w:szCs w:val="15"/>
                <w:color w:val="183964"/>
              </w:rPr>
              <w:t>414,707</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Non-controlling interests</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14</w:t>
            </w:r>
          </w:p>
        </w:tc>
        <w:tc>
          <w:tcPr>
            <w:tcW w:w="1400" w:type="dxa"/>
            <w:vAlign w:val="bottom"/>
          </w:tcPr>
          <w:p>
            <w:pPr>
              <w:jc w:val="right"/>
              <w:ind w:right="284"/>
              <w:spacing w:after="0"/>
              <w:rPr>
                <w:sz w:val="20"/>
                <w:szCs w:val="20"/>
                <w:color w:val="auto"/>
              </w:rPr>
            </w:pPr>
            <w:r>
              <w:rPr>
                <w:rFonts w:ascii="Arial" w:cs="Arial" w:eastAsia="Arial" w:hAnsi="Arial"/>
                <w:sz w:val="15"/>
                <w:szCs w:val="15"/>
                <w:b w:val="1"/>
                <w:bCs w:val="1"/>
                <w:color w:val="auto"/>
              </w:rPr>
              <w:t>(6,950)</w:t>
            </w:r>
          </w:p>
        </w:tc>
        <w:tc>
          <w:tcPr>
            <w:tcW w:w="960" w:type="dxa"/>
            <w:vAlign w:val="bottom"/>
          </w:tcPr>
          <w:p>
            <w:pPr>
              <w:jc w:val="right"/>
              <w:spacing w:after="0"/>
              <w:rPr>
                <w:sz w:val="20"/>
                <w:szCs w:val="20"/>
                <w:color w:val="auto"/>
              </w:rPr>
            </w:pPr>
            <w:r>
              <w:rPr>
                <w:rFonts w:ascii="Arial" w:cs="Arial" w:eastAsia="Arial" w:hAnsi="Arial"/>
                <w:sz w:val="15"/>
                <w:szCs w:val="15"/>
                <w:color w:val="183964"/>
              </w:rPr>
              <w:t>(6,774)</w:t>
            </w:r>
          </w:p>
        </w:tc>
      </w:tr>
      <w:tr>
        <w:trPr>
          <w:trHeight w:val="25"/>
        </w:trPr>
        <w:tc>
          <w:tcPr>
            <w:tcW w:w="5780" w:type="dxa"/>
            <w:vAlign w:val="bottom"/>
            <w:tcBorders>
              <w:bottom w:val="single" w:sz="8" w:color="001544"/>
            </w:tcBorders>
          </w:tcPr>
          <w:p>
            <w:pPr>
              <w:spacing w:after="0"/>
              <w:rPr>
                <w:sz w:val="2"/>
                <w:szCs w:val="2"/>
                <w:color w:val="auto"/>
              </w:rPr>
            </w:pPr>
          </w:p>
        </w:tc>
        <w:tc>
          <w:tcPr>
            <w:tcW w:w="3080" w:type="dxa"/>
            <w:vAlign w:val="bottom"/>
            <w:tcBorders>
              <w:bottom w:val="single" w:sz="8" w:color="001544"/>
            </w:tcBorders>
          </w:tcPr>
          <w:p>
            <w:pPr>
              <w:spacing w:after="0"/>
              <w:rPr>
                <w:sz w:val="2"/>
                <w:szCs w:val="2"/>
                <w:color w:val="auto"/>
              </w:rPr>
            </w:pPr>
          </w:p>
        </w:tc>
        <w:tc>
          <w:tcPr>
            <w:tcW w:w="1400" w:type="dxa"/>
            <w:vAlign w:val="bottom"/>
            <w:tcBorders>
              <w:bottom w:val="single" w:sz="8" w:color="001544"/>
            </w:tcBorders>
          </w:tcPr>
          <w:p>
            <w:pPr>
              <w:spacing w:after="0"/>
              <w:rPr>
                <w:sz w:val="2"/>
                <w:szCs w:val="2"/>
                <w:color w:val="auto"/>
              </w:rPr>
            </w:pPr>
          </w:p>
        </w:tc>
        <w:tc>
          <w:tcPr>
            <w:tcW w:w="960" w:type="dxa"/>
            <w:vAlign w:val="bottom"/>
            <w:tcBorders>
              <w:bottom w:val="single" w:sz="8" w:color="001544"/>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Total equity</w:t>
            </w:r>
          </w:p>
        </w:tc>
        <w:tc>
          <w:tcPr>
            <w:tcW w:w="3080" w:type="dxa"/>
            <w:vAlign w:val="bottom"/>
          </w:tcPr>
          <w:p>
            <w:pPr>
              <w:spacing w:after="0"/>
              <w:rPr>
                <w:sz w:val="18"/>
                <w:szCs w:val="18"/>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369,025</w:t>
            </w:r>
          </w:p>
        </w:tc>
        <w:tc>
          <w:tcPr>
            <w:tcW w:w="960" w:type="dxa"/>
            <w:vAlign w:val="bottom"/>
          </w:tcPr>
          <w:p>
            <w:pPr>
              <w:jc w:val="right"/>
              <w:spacing w:after="0"/>
              <w:rPr>
                <w:sz w:val="20"/>
                <w:szCs w:val="20"/>
                <w:color w:val="auto"/>
              </w:rPr>
            </w:pPr>
            <w:r>
              <w:rPr>
                <w:rFonts w:ascii="Arial" w:cs="Arial" w:eastAsia="Arial" w:hAnsi="Arial"/>
                <w:sz w:val="15"/>
                <w:szCs w:val="15"/>
                <w:color w:val="183964"/>
              </w:rPr>
              <w:t>407,933</w:t>
            </w:r>
          </w:p>
        </w:tc>
      </w:tr>
      <w:tr>
        <w:trPr>
          <w:trHeight w:val="25"/>
        </w:trPr>
        <w:tc>
          <w:tcPr>
            <w:tcW w:w="5780" w:type="dxa"/>
            <w:vAlign w:val="bottom"/>
            <w:tcBorders>
              <w:bottom w:val="single" w:sz="8" w:color="001544"/>
            </w:tcBorders>
          </w:tcPr>
          <w:p>
            <w:pPr>
              <w:spacing w:after="0"/>
              <w:rPr>
                <w:sz w:val="2"/>
                <w:szCs w:val="2"/>
                <w:color w:val="auto"/>
              </w:rPr>
            </w:pPr>
          </w:p>
        </w:tc>
        <w:tc>
          <w:tcPr>
            <w:tcW w:w="3080" w:type="dxa"/>
            <w:vAlign w:val="bottom"/>
            <w:tcBorders>
              <w:bottom w:val="single" w:sz="8" w:color="001544"/>
            </w:tcBorders>
          </w:tcPr>
          <w:p>
            <w:pPr>
              <w:spacing w:after="0"/>
              <w:rPr>
                <w:sz w:val="2"/>
                <w:szCs w:val="2"/>
                <w:color w:val="auto"/>
              </w:rPr>
            </w:pPr>
          </w:p>
        </w:tc>
        <w:tc>
          <w:tcPr>
            <w:tcW w:w="1400" w:type="dxa"/>
            <w:vAlign w:val="bottom"/>
            <w:tcBorders>
              <w:bottom w:val="single" w:sz="8" w:color="001544"/>
            </w:tcBorders>
          </w:tcPr>
          <w:p>
            <w:pPr>
              <w:spacing w:after="0"/>
              <w:rPr>
                <w:sz w:val="2"/>
                <w:szCs w:val="2"/>
                <w:color w:val="auto"/>
              </w:rPr>
            </w:pPr>
          </w:p>
        </w:tc>
        <w:tc>
          <w:tcPr>
            <w:tcW w:w="960" w:type="dxa"/>
            <w:vAlign w:val="bottom"/>
            <w:tcBorders>
              <w:bottom w:val="single" w:sz="8" w:color="001544"/>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3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Sale of future royalties liability, non-current</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12</w:t>
            </w: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129,055</w:t>
            </w:r>
          </w:p>
        </w:tc>
        <w:tc>
          <w:tcPr>
            <w:tcW w:w="960" w:type="dxa"/>
            <w:vAlign w:val="bottom"/>
          </w:tcPr>
          <w:p>
            <w:pPr>
              <w:jc w:val="right"/>
              <w:spacing w:after="0"/>
              <w:rPr>
                <w:sz w:val="20"/>
                <w:szCs w:val="20"/>
                <w:color w:val="auto"/>
              </w:rPr>
            </w:pPr>
            <w:r>
              <w:rPr>
                <w:rFonts w:ascii="Arial" w:cs="Arial" w:eastAsia="Arial" w:hAnsi="Arial"/>
                <w:sz w:val="15"/>
                <w:szCs w:val="15"/>
                <w:color w:val="183964"/>
              </w:rPr>
              <w:t>136,782</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Lease liability, non-current</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12,930</w:t>
            </w:r>
          </w:p>
        </w:tc>
        <w:tc>
          <w:tcPr>
            <w:tcW w:w="960" w:type="dxa"/>
            <w:vAlign w:val="bottom"/>
          </w:tcPr>
          <w:p>
            <w:pPr>
              <w:jc w:val="right"/>
              <w:spacing w:after="0"/>
              <w:rPr>
                <w:sz w:val="20"/>
                <w:szCs w:val="20"/>
                <w:color w:val="auto"/>
              </w:rPr>
            </w:pPr>
            <w:r>
              <w:rPr>
                <w:rFonts w:ascii="Arial" w:cs="Arial" w:eastAsia="Arial" w:hAnsi="Arial"/>
                <w:sz w:val="15"/>
                <w:szCs w:val="15"/>
                <w:color w:val="183964"/>
              </w:rPr>
              <w:t>14,671</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Liability for share-based awards</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7</w:t>
            </w: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804</w:t>
            </w:r>
          </w:p>
        </w:tc>
        <w:tc>
          <w:tcPr>
            <w:tcW w:w="960" w:type="dxa"/>
            <w:vAlign w:val="bottom"/>
          </w:tcPr>
          <w:p>
            <w:pPr>
              <w:jc w:val="right"/>
              <w:spacing w:after="0"/>
              <w:rPr>
                <w:sz w:val="20"/>
                <w:szCs w:val="20"/>
                <w:color w:val="auto"/>
              </w:rPr>
            </w:pPr>
            <w:r>
              <w:rPr>
                <w:rFonts w:ascii="Arial" w:cs="Arial" w:eastAsia="Arial" w:hAnsi="Arial"/>
                <w:sz w:val="15"/>
                <w:szCs w:val="15"/>
                <w:color w:val="183964"/>
              </w:rPr>
              <w:t>1,861</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Other long term liabilities</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852</w:t>
            </w:r>
          </w:p>
        </w:tc>
        <w:tc>
          <w:tcPr>
            <w:tcW w:w="960" w:type="dxa"/>
            <w:vAlign w:val="bottom"/>
          </w:tcPr>
          <w:p>
            <w:pPr>
              <w:jc w:val="right"/>
              <w:spacing w:after="0"/>
              <w:rPr>
                <w:sz w:val="20"/>
                <w:szCs w:val="20"/>
                <w:color w:val="auto"/>
              </w:rPr>
            </w:pPr>
            <w:r>
              <w:rPr>
                <w:rFonts w:ascii="Arial" w:cs="Arial" w:eastAsia="Arial" w:hAnsi="Arial"/>
                <w:sz w:val="15"/>
                <w:szCs w:val="15"/>
                <w:color w:val="183964"/>
              </w:rPr>
              <w:t>—</w:t>
            </w:r>
          </w:p>
        </w:tc>
      </w:tr>
      <w:tr>
        <w:trPr>
          <w:trHeight w:val="25"/>
        </w:trPr>
        <w:tc>
          <w:tcPr>
            <w:tcW w:w="5780" w:type="dxa"/>
            <w:vAlign w:val="bottom"/>
            <w:tcBorders>
              <w:bottom w:val="single" w:sz="8" w:color="001544"/>
            </w:tcBorders>
          </w:tcPr>
          <w:p>
            <w:pPr>
              <w:spacing w:after="0"/>
              <w:rPr>
                <w:sz w:val="2"/>
                <w:szCs w:val="2"/>
                <w:color w:val="auto"/>
              </w:rPr>
            </w:pPr>
          </w:p>
        </w:tc>
        <w:tc>
          <w:tcPr>
            <w:tcW w:w="3080" w:type="dxa"/>
            <w:vAlign w:val="bottom"/>
            <w:tcBorders>
              <w:bottom w:val="single" w:sz="8" w:color="001544"/>
            </w:tcBorders>
          </w:tcPr>
          <w:p>
            <w:pPr>
              <w:spacing w:after="0"/>
              <w:rPr>
                <w:sz w:val="2"/>
                <w:szCs w:val="2"/>
                <w:color w:val="auto"/>
              </w:rPr>
            </w:pPr>
          </w:p>
        </w:tc>
        <w:tc>
          <w:tcPr>
            <w:tcW w:w="1400" w:type="dxa"/>
            <w:vAlign w:val="bottom"/>
            <w:tcBorders>
              <w:bottom w:val="single" w:sz="8" w:color="001544"/>
            </w:tcBorders>
          </w:tcPr>
          <w:p>
            <w:pPr>
              <w:spacing w:after="0"/>
              <w:rPr>
                <w:sz w:val="2"/>
                <w:szCs w:val="2"/>
                <w:color w:val="auto"/>
              </w:rPr>
            </w:pPr>
          </w:p>
        </w:tc>
        <w:tc>
          <w:tcPr>
            <w:tcW w:w="960" w:type="dxa"/>
            <w:vAlign w:val="bottom"/>
            <w:tcBorders>
              <w:bottom w:val="single" w:sz="8" w:color="001544"/>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color w:val="auto"/>
              </w:rPr>
              <w:t>Total non-current liabilities</w:t>
            </w:r>
          </w:p>
        </w:tc>
        <w:tc>
          <w:tcPr>
            <w:tcW w:w="3080" w:type="dxa"/>
            <w:vAlign w:val="bottom"/>
          </w:tcPr>
          <w:p>
            <w:pPr>
              <w:spacing w:after="0"/>
              <w:rPr>
                <w:sz w:val="18"/>
                <w:szCs w:val="18"/>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143,641</w:t>
            </w:r>
          </w:p>
        </w:tc>
        <w:tc>
          <w:tcPr>
            <w:tcW w:w="960" w:type="dxa"/>
            <w:vAlign w:val="bottom"/>
          </w:tcPr>
          <w:p>
            <w:pPr>
              <w:jc w:val="right"/>
              <w:spacing w:after="0"/>
              <w:rPr>
                <w:sz w:val="20"/>
                <w:szCs w:val="20"/>
                <w:color w:val="auto"/>
              </w:rPr>
            </w:pPr>
            <w:r>
              <w:rPr>
                <w:rFonts w:ascii="Arial" w:cs="Arial" w:eastAsia="Arial" w:hAnsi="Arial"/>
                <w:sz w:val="15"/>
                <w:szCs w:val="15"/>
                <w:color w:val="183964"/>
              </w:rPr>
              <w:t>153,314</w:t>
            </w:r>
          </w:p>
        </w:tc>
      </w:tr>
      <w:tr>
        <w:trPr>
          <w:trHeight w:val="25"/>
        </w:trPr>
        <w:tc>
          <w:tcPr>
            <w:tcW w:w="5780" w:type="dxa"/>
            <w:vAlign w:val="bottom"/>
            <w:tcBorders>
              <w:bottom w:val="single" w:sz="8" w:color="001544"/>
            </w:tcBorders>
          </w:tcPr>
          <w:p>
            <w:pPr>
              <w:spacing w:after="0"/>
              <w:rPr>
                <w:sz w:val="2"/>
                <w:szCs w:val="2"/>
                <w:color w:val="auto"/>
              </w:rPr>
            </w:pPr>
          </w:p>
        </w:tc>
        <w:tc>
          <w:tcPr>
            <w:tcW w:w="3080" w:type="dxa"/>
            <w:vAlign w:val="bottom"/>
            <w:tcBorders>
              <w:bottom w:val="single" w:sz="8" w:color="001544"/>
            </w:tcBorders>
          </w:tcPr>
          <w:p>
            <w:pPr>
              <w:spacing w:after="0"/>
              <w:rPr>
                <w:sz w:val="2"/>
                <w:szCs w:val="2"/>
                <w:color w:val="auto"/>
              </w:rPr>
            </w:pPr>
          </w:p>
        </w:tc>
        <w:tc>
          <w:tcPr>
            <w:tcW w:w="1400" w:type="dxa"/>
            <w:vAlign w:val="bottom"/>
            <w:tcBorders>
              <w:bottom w:val="single" w:sz="8" w:color="001544"/>
            </w:tcBorders>
          </w:tcPr>
          <w:p>
            <w:pPr>
              <w:spacing w:after="0"/>
              <w:rPr>
                <w:sz w:val="2"/>
                <w:szCs w:val="2"/>
                <w:color w:val="auto"/>
              </w:rPr>
            </w:pPr>
          </w:p>
        </w:tc>
        <w:tc>
          <w:tcPr>
            <w:tcW w:w="960" w:type="dxa"/>
            <w:vAlign w:val="bottom"/>
            <w:tcBorders>
              <w:bottom w:val="single" w:sz="8" w:color="001544"/>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3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Lease liability, current</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3,493</w:t>
            </w:r>
          </w:p>
        </w:tc>
        <w:tc>
          <w:tcPr>
            <w:tcW w:w="960" w:type="dxa"/>
            <w:vAlign w:val="bottom"/>
          </w:tcPr>
          <w:p>
            <w:pPr>
              <w:jc w:val="right"/>
              <w:spacing w:after="0"/>
              <w:rPr>
                <w:sz w:val="20"/>
                <w:szCs w:val="20"/>
                <w:color w:val="auto"/>
              </w:rPr>
            </w:pPr>
            <w:r>
              <w:rPr>
                <w:rFonts w:ascii="Arial" w:cs="Arial" w:eastAsia="Arial" w:hAnsi="Arial"/>
                <w:sz w:val="15"/>
                <w:szCs w:val="15"/>
                <w:color w:val="183964"/>
              </w:rPr>
              <w:t>3,579</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Trade and other payables</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15</w:t>
            </w: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18,819</w:t>
            </w:r>
          </w:p>
        </w:tc>
        <w:tc>
          <w:tcPr>
            <w:tcW w:w="960" w:type="dxa"/>
            <w:vAlign w:val="bottom"/>
          </w:tcPr>
          <w:p>
            <w:pPr>
              <w:jc w:val="right"/>
              <w:spacing w:after="0"/>
              <w:rPr>
                <w:sz w:val="20"/>
                <w:szCs w:val="20"/>
                <w:color w:val="auto"/>
              </w:rPr>
            </w:pPr>
            <w:r>
              <w:rPr>
                <w:rFonts w:ascii="Arial" w:cs="Arial" w:eastAsia="Arial" w:hAnsi="Arial"/>
                <w:sz w:val="15"/>
                <w:szCs w:val="15"/>
                <w:color w:val="183964"/>
              </w:rPr>
              <w:t>27,020</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Sale of future royalties liability, current</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12</w:t>
            </w: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13,600</w:t>
            </w:r>
          </w:p>
        </w:tc>
        <w:tc>
          <w:tcPr>
            <w:tcW w:w="960" w:type="dxa"/>
            <w:vAlign w:val="bottom"/>
          </w:tcPr>
          <w:p>
            <w:pPr>
              <w:jc w:val="right"/>
              <w:spacing w:after="0"/>
              <w:rPr>
                <w:sz w:val="20"/>
                <w:szCs w:val="20"/>
                <w:color w:val="auto"/>
              </w:rPr>
            </w:pPr>
            <w:r>
              <w:rPr>
                <w:rFonts w:ascii="Arial" w:cs="Arial" w:eastAsia="Arial" w:hAnsi="Arial"/>
                <w:sz w:val="15"/>
                <w:szCs w:val="15"/>
                <w:color w:val="183964"/>
              </w:rPr>
              <w:t>6,435</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Taxes payable</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183964"/>
              </w:rPr>
              <w:t>75</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Notes payable</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4,496</w:t>
            </w:r>
          </w:p>
        </w:tc>
        <w:tc>
          <w:tcPr>
            <w:tcW w:w="960" w:type="dxa"/>
            <w:vAlign w:val="bottom"/>
          </w:tcPr>
          <w:p>
            <w:pPr>
              <w:jc w:val="right"/>
              <w:spacing w:after="0"/>
              <w:rPr>
                <w:sz w:val="20"/>
                <w:szCs w:val="20"/>
                <w:color w:val="auto"/>
              </w:rPr>
            </w:pPr>
            <w:r>
              <w:rPr>
                <w:rFonts w:ascii="Arial" w:cs="Arial" w:eastAsia="Arial" w:hAnsi="Arial"/>
                <w:sz w:val="15"/>
                <w:szCs w:val="15"/>
                <w:color w:val="183964"/>
              </w:rPr>
              <w:t>4,111</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Preferred share liability</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11, 13</w:t>
            </w: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169</w:t>
            </w:r>
          </w:p>
        </w:tc>
        <w:tc>
          <w:tcPr>
            <w:tcW w:w="960" w:type="dxa"/>
            <w:vAlign w:val="bottom"/>
          </w:tcPr>
          <w:p>
            <w:pPr>
              <w:jc w:val="right"/>
              <w:spacing w:after="0"/>
              <w:rPr>
                <w:sz w:val="20"/>
                <w:szCs w:val="20"/>
                <w:color w:val="auto"/>
              </w:rPr>
            </w:pPr>
            <w:r>
              <w:rPr>
                <w:rFonts w:ascii="Arial" w:cs="Arial" w:eastAsia="Arial" w:hAnsi="Arial"/>
                <w:sz w:val="15"/>
                <w:szCs w:val="15"/>
                <w:color w:val="183964"/>
              </w:rPr>
              <w:t>169</w:t>
            </w:r>
          </w:p>
        </w:tc>
      </w:tr>
      <w:tr>
        <w:trPr>
          <w:trHeight w:val="25"/>
        </w:trPr>
        <w:tc>
          <w:tcPr>
            <w:tcW w:w="5780" w:type="dxa"/>
            <w:vAlign w:val="bottom"/>
            <w:tcBorders>
              <w:bottom w:val="single" w:sz="8" w:color="0A2299"/>
            </w:tcBorders>
          </w:tcPr>
          <w:p>
            <w:pPr>
              <w:spacing w:after="0"/>
              <w:rPr>
                <w:sz w:val="2"/>
                <w:szCs w:val="2"/>
                <w:color w:val="auto"/>
              </w:rPr>
            </w:pPr>
          </w:p>
        </w:tc>
        <w:tc>
          <w:tcPr>
            <w:tcW w:w="3080" w:type="dxa"/>
            <w:vAlign w:val="bottom"/>
            <w:tcBorders>
              <w:bottom w:val="single" w:sz="8" w:color="0A2299"/>
            </w:tcBorders>
          </w:tcPr>
          <w:p>
            <w:pPr>
              <w:spacing w:after="0"/>
              <w:rPr>
                <w:sz w:val="2"/>
                <w:szCs w:val="2"/>
                <w:color w:val="auto"/>
              </w:rPr>
            </w:pPr>
          </w:p>
        </w:tc>
        <w:tc>
          <w:tcPr>
            <w:tcW w:w="1400" w:type="dxa"/>
            <w:vAlign w:val="bottom"/>
            <w:tcBorders>
              <w:bottom w:val="single" w:sz="8" w:color="0A2299"/>
            </w:tcBorders>
          </w:tcPr>
          <w:p>
            <w:pPr>
              <w:spacing w:after="0"/>
              <w:rPr>
                <w:sz w:val="2"/>
                <w:szCs w:val="2"/>
                <w:color w:val="auto"/>
              </w:rPr>
            </w:pPr>
          </w:p>
        </w:tc>
        <w:tc>
          <w:tcPr>
            <w:tcW w:w="960" w:type="dxa"/>
            <w:vAlign w:val="bottom"/>
            <w:tcBorders>
              <w:bottom w:val="single" w:sz="8" w:color="0A2299"/>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color w:val="auto"/>
              </w:rPr>
              <w:t>Total current liabilities</w:t>
            </w:r>
          </w:p>
        </w:tc>
        <w:tc>
          <w:tcPr>
            <w:tcW w:w="3080" w:type="dxa"/>
            <w:vAlign w:val="bottom"/>
          </w:tcPr>
          <w:p>
            <w:pPr>
              <w:spacing w:after="0"/>
              <w:rPr>
                <w:sz w:val="18"/>
                <w:szCs w:val="18"/>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40,576</w:t>
            </w:r>
          </w:p>
        </w:tc>
        <w:tc>
          <w:tcPr>
            <w:tcW w:w="960" w:type="dxa"/>
            <w:vAlign w:val="bottom"/>
          </w:tcPr>
          <w:p>
            <w:pPr>
              <w:jc w:val="right"/>
              <w:spacing w:after="0"/>
              <w:rPr>
                <w:sz w:val="20"/>
                <w:szCs w:val="20"/>
                <w:color w:val="auto"/>
              </w:rPr>
            </w:pPr>
            <w:r>
              <w:rPr>
                <w:rFonts w:ascii="Arial" w:cs="Arial" w:eastAsia="Arial" w:hAnsi="Arial"/>
                <w:sz w:val="15"/>
                <w:szCs w:val="15"/>
                <w:color w:val="183964"/>
              </w:rPr>
              <w:t>41,388</w:t>
            </w:r>
          </w:p>
        </w:tc>
      </w:tr>
      <w:tr>
        <w:trPr>
          <w:trHeight w:val="25"/>
        </w:trPr>
        <w:tc>
          <w:tcPr>
            <w:tcW w:w="5780" w:type="dxa"/>
            <w:vAlign w:val="bottom"/>
            <w:tcBorders>
              <w:bottom w:val="single" w:sz="8" w:color="183964"/>
            </w:tcBorders>
          </w:tcPr>
          <w:p>
            <w:pPr>
              <w:spacing w:after="0"/>
              <w:rPr>
                <w:sz w:val="2"/>
                <w:szCs w:val="2"/>
                <w:color w:val="auto"/>
              </w:rPr>
            </w:pPr>
          </w:p>
        </w:tc>
        <w:tc>
          <w:tcPr>
            <w:tcW w:w="3080" w:type="dxa"/>
            <w:vAlign w:val="bottom"/>
            <w:tcBorders>
              <w:bottom w:val="single" w:sz="8" w:color="183964"/>
            </w:tcBorders>
          </w:tcPr>
          <w:p>
            <w:pPr>
              <w:spacing w:after="0"/>
              <w:rPr>
                <w:sz w:val="2"/>
                <w:szCs w:val="2"/>
                <w:color w:val="auto"/>
              </w:rPr>
            </w:pPr>
          </w:p>
        </w:tc>
        <w:tc>
          <w:tcPr>
            <w:tcW w:w="140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r>
      <w:tr>
        <w:trPr>
          <w:trHeight w:val="212"/>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Total liabilities</w:t>
            </w:r>
          </w:p>
        </w:tc>
        <w:tc>
          <w:tcPr>
            <w:tcW w:w="3080" w:type="dxa"/>
            <w:vAlign w:val="bottom"/>
          </w:tcPr>
          <w:p>
            <w:pPr>
              <w:spacing w:after="0"/>
              <w:rPr>
                <w:sz w:val="18"/>
                <w:szCs w:val="18"/>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184,217</w:t>
            </w:r>
          </w:p>
        </w:tc>
        <w:tc>
          <w:tcPr>
            <w:tcW w:w="960" w:type="dxa"/>
            <w:vAlign w:val="bottom"/>
          </w:tcPr>
          <w:p>
            <w:pPr>
              <w:jc w:val="right"/>
              <w:spacing w:after="0"/>
              <w:rPr>
                <w:sz w:val="20"/>
                <w:szCs w:val="20"/>
                <w:color w:val="auto"/>
              </w:rPr>
            </w:pPr>
            <w:r>
              <w:rPr>
                <w:rFonts w:ascii="Arial" w:cs="Arial" w:eastAsia="Arial" w:hAnsi="Arial"/>
                <w:sz w:val="15"/>
                <w:szCs w:val="15"/>
                <w:color w:val="183964"/>
              </w:rPr>
              <w:t>194,702</w:t>
            </w:r>
          </w:p>
        </w:tc>
      </w:tr>
      <w:tr>
        <w:trPr>
          <w:trHeight w:val="25"/>
        </w:trPr>
        <w:tc>
          <w:tcPr>
            <w:tcW w:w="5780" w:type="dxa"/>
            <w:vAlign w:val="bottom"/>
            <w:tcBorders>
              <w:bottom w:val="single" w:sz="8" w:color="183964"/>
            </w:tcBorders>
          </w:tcPr>
          <w:p>
            <w:pPr>
              <w:spacing w:after="0"/>
              <w:rPr>
                <w:sz w:val="2"/>
                <w:szCs w:val="2"/>
                <w:color w:val="auto"/>
              </w:rPr>
            </w:pPr>
          </w:p>
        </w:tc>
        <w:tc>
          <w:tcPr>
            <w:tcW w:w="3080" w:type="dxa"/>
            <w:vAlign w:val="bottom"/>
            <w:tcBorders>
              <w:bottom w:val="single" w:sz="8" w:color="183964"/>
            </w:tcBorders>
          </w:tcPr>
          <w:p>
            <w:pPr>
              <w:spacing w:after="0"/>
              <w:rPr>
                <w:sz w:val="2"/>
                <w:szCs w:val="2"/>
                <w:color w:val="auto"/>
              </w:rPr>
            </w:pPr>
          </w:p>
        </w:tc>
        <w:tc>
          <w:tcPr>
            <w:tcW w:w="140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r>
      <w:tr>
        <w:trPr>
          <w:trHeight w:val="212"/>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Total equity and liabilities</w:t>
            </w:r>
          </w:p>
        </w:tc>
        <w:tc>
          <w:tcPr>
            <w:tcW w:w="3080" w:type="dxa"/>
            <w:vAlign w:val="bottom"/>
          </w:tcPr>
          <w:p>
            <w:pPr>
              <w:spacing w:after="0"/>
              <w:rPr>
                <w:sz w:val="18"/>
                <w:szCs w:val="18"/>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553,242</w:t>
            </w:r>
          </w:p>
        </w:tc>
        <w:tc>
          <w:tcPr>
            <w:tcW w:w="960" w:type="dxa"/>
            <w:vAlign w:val="bottom"/>
          </w:tcPr>
          <w:p>
            <w:pPr>
              <w:jc w:val="right"/>
              <w:spacing w:after="0"/>
              <w:rPr>
                <w:sz w:val="20"/>
                <w:szCs w:val="20"/>
                <w:color w:val="auto"/>
              </w:rPr>
            </w:pPr>
            <w:r>
              <w:rPr>
                <w:rFonts w:ascii="Arial" w:cs="Arial" w:eastAsia="Arial" w:hAnsi="Arial"/>
                <w:sz w:val="15"/>
                <w:szCs w:val="15"/>
                <w:color w:val="183964"/>
              </w:rPr>
              <w:t>602,635</w:t>
            </w:r>
          </w:p>
        </w:tc>
      </w:tr>
      <w:tr>
        <w:trPr>
          <w:trHeight w:val="25"/>
        </w:trPr>
        <w:tc>
          <w:tcPr>
            <w:tcW w:w="57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Please refer to the accompanying Notes to the condensed consolidated financial information. Registered number: 09582467.</w:t>
      </w:r>
    </w:p>
    <w:p>
      <w:pPr>
        <w:spacing w:after="0" w:line="17"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Condensed Consolidated Financial Statements were approved by the Board of Directors and authorized for issuance on August 28, 2025 and signed on its behalf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14871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871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b w:val="1"/>
          <w:bCs w:val="1"/>
          <w:color w:val="183964"/>
        </w:rPr>
        <w:t>Sharon Barber-Lui</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183964"/>
        </w:rPr>
        <w:t>Interim Chair of the Board of Directors</w:t>
      </w:r>
    </w:p>
    <w:p>
      <w:pPr>
        <w:spacing w:after="0"/>
        <w:rPr>
          <w:sz w:val="20"/>
          <w:szCs w:val="20"/>
          <w:color w:val="auto"/>
        </w:rPr>
      </w:pPr>
      <w:r>
        <w:rPr>
          <w:rFonts w:ascii="Arial" w:cs="Arial" w:eastAsia="Arial" w:hAnsi="Arial"/>
          <w:sz w:val="13"/>
          <w:szCs w:val="13"/>
          <w:color w:val="183964"/>
        </w:rPr>
        <w:t>August 28, 2025</w:t>
      </w:r>
    </w:p>
    <w:p>
      <w:pPr>
        <w:sectPr>
          <w:pgSz w:w="11900" w:h="16838" w:orient="portrait"/>
          <w:cols w:equalWidth="0" w:num="1">
            <w:col w:w="11240"/>
          </w:cols>
          <w:pgMar w:left="320" w:top="1235" w:right="339" w:bottom="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financial statements.</w:t>
      </w:r>
    </w:p>
    <w:p>
      <w:pPr>
        <w:sectPr>
          <w:pgSz w:w="11900" w:h="16838" w:orient="portrait"/>
          <w:cols w:equalWidth="0" w:num="1">
            <w:col w:w="11240"/>
          </w:cols>
          <w:pgMar w:left="320" w:top="1235" w:right="339" w:bottom="0" w:gutter="0" w:footer="0" w:header="0"/>
          <w:type w:val="continuous"/>
        </w:sectPr>
      </w:pPr>
    </w:p>
    <w:bookmarkStart w:id="22" w:name="page23"/>
    <w:bookmarkEnd w:id="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rFonts w:ascii="Arial" w:cs="Arial" w:eastAsia="Arial" w:hAnsi="Arial"/>
          <w:sz w:val="31"/>
          <w:szCs w:val="31"/>
          <w:b w:val="1"/>
          <w:bCs w:val="1"/>
          <w:color w:val="183964"/>
        </w:rPr>
        <w:t>Condensed Consolidated Statement of Changes in Equity (Unaudited)</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183964"/>
        </w:rPr>
        <w:t>For the six months ended June 30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gridSpan w:val="2"/>
          </w:tcPr>
          <w:p>
            <w:pPr>
              <w:jc w:val="right"/>
              <w:spacing w:after="0"/>
              <w:rPr>
                <w:sz w:val="20"/>
                <w:szCs w:val="20"/>
                <w:color w:val="auto"/>
              </w:rPr>
            </w:pPr>
            <w:r>
              <w:rPr>
                <w:rFonts w:ascii="Arial" w:cs="Arial" w:eastAsia="Arial" w:hAnsi="Arial"/>
                <w:sz w:val="11"/>
                <w:szCs w:val="11"/>
                <w:color w:val="183964"/>
              </w:rPr>
              <w:t>Share Capital</w:t>
            </w:r>
          </w:p>
        </w:tc>
        <w:tc>
          <w:tcPr>
            <w:tcW w:w="680" w:type="dxa"/>
            <w:vAlign w:val="bottom"/>
          </w:tcPr>
          <w:p>
            <w:pPr>
              <w:spacing w:after="0"/>
              <w:rPr>
                <w:sz w:val="12"/>
                <w:szCs w:val="12"/>
                <w:color w:val="auto"/>
              </w:rPr>
            </w:pPr>
          </w:p>
        </w:tc>
        <w:tc>
          <w:tcPr>
            <w:tcW w:w="1580" w:type="dxa"/>
            <w:vAlign w:val="bottom"/>
            <w:gridSpan w:val="2"/>
          </w:tcPr>
          <w:p>
            <w:pPr>
              <w:jc w:val="right"/>
              <w:spacing w:after="0"/>
              <w:rPr>
                <w:sz w:val="20"/>
                <w:szCs w:val="20"/>
                <w:color w:val="auto"/>
              </w:rPr>
            </w:pPr>
            <w:r>
              <w:rPr>
                <w:rFonts w:ascii="Arial" w:cs="Arial" w:eastAsia="Arial" w:hAnsi="Arial"/>
                <w:sz w:val="11"/>
                <w:szCs w:val="11"/>
                <w:color w:val="183964"/>
              </w:rPr>
              <w:t>Treasury Shares</w:t>
            </w: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Borders>
              <w:bottom w:val="single" w:sz="8" w:color="183964"/>
            </w:tcBorders>
          </w:tcPr>
          <w:p>
            <w:pPr>
              <w:spacing w:after="0"/>
              <w:rPr>
                <w:sz w:val="2"/>
                <w:szCs w:val="2"/>
                <w:color w:val="auto"/>
              </w:rPr>
            </w:pPr>
          </w:p>
        </w:tc>
        <w:tc>
          <w:tcPr>
            <w:tcW w:w="540" w:type="dxa"/>
            <w:vAlign w:val="bottom"/>
            <w:tcBorders>
              <w:bottom w:val="single" w:sz="8" w:color="183964"/>
            </w:tcBorders>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Borders>
              <w:bottom w:val="single" w:sz="8" w:color="183964"/>
            </w:tcBorders>
          </w:tcPr>
          <w:p>
            <w:pPr>
              <w:spacing w:after="0"/>
              <w:rPr>
                <w:sz w:val="2"/>
                <w:szCs w:val="2"/>
                <w:color w:val="auto"/>
              </w:rPr>
            </w:pPr>
          </w:p>
        </w:tc>
        <w:tc>
          <w:tcPr>
            <w:tcW w:w="560" w:type="dxa"/>
            <w:vAlign w:val="bottom"/>
            <w:tcBorders>
              <w:bottom w:val="single" w:sz="8" w:color="183964"/>
            </w:tcBorders>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vMerge w:val="restart"/>
          </w:tcPr>
          <w:p>
            <w:pPr>
              <w:jc w:val="right"/>
              <w:ind w:right="23"/>
              <w:spacing w:after="0"/>
              <w:rPr>
                <w:sz w:val="20"/>
                <w:szCs w:val="20"/>
                <w:color w:val="auto"/>
              </w:rPr>
            </w:pPr>
            <w:r>
              <w:rPr>
                <w:rFonts w:ascii="Arial" w:cs="Arial" w:eastAsia="Arial" w:hAnsi="Arial"/>
                <w:sz w:val="11"/>
                <w:szCs w:val="11"/>
                <w:color w:val="183964"/>
              </w:rPr>
              <w:t>Retained</w:t>
            </w: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jc w:val="right"/>
              <w:ind w:right="23"/>
              <w:spacing w:after="0"/>
              <w:rPr>
                <w:sz w:val="20"/>
                <w:szCs w:val="20"/>
                <w:color w:val="auto"/>
              </w:rPr>
            </w:pPr>
            <w:r>
              <w:rPr>
                <w:rFonts w:ascii="Arial" w:cs="Arial" w:eastAsia="Arial" w:hAnsi="Arial"/>
                <w:sz w:val="11"/>
                <w:szCs w:val="11"/>
                <w:color w:val="183964"/>
              </w:rPr>
              <w:t>earnings/</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183964"/>
              </w:rPr>
              <w:t>Share</w:t>
            </w: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jc w:val="right"/>
              <w:ind w:right="82"/>
              <w:spacing w:after="0" w:line="122" w:lineRule="exact"/>
              <w:rPr>
                <w:sz w:val="20"/>
                <w:szCs w:val="20"/>
                <w:color w:val="auto"/>
              </w:rPr>
            </w:pPr>
            <w:r>
              <w:rPr>
                <w:rFonts w:ascii="Arial" w:cs="Arial" w:eastAsia="Arial" w:hAnsi="Arial"/>
                <w:sz w:val="11"/>
                <w:szCs w:val="11"/>
                <w:color w:val="183964"/>
              </w:rPr>
              <w:t>Translation</w:t>
            </w:r>
          </w:p>
        </w:tc>
        <w:tc>
          <w:tcPr>
            <w:tcW w:w="660" w:type="dxa"/>
            <w:vAlign w:val="bottom"/>
          </w:tcPr>
          <w:p>
            <w:pPr>
              <w:jc w:val="right"/>
              <w:ind w:right="62"/>
              <w:spacing w:after="0" w:line="122" w:lineRule="exact"/>
              <w:rPr>
                <w:sz w:val="20"/>
                <w:szCs w:val="20"/>
                <w:color w:val="auto"/>
              </w:rPr>
            </w:pPr>
            <w:r>
              <w:rPr>
                <w:rFonts w:ascii="Arial" w:cs="Arial" w:eastAsia="Arial" w:hAnsi="Arial"/>
                <w:sz w:val="11"/>
                <w:szCs w:val="11"/>
                <w:color w:val="183964"/>
              </w:rPr>
              <w:t>Other</w:t>
            </w:r>
          </w:p>
        </w:tc>
        <w:tc>
          <w:tcPr>
            <w:tcW w:w="860" w:type="dxa"/>
            <w:vAlign w:val="bottom"/>
          </w:tcPr>
          <w:p>
            <w:pPr>
              <w:jc w:val="right"/>
              <w:ind w:right="23"/>
              <w:spacing w:after="0" w:line="122" w:lineRule="exact"/>
              <w:rPr>
                <w:sz w:val="20"/>
                <w:szCs w:val="20"/>
                <w:color w:val="auto"/>
              </w:rPr>
            </w:pPr>
            <w:r>
              <w:rPr>
                <w:rFonts w:ascii="Arial" w:cs="Arial" w:eastAsia="Arial" w:hAnsi="Arial"/>
                <w:sz w:val="11"/>
                <w:szCs w:val="11"/>
                <w:color w:val="183964"/>
              </w:rPr>
              <w:t>(accumulated</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183964"/>
              </w:rPr>
              <w:t>Total Parent</w:t>
            </w:r>
          </w:p>
        </w:tc>
        <w:tc>
          <w:tcPr>
            <w:tcW w:w="860" w:type="dxa"/>
            <w:vAlign w:val="bottom"/>
          </w:tcPr>
          <w:p>
            <w:pPr>
              <w:jc w:val="right"/>
              <w:ind w:right="22"/>
              <w:spacing w:after="0" w:line="122" w:lineRule="exact"/>
              <w:rPr>
                <w:sz w:val="20"/>
                <w:szCs w:val="20"/>
                <w:color w:val="auto"/>
              </w:rPr>
            </w:pPr>
            <w:r>
              <w:rPr>
                <w:rFonts w:ascii="Arial" w:cs="Arial" w:eastAsia="Arial" w:hAnsi="Arial"/>
                <w:sz w:val="11"/>
                <w:szCs w:val="11"/>
                <w:color w:val="183964"/>
              </w:rPr>
              <w:t>Non-controlling</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183964"/>
              </w:rPr>
              <w:t>Total</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183964"/>
              </w:rPr>
              <w:t>Amount</w:t>
            </w:r>
          </w:p>
        </w:tc>
        <w:tc>
          <w:tcPr>
            <w:tcW w:w="680" w:type="dxa"/>
            <w:vAlign w:val="bottom"/>
          </w:tcPr>
          <w:p>
            <w:pPr>
              <w:jc w:val="right"/>
              <w:spacing w:after="0"/>
              <w:rPr>
                <w:sz w:val="20"/>
                <w:szCs w:val="20"/>
                <w:color w:val="auto"/>
              </w:rPr>
            </w:pPr>
            <w:r>
              <w:rPr>
                <w:rFonts w:ascii="Arial" w:cs="Arial" w:eastAsia="Arial" w:hAnsi="Arial"/>
                <w:sz w:val="11"/>
                <w:szCs w:val="11"/>
                <w:color w:val="183964"/>
              </w:rPr>
              <w:t>premium</w:t>
            </w:r>
          </w:p>
        </w:tc>
        <w:tc>
          <w:tcPr>
            <w:tcW w:w="10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83964"/>
              </w:rPr>
              <w:t>Amount</w:t>
            </w:r>
          </w:p>
        </w:tc>
        <w:tc>
          <w:tcPr>
            <w:tcW w:w="840" w:type="dxa"/>
            <w:vAlign w:val="bottom"/>
          </w:tcPr>
          <w:p>
            <w:pPr>
              <w:jc w:val="right"/>
              <w:ind w:right="62"/>
              <w:spacing w:after="0"/>
              <w:rPr>
                <w:sz w:val="20"/>
                <w:szCs w:val="20"/>
                <w:color w:val="auto"/>
              </w:rPr>
            </w:pPr>
            <w:r>
              <w:rPr>
                <w:rFonts w:ascii="Arial" w:cs="Arial" w:eastAsia="Arial" w:hAnsi="Arial"/>
                <w:sz w:val="11"/>
                <w:szCs w:val="11"/>
                <w:color w:val="183964"/>
              </w:rPr>
              <w:t>Merger</w:t>
            </w:r>
          </w:p>
        </w:tc>
        <w:tc>
          <w:tcPr>
            <w:tcW w:w="780" w:type="dxa"/>
            <w:vAlign w:val="bottom"/>
          </w:tcPr>
          <w:p>
            <w:pPr>
              <w:jc w:val="right"/>
              <w:ind w:right="82"/>
              <w:spacing w:after="0"/>
              <w:rPr>
                <w:sz w:val="20"/>
                <w:szCs w:val="20"/>
                <w:color w:val="auto"/>
              </w:rPr>
            </w:pPr>
            <w:r>
              <w:rPr>
                <w:rFonts w:ascii="Arial" w:cs="Arial" w:eastAsia="Arial" w:hAnsi="Arial"/>
                <w:sz w:val="11"/>
                <w:szCs w:val="11"/>
                <w:color w:val="183964"/>
              </w:rPr>
              <w:t>reserve</w:t>
            </w:r>
          </w:p>
        </w:tc>
        <w:tc>
          <w:tcPr>
            <w:tcW w:w="660" w:type="dxa"/>
            <w:vAlign w:val="bottom"/>
          </w:tcPr>
          <w:p>
            <w:pPr>
              <w:jc w:val="right"/>
              <w:ind w:right="102"/>
              <w:spacing w:after="0"/>
              <w:rPr>
                <w:sz w:val="20"/>
                <w:szCs w:val="20"/>
                <w:color w:val="auto"/>
              </w:rPr>
            </w:pPr>
            <w:r>
              <w:rPr>
                <w:rFonts w:ascii="Arial" w:cs="Arial" w:eastAsia="Arial" w:hAnsi="Arial"/>
                <w:sz w:val="11"/>
                <w:szCs w:val="11"/>
                <w:color w:val="183964"/>
              </w:rPr>
              <w:t>reserve</w:t>
            </w:r>
          </w:p>
        </w:tc>
        <w:tc>
          <w:tcPr>
            <w:tcW w:w="860" w:type="dxa"/>
            <w:vAlign w:val="bottom"/>
          </w:tcPr>
          <w:p>
            <w:pPr>
              <w:jc w:val="right"/>
              <w:ind w:right="23"/>
              <w:spacing w:after="0"/>
              <w:rPr>
                <w:sz w:val="20"/>
                <w:szCs w:val="20"/>
                <w:color w:val="auto"/>
              </w:rPr>
            </w:pPr>
            <w:r>
              <w:rPr>
                <w:rFonts w:ascii="Arial" w:cs="Arial" w:eastAsia="Arial" w:hAnsi="Arial"/>
                <w:sz w:val="11"/>
                <w:szCs w:val="11"/>
                <w:color w:val="183964"/>
              </w:rPr>
              <w:t>deficit)</w:t>
            </w:r>
          </w:p>
        </w:tc>
        <w:tc>
          <w:tcPr>
            <w:tcW w:w="700" w:type="dxa"/>
            <w:vAlign w:val="bottom"/>
          </w:tcPr>
          <w:p>
            <w:pPr>
              <w:jc w:val="right"/>
              <w:spacing w:after="0"/>
              <w:rPr>
                <w:sz w:val="20"/>
                <w:szCs w:val="20"/>
                <w:color w:val="auto"/>
              </w:rPr>
            </w:pPr>
            <w:r>
              <w:rPr>
                <w:rFonts w:ascii="Arial" w:cs="Arial" w:eastAsia="Arial" w:hAnsi="Arial"/>
                <w:sz w:val="11"/>
                <w:szCs w:val="11"/>
                <w:color w:val="183964"/>
              </w:rPr>
              <w:t>equity</w:t>
            </w:r>
          </w:p>
        </w:tc>
        <w:tc>
          <w:tcPr>
            <w:tcW w:w="860" w:type="dxa"/>
            <w:vAlign w:val="bottom"/>
          </w:tcPr>
          <w:p>
            <w:pPr>
              <w:jc w:val="right"/>
              <w:ind w:right="62"/>
              <w:spacing w:after="0"/>
              <w:rPr>
                <w:sz w:val="20"/>
                <w:szCs w:val="20"/>
                <w:color w:val="auto"/>
              </w:rPr>
            </w:pPr>
            <w:r>
              <w:rPr>
                <w:rFonts w:ascii="Arial" w:cs="Arial" w:eastAsia="Arial" w:hAnsi="Arial"/>
                <w:sz w:val="11"/>
                <w:szCs w:val="11"/>
                <w:color w:val="183964"/>
              </w:rPr>
              <w:t>interests</w:t>
            </w:r>
          </w:p>
        </w:tc>
        <w:tc>
          <w:tcPr>
            <w:tcW w:w="620" w:type="dxa"/>
            <w:vAlign w:val="bottom"/>
          </w:tcPr>
          <w:p>
            <w:pPr>
              <w:jc w:val="right"/>
              <w:spacing w:after="0"/>
              <w:rPr>
                <w:sz w:val="20"/>
                <w:szCs w:val="20"/>
                <w:color w:val="auto"/>
              </w:rPr>
            </w:pPr>
            <w:r>
              <w:rPr>
                <w:rFonts w:ascii="Arial" w:cs="Arial" w:eastAsia="Arial" w:hAnsi="Arial"/>
                <w:sz w:val="11"/>
                <w:szCs w:val="11"/>
                <w:color w:val="183964"/>
              </w:rPr>
              <w:t>Equity</w:t>
            </w: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183964"/>
              </w:rPr>
              <w:t>Note</w:t>
            </w:r>
          </w:p>
        </w:tc>
        <w:tc>
          <w:tcPr>
            <w:tcW w:w="1060" w:type="dxa"/>
            <w:vAlign w:val="bottom"/>
          </w:tcPr>
          <w:p>
            <w:pPr>
              <w:jc w:val="right"/>
              <w:ind w:right="62"/>
              <w:spacing w:after="0"/>
              <w:rPr>
                <w:sz w:val="20"/>
                <w:szCs w:val="20"/>
                <w:color w:val="auto"/>
              </w:rPr>
            </w:pPr>
            <w:r>
              <w:rPr>
                <w:rFonts w:ascii="Arial" w:cs="Arial" w:eastAsia="Arial" w:hAnsi="Arial"/>
                <w:sz w:val="11"/>
                <w:szCs w:val="11"/>
                <w:color w:val="183964"/>
              </w:rPr>
              <w:t>Shares</w:t>
            </w:r>
          </w:p>
        </w:tc>
        <w:tc>
          <w:tcPr>
            <w:tcW w:w="540" w:type="dxa"/>
            <w:vAlign w:val="bottom"/>
          </w:tcPr>
          <w:p>
            <w:pPr>
              <w:jc w:val="center"/>
              <w:ind w:left="162"/>
              <w:spacing w:after="0"/>
              <w:rPr>
                <w:sz w:val="20"/>
                <w:szCs w:val="20"/>
                <w:color w:val="auto"/>
              </w:rPr>
            </w:pPr>
            <w:r>
              <w:rPr>
                <w:rFonts w:ascii="Arial" w:cs="Arial" w:eastAsia="Arial" w:hAnsi="Arial"/>
                <w:sz w:val="11"/>
                <w:szCs w:val="11"/>
                <w:color w:val="183964"/>
                <w:w w:val="93"/>
              </w:rPr>
              <w:t>$000s</w:t>
            </w:r>
          </w:p>
        </w:tc>
        <w:tc>
          <w:tcPr>
            <w:tcW w:w="680" w:type="dxa"/>
            <w:vAlign w:val="bottom"/>
          </w:tcPr>
          <w:p>
            <w:pPr>
              <w:jc w:val="right"/>
              <w:spacing w:after="0"/>
              <w:rPr>
                <w:sz w:val="20"/>
                <w:szCs w:val="20"/>
                <w:color w:val="auto"/>
              </w:rPr>
            </w:pPr>
            <w:r>
              <w:rPr>
                <w:rFonts w:ascii="Arial" w:cs="Arial" w:eastAsia="Arial" w:hAnsi="Arial"/>
                <w:sz w:val="11"/>
                <w:szCs w:val="11"/>
                <w:color w:val="183964"/>
              </w:rPr>
              <w:t>$000s</w:t>
            </w:r>
          </w:p>
        </w:tc>
        <w:tc>
          <w:tcPr>
            <w:tcW w:w="1020" w:type="dxa"/>
            <w:vAlign w:val="bottom"/>
          </w:tcPr>
          <w:p>
            <w:pPr>
              <w:jc w:val="right"/>
              <w:ind w:right="42"/>
              <w:spacing w:after="0"/>
              <w:rPr>
                <w:sz w:val="20"/>
                <w:szCs w:val="20"/>
                <w:color w:val="auto"/>
              </w:rPr>
            </w:pPr>
            <w:r>
              <w:rPr>
                <w:rFonts w:ascii="Arial" w:cs="Arial" w:eastAsia="Arial" w:hAnsi="Arial"/>
                <w:sz w:val="11"/>
                <w:szCs w:val="11"/>
                <w:color w:val="183964"/>
              </w:rPr>
              <w:t>Shares</w:t>
            </w:r>
          </w:p>
        </w:tc>
        <w:tc>
          <w:tcPr>
            <w:tcW w:w="1400" w:type="dxa"/>
            <w:vAlign w:val="bottom"/>
            <w:gridSpan w:val="2"/>
          </w:tcPr>
          <w:p>
            <w:pPr>
              <w:jc w:val="right"/>
              <w:ind w:right="62"/>
              <w:spacing w:after="0"/>
              <w:rPr>
                <w:sz w:val="20"/>
                <w:szCs w:val="20"/>
                <w:color w:val="auto"/>
              </w:rPr>
            </w:pPr>
            <w:r>
              <w:rPr>
                <w:rFonts w:ascii="Arial" w:cs="Arial" w:eastAsia="Arial" w:hAnsi="Arial"/>
                <w:sz w:val="11"/>
                <w:szCs w:val="11"/>
                <w:color w:val="183964"/>
              </w:rPr>
              <w:t>$000s reserve $000s</w:t>
            </w:r>
          </w:p>
        </w:tc>
        <w:tc>
          <w:tcPr>
            <w:tcW w:w="780" w:type="dxa"/>
            <w:vAlign w:val="bottom"/>
          </w:tcPr>
          <w:p>
            <w:pPr>
              <w:jc w:val="right"/>
              <w:ind w:right="82"/>
              <w:spacing w:after="0"/>
              <w:rPr>
                <w:sz w:val="20"/>
                <w:szCs w:val="20"/>
                <w:color w:val="auto"/>
              </w:rPr>
            </w:pPr>
            <w:r>
              <w:rPr>
                <w:rFonts w:ascii="Arial" w:cs="Arial" w:eastAsia="Arial" w:hAnsi="Arial"/>
                <w:sz w:val="11"/>
                <w:szCs w:val="11"/>
                <w:color w:val="183964"/>
              </w:rPr>
              <w:t>$000s</w:t>
            </w:r>
          </w:p>
        </w:tc>
        <w:tc>
          <w:tcPr>
            <w:tcW w:w="660" w:type="dxa"/>
            <w:vAlign w:val="bottom"/>
          </w:tcPr>
          <w:p>
            <w:pPr>
              <w:jc w:val="right"/>
              <w:ind w:right="62"/>
              <w:spacing w:after="0"/>
              <w:rPr>
                <w:sz w:val="20"/>
                <w:szCs w:val="20"/>
                <w:color w:val="auto"/>
              </w:rPr>
            </w:pPr>
            <w:r>
              <w:rPr>
                <w:rFonts w:ascii="Arial" w:cs="Arial" w:eastAsia="Arial" w:hAnsi="Arial"/>
                <w:sz w:val="11"/>
                <w:szCs w:val="11"/>
                <w:color w:val="183964"/>
              </w:rPr>
              <w:t>$000s</w:t>
            </w:r>
          </w:p>
        </w:tc>
        <w:tc>
          <w:tcPr>
            <w:tcW w:w="860" w:type="dxa"/>
            <w:vAlign w:val="bottom"/>
          </w:tcPr>
          <w:p>
            <w:pPr>
              <w:jc w:val="right"/>
              <w:ind w:right="23"/>
              <w:spacing w:after="0"/>
              <w:rPr>
                <w:sz w:val="20"/>
                <w:szCs w:val="20"/>
                <w:color w:val="auto"/>
              </w:rPr>
            </w:pPr>
            <w:r>
              <w:rPr>
                <w:rFonts w:ascii="Arial" w:cs="Arial" w:eastAsia="Arial" w:hAnsi="Arial"/>
                <w:sz w:val="11"/>
                <w:szCs w:val="11"/>
                <w:color w:val="183964"/>
              </w:rPr>
              <w:t>$000s</w:t>
            </w:r>
          </w:p>
        </w:tc>
        <w:tc>
          <w:tcPr>
            <w:tcW w:w="700" w:type="dxa"/>
            <w:vAlign w:val="bottom"/>
          </w:tcPr>
          <w:p>
            <w:pPr>
              <w:jc w:val="right"/>
              <w:spacing w:after="0"/>
              <w:rPr>
                <w:sz w:val="20"/>
                <w:szCs w:val="20"/>
                <w:color w:val="auto"/>
              </w:rPr>
            </w:pPr>
            <w:r>
              <w:rPr>
                <w:rFonts w:ascii="Arial" w:cs="Arial" w:eastAsia="Arial" w:hAnsi="Arial"/>
                <w:sz w:val="11"/>
                <w:szCs w:val="11"/>
                <w:color w:val="183964"/>
              </w:rPr>
              <w:t>$000s</w:t>
            </w:r>
          </w:p>
        </w:tc>
        <w:tc>
          <w:tcPr>
            <w:tcW w:w="860" w:type="dxa"/>
            <w:vAlign w:val="bottom"/>
          </w:tcPr>
          <w:p>
            <w:pPr>
              <w:jc w:val="right"/>
              <w:ind w:right="22"/>
              <w:spacing w:after="0"/>
              <w:rPr>
                <w:sz w:val="20"/>
                <w:szCs w:val="20"/>
                <w:color w:val="auto"/>
              </w:rPr>
            </w:pPr>
            <w:r>
              <w:rPr>
                <w:rFonts w:ascii="Arial" w:cs="Arial" w:eastAsia="Arial" w:hAnsi="Arial"/>
                <w:sz w:val="11"/>
                <w:szCs w:val="11"/>
                <w:color w:val="183964"/>
              </w:rPr>
              <w:t>$000s</w:t>
            </w:r>
          </w:p>
        </w:tc>
        <w:tc>
          <w:tcPr>
            <w:tcW w:w="620" w:type="dxa"/>
            <w:vAlign w:val="bottom"/>
          </w:tcPr>
          <w:p>
            <w:pPr>
              <w:jc w:val="right"/>
              <w:spacing w:after="0"/>
              <w:rPr>
                <w:sz w:val="20"/>
                <w:szCs w:val="20"/>
                <w:color w:val="auto"/>
              </w:rPr>
            </w:pPr>
            <w:r>
              <w:rPr>
                <w:rFonts w:ascii="Arial" w:cs="Arial" w:eastAsia="Arial" w:hAnsi="Arial"/>
                <w:sz w:val="11"/>
                <w:szCs w:val="11"/>
                <w:color w:val="183964"/>
              </w:rPr>
              <w:t>$000s</w:t>
            </w:r>
          </w:p>
        </w:tc>
        <w:tc>
          <w:tcPr>
            <w:tcW w:w="0" w:type="dxa"/>
            <w:vAlign w:val="bottom"/>
          </w:tcPr>
          <w:p>
            <w:pPr>
              <w:spacing w:after="0"/>
              <w:rPr>
                <w:sz w:val="1"/>
                <w:szCs w:val="1"/>
                <w:color w:val="auto"/>
              </w:rPr>
            </w:pPr>
          </w:p>
        </w:tc>
      </w:tr>
      <w:tr>
        <w:trPr>
          <w:trHeight w:val="33"/>
        </w:trPr>
        <w:tc>
          <w:tcPr>
            <w:tcW w:w="1560" w:type="dxa"/>
            <w:vAlign w:val="bottom"/>
            <w:tcBorders>
              <w:bottom w:val="single" w:sz="8" w:color="183964"/>
            </w:tcBorders>
          </w:tcPr>
          <w:p>
            <w:pPr>
              <w:spacing w:after="0"/>
              <w:rPr>
                <w:sz w:val="2"/>
                <w:szCs w:val="2"/>
                <w:color w:val="auto"/>
              </w:rPr>
            </w:pPr>
          </w:p>
        </w:tc>
        <w:tc>
          <w:tcPr>
            <w:tcW w:w="380" w:type="dxa"/>
            <w:vAlign w:val="bottom"/>
            <w:tcBorders>
              <w:bottom w:val="single" w:sz="8" w:color="183964"/>
            </w:tcBorders>
          </w:tcPr>
          <w:p>
            <w:pPr>
              <w:spacing w:after="0"/>
              <w:rPr>
                <w:sz w:val="2"/>
                <w:szCs w:val="2"/>
                <w:color w:val="auto"/>
              </w:rPr>
            </w:pPr>
          </w:p>
        </w:tc>
        <w:tc>
          <w:tcPr>
            <w:tcW w:w="1060" w:type="dxa"/>
            <w:vAlign w:val="bottom"/>
            <w:tcBorders>
              <w:bottom w:val="single" w:sz="8" w:color="183964"/>
            </w:tcBorders>
          </w:tcPr>
          <w:p>
            <w:pPr>
              <w:spacing w:after="0"/>
              <w:rPr>
                <w:sz w:val="2"/>
                <w:szCs w:val="2"/>
                <w:color w:val="auto"/>
              </w:rPr>
            </w:pPr>
          </w:p>
        </w:tc>
        <w:tc>
          <w:tcPr>
            <w:tcW w:w="540" w:type="dxa"/>
            <w:vAlign w:val="bottom"/>
            <w:tcBorders>
              <w:bottom w:val="single" w:sz="8" w:color="183964"/>
            </w:tcBorders>
          </w:tcPr>
          <w:p>
            <w:pPr>
              <w:spacing w:after="0"/>
              <w:rPr>
                <w:sz w:val="2"/>
                <w:szCs w:val="2"/>
                <w:color w:val="auto"/>
              </w:rPr>
            </w:pPr>
          </w:p>
        </w:tc>
        <w:tc>
          <w:tcPr>
            <w:tcW w:w="680" w:type="dxa"/>
            <w:vAlign w:val="bottom"/>
            <w:tcBorders>
              <w:bottom w:val="single" w:sz="8" w:color="183964"/>
            </w:tcBorders>
          </w:tcPr>
          <w:p>
            <w:pPr>
              <w:spacing w:after="0"/>
              <w:rPr>
                <w:sz w:val="2"/>
                <w:szCs w:val="2"/>
                <w:color w:val="auto"/>
              </w:rPr>
            </w:pPr>
          </w:p>
        </w:tc>
        <w:tc>
          <w:tcPr>
            <w:tcW w:w="1020" w:type="dxa"/>
            <w:vAlign w:val="bottom"/>
            <w:tcBorders>
              <w:bottom w:val="single" w:sz="8" w:color="183964"/>
            </w:tcBorders>
          </w:tcPr>
          <w:p>
            <w:pPr>
              <w:spacing w:after="0"/>
              <w:rPr>
                <w:sz w:val="2"/>
                <w:szCs w:val="2"/>
                <w:color w:val="auto"/>
              </w:rPr>
            </w:pPr>
          </w:p>
        </w:tc>
        <w:tc>
          <w:tcPr>
            <w:tcW w:w="560" w:type="dxa"/>
            <w:vAlign w:val="bottom"/>
            <w:tcBorders>
              <w:bottom w:val="single" w:sz="8" w:color="183964"/>
            </w:tcBorders>
          </w:tcPr>
          <w:p>
            <w:pPr>
              <w:spacing w:after="0"/>
              <w:rPr>
                <w:sz w:val="2"/>
                <w:szCs w:val="2"/>
                <w:color w:val="auto"/>
              </w:rPr>
            </w:pPr>
          </w:p>
        </w:tc>
        <w:tc>
          <w:tcPr>
            <w:tcW w:w="840" w:type="dxa"/>
            <w:vAlign w:val="bottom"/>
            <w:tcBorders>
              <w:bottom w:val="single" w:sz="8" w:color="183964"/>
            </w:tcBorders>
          </w:tcPr>
          <w:p>
            <w:pPr>
              <w:spacing w:after="0"/>
              <w:rPr>
                <w:sz w:val="2"/>
                <w:szCs w:val="2"/>
                <w:color w:val="auto"/>
              </w:rPr>
            </w:pPr>
          </w:p>
        </w:tc>
        <w:tc>
          <w:tcPr>
            <w:tcW w:w="780" w:type="dxa"/>
            <w:vAlign w:val="bottom"/>
            <w:tcBorders>
              <w:bottom w:val="single" w:sz="8" w:color="183964"/>
            </w:tcBorders>
          </w:tcPr>
          <w:p>
            <w:pPr>
              <w:spacing w:after="0"/>
              <w:rPr>
                <w:sz w:val="2"/>
                <w:szCs w:val="2"/>
                <w:color w:val="auto"/>
              </w:rPr>
            </w:pPr>
          </w:p>
        </w:tc>
        <w:tc>
          <w:tcPr>
            <w:tcW w:w="660" w:type="dxa"/>
            <w:vAlign w:val="bottom"/>
            <w:tcBorders>
              <w:bottom w:val="single" w:sz="8" w:color="183964"/>
            </w:tcBorders>
          </w:tcPr>
          <w:p>
            <w:pPr>
              <w:spacing w:after="0"/>
              <w:rPr>
                <w:sz w:val="2"/>
                <w:szCs w:val="2"/>
                <w:color w:val="auto"/>
              </w:rPr>
            </w:pPr>
          </w:p>
        </w:tc>
        <w:tc>
          <w:tcPr>
            <w:tcW w:w="860" w:type="dxa"/>
            <w:vAlign w:val="bottom"/>
            <w:tcBorders>
              <w:bottom w:val="single" w:sz="8" w:color="183964"/>
            </w:tcBorders>
          </w:tcPr>
          <w:p>
            <w:pPr>
              <w:spacing w:after="0"/>
              <w:rPr>
                <w:sz w:val="2"/>
                <w:szCs w:val="2"/>
                <w:color w:val="auto"/>
              </w:rPr>
            </w:pPr>
          </w:p>
        </w:tc>
        <w:tc>
          <w:tcPr>
            <w:tcW w:w="700" w:type="dxa"/>
            <w:vAlign w:val="bottom"/>
            <w:tcBorders>
              <w:bottom w:val="single" w:sz="8" w:color="183964"/>
            </w:tcBorders>
          </w:tcPr>
          <w:p>
            <w:pPr>
              <w:spacing w:after="0"/>
              <w:rPr>
                <w:sz w:val="2"/>
                <w:szCs w:val="2"/>
                <w:color w:val="auto"/>
              </w:rPr>
            </w:pPr>
          </w:p>
        </w:tc>
        <w:tc>
          <w:tcPr>
            <w:tcW w:w="860" w:type="dxa"/>
            <w:vAlign w:val="bottom"/>
            <w:tcBorders>
              <w:bottom w:val="single" w:sz="8" w:color="183964"/>
            </w:tcBorders>
          </w:tcPr>
          <w:p>
            <w:pPr>
              <w:spacing w:after="0"/>
              <w:rPr>
                <w:sz w:val="2"/>
                <w:szCs w:val="2"/>
                <w:color w:val="auto"/>
              </w:rPr>
            </w:pPr>
          </w:p>
        </w:tc>
        <w:tc>
          <w:tcPr>
            <w:tcW w:w="620" w:type="dxa"/>
            <w:vAlign w:val="bottom"/>
            <w:tcBorders>
              <w:bottom w:val="single" w:sz="8" w:color="183964"/>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560" w:type="dxa"/>
            <w:vAlign w:val="bottom"/>
            <w:tcBorders>
              <w:bottom w:val="single" w:sz="8" w:color="0A2299"/>
            </w:tcBorders>
          </w:tcPr>
          <w:p>
            <w:pPr>
              <w:ind w:left="20"/>
              <w:spacing w:after="0"/>
              <w:rPr>
                <w:sz w:val="20"/>
                <w:szCs w:val="20"/>
                <w:color w:val="auto"/>
              </w:rPr>
            </w:pPr>
            <w:r>
              <w:rPr>
                <w:rFonts w:ascii="Arial" w:cs="Arial" w:eastAsia="Arial" w:hAnsi="Arial"/>
                <w:sz w:val="12"/>
                <w:szCs w:val="12"/>
                <w:b w:val="1"/>
                <w:bCs w:val="1"/>
                <w:color w:val="auto"/>
              </w:rPr>
              <w:t>Balance January 1, 2024</w:t>
            </w:r>
          </w:p>
        </w:tc>
        <w:tc>
          <w:tcPr>
            <w:tcW w:w="380" w:type="dxa"/>
            <w:vAlign w:val="bottom"/>
            <w:tcBorders>
              <w:bottom w:val="single" w:sz="8" w:color="0A2299"/>
            </w:tcBorders>
          </w:tcPr>
          <w:p>
            <w:pPr>
              <w:spacing w:after="0"/>
              <w:rPr>
                <w:sz w:val="15"/>
                <w:szCs w:val="15"/>
                <w:color w:val="auto"/>
              </w:rPr>
            </w:pPr>
          </w:p>
        </w:tc>
        <w:tc>
          <w:tcPr>
            <w:tcW w:w="1060" w:type="dxa"/>
            <w:vAlign w:val="bottom"/>
            <w:tcBorders>
              <w:bottom w:val="single" w:sz="8" w:color="0A2299"/>
            </w:tcBorders>
          </w:tcPr>
          <w:p>
            <w:pPr>
              <w:jc w:val="right"/>
              <w:ind w:right="102"/>
              <w:spacing w:after="0"/>
              <w:rPr>
                <w:sz w:val="20"/>
                <w:szCs w:val="20"/>
                <w:color w:val="auto"/>
              </w:rPr>
            </w:pPr>
            <w:r>
              <w:rPr>
                <w:rFonts w:ascii="Arial" w:cs="Arial" w:eastAsia="Arial" w:hAnsi="Arial"/>
                <w:sz w:val="12"/>
                <w:szCs w:val="12"/>
                <w:b w:val="1"/>
                <w:bCs w:val="1"/>
                <w:color w:val="auto"/>
              </w:rPr>
              <w:t>289,468,159</w:t>
            </w:r>
          </w:p>
        </w:tc>
        <w:tc>
          <w:tcPr>
            <w:tcW w:w="540" w:type="dxa"/>
            <w:vAlign w:val="bottom"/>
            <w:tcBorders>
              <w:bottom w:val="single" w:sz="8" w:color="0A2299"/>
            </w:tcBorders>
          </w:tcPr>
          <w:p>
            <w:pPr>
              <w:jc w:val="right"/>
              <w:ind w:right="2"/>
              <w:spacing w:after="0"/>
              <w:rPr>
                <w:sz w:val="20"/>
                <w:szCs w:val="20"/>
                <w:color w:val="auto"/>
              </w:rPr>
            </w:pPr>
            <w:r>
              <w:rPr>
                <w:rFonts w:ascii="Arial" w:cs="Arial" w:eastAsia="Arial" w:hAnsi="Arial"/>
                <w:sz w:val="12"/>
                <w:szCs w:val="12"/>
                <w:b w:val="1"/>
                <w:bCs w:val="1"/>
                <w:color w:val="auto"/>
              </w:rPr>
              <w:t>5,461</w:t>
            </w:r>
          </w:p>
        </w:tc>
        <w:tc>
          <w:tcPr>
            <w:tcW w:w="680" w:type="dxa"/>
            <w:vAlign w:val="bottom"/>
            <w:tcBorders>
              <w:bottom w:val="single" w:sz="8" w:color="0A2299"/>
            </w:tcBorders>
          </w:tcPr>
          <w:p>
            <w:pPr>
              <w:jc w:val="right"/>
              <w:ind w:right="2"/>
              <w:spacing w:after="0"/>
              <w:rPr>
                <w:sz w:val="20"/>
                <w:szCs w:val="20"/>
                <w:color w:val="auto"/>
              </w:rPr>
            </w:pPr>
            <w:r>
              <w:rPr>
                <w:rFonts w:ascii="Arial" w:cs="Arial" w:eastAsia="Arial" w:hAnsi="Arial"/>
                <w:sz w:val="12"/>
                <w:szCs w:val="12"/>
                <w:b w:val="1"/>
                <w:bCs w:val="1"/>
                <w:color w:val="auto"/>
              </w:rPr>
              <w:t>290,262</w:t>
            </w:r>
          </w:p>
        </w:tc>
        <w:tc>
          <w:tcPr>
            <w:tcW w:w="1020" w:type="dxa"/>
            <w:vAlign w:val="bottom"/>
            <w:tcBorders>
              <w:bottom w:val="single" w:sz="8" w:color="0A2299"/>
            </w:tcBorders>
          </w:tcPr>
          <w:p>
            <w:pPr>
              <w:jc w:val="right"/>
              <w:ind w:right="62"/>
              <w:spacing w:after="0"/>
              <w:rPr>
                <w:sz w:val="20"/>
                <w:szCs w:val="20"/>
                <w:color w:val="auto"/>
              </w:rPr>
            </w:pPr>
            <w:r>
              <w:rPr>
                <w:rFonts w:ascii="Arial" w:cs="Arial" w:eastAsia="Arial" w:hAnsi="Arial"/>
                <w:sz w:val="12"/>
                <w:szCs w:val="12"/>
                <w:b w:val="1"/>
                <w:bCs w:val="1"/>
                <w:color w:val="auto"/>
              </w:rPr>
              <w:t>(17,614,428)</w:t>
            </w:r>
          </w:p>
        </w:tc>
        <w:tc>
          <w:tcPr>
            <w:tcW w:w="560" w:type="dxa"/>
            <w:vAlign w:val="bottom"/>
            <w:tcBorders>
              <w:bottom w:val="single" w:sz="8" w:color="0A2299"/>
            </w:tcBorders>
          </w:tcPr>
          <w:p>
            <w:pPr>
              <w:jc w:val="right"/>
              <w:spacing w:after="0"/>
              <w:rPr>
                <w:sz w:val="20"/>
                <w:szCs w:val="20"/>
                <w:color w:val="auto"/>
              </w:rPr>
            </w:pPr>
            <w:r>
              <w:rPr>
                <w:rFonts w:ascii="Arial" w:cs="Arial" w:eastAsia="Arial" w:hAnsi="Arial"/>
                <w:sz w:val="12"/>
                <w:szCs w:val="12"/>
                <w:b w:val="1"/>
                <w:bCs w:val="1"/>
                <w:color w:val="auto"/>
              </w:rPr>
              <w:t>(44,626)</w:t>
            </w:r>
          </w:p>
        </w:tc>
        <w:tc>
          <w:tcPr>
            <w:tcW w:w="840" w:type="dxa"/>
            <w:vAlign w:val="bottom"/>
            <w:tcBorders>
              <w:bottom w:val="single" w:sz="8" w:color="0A2299"/>
            </w:tcBorders>
          </w:tcPr>
          <w:p>
            <w:pPr>
              <w:jc w:val="right"/>
              <w:ind w:right="122"/>
              <w:spacing w:after="0"/>
              <w:rPr>
                <w:sz w:val="20"/>
                <w:szCs w:val="20"/>
                <w:color w:val="auto"/>
              </w:rPr>
            </w:pPr>
            <w:r>
              <w:rPr>
                <w:rFonts w:ascii="Arial" w:cs="Arial" w:eastAsia="Arial" w:hAnsi="Arial"/>
                <w:sz w:val="12"/>
                <w:szCs w:val="12"/>
                <w:b w:val="1"/>
                <w:bCs w:val="1"/>
                <w:color w:val="auto"/>
              </w:rPr>
              <w:t>138,506</w:t>
            </w:r>
          </w:p>
        </w:tc>
        <w:tc>
          <w:tcPr>
            <w:tcW w:w="780" w:type="dxa"/>
            <w:vAlign w:val="bottom"/>
            <w:tcBorders>
              <w:bottom w:val="single" w:sz="8" w:color="0A2299"/>
            </w:tcBorders>
          </w:tcPr>
          <w:p>
            <w:pPr>
              <w:jc w:val="right"/>
              <w:ind w:right="122"/>
              <w:spacing w:after="0"/>
              <w:rPr>
                <w:sz w:val="20"/>
                <w:szCs w:val="20"/>
                <w:color w:val="auto"/>
              </w:rPr>
            </w:pPr>
            <w:r>
              <w:rPr>
                <w:rFonts w:ascii="Arial" w:cs="Arial" w:eastAsia="Arial" w:hAnsi="Arial"/>
                <w:sz w:val="12"/>
                <w:szCs w:val="12"/>
                <w:b w:val="1"/>
                <w:bCs w:val="1"/>
                <w:color w:val="auto"/>
              </w:rPr>
              <w:t>182</w:t>
            </w:r>
          </w:p>
        </w:tc>
        <w:tc>
          <w:tcPr>
            <w:tcW w:w="660" w:type="dxa"/>
            <w:vAlign w:val="bottom"/>
            <w:tcBorders>
              <w:bottom w:val="single" w:sz="8" w:color="0A2299"/>
            </w:tcBorders>
          </w:tcPr>
          <w:p>
            <w:pPr>
              <w:jc w:val="right"/>
              <w:ind w:right="82"/>
              <w:spacing w:after="0"/>
              <w:rPr>
                <w:sz w:val="20"/>
                <w:szCs w:val="20"/>
                <w:color w:val="auto"/>
              </w:rPr>
            </w:pPr>
            <w:r>
              <w:rPr>
                <w:rFonts w:ascii="Arial" w:cs="Arial" w:eastAsia="Arial" w:hAnsi="Arial"/>
                <w:sz w:val="12"/>
                <w:szCs w:val="12"/>
                <w:b w:val="1"/>
                <w:bCs w:val="1"/>
                <w:color w:val="auto"/>
              </w:rPr>
              <w:t>(9,538)</w:t>
            </w:r>
          </w:p>
        </w:tc>
        <w:tc>
          <w:tcPr>
            <w:tcW w:w="860" w:type="dxa"/>
            <w:vAlign w:val="bottom"/>
            <w:tcBorders>
              <w:bottom w:val="single" w:sz="8" w:color="0A2299"/>
            </w:tcBorders>
          </w:tcPr>
          <w:p>
            <w:pPr>
              <w:jc w:val="right"/>
              <w:ind w:right="63"/>
              <w:spacing w:after="0"/>
              <w:rPr>
                <w:sz w:val="20"/>
                <w:szCs w:val="20"/>
                <w:color w:val="auto"/>
              </w:rPr>
            </w:pPr>
            <w:r>
              <w:rPr>
                <w:rFonts w:ascii="Arial" w:cs="Arial" w:eastAsia="Arial" w:hAnsi="Arial"/>
                <w:sz w:val="12"/>
                <w:szCs w:val="12"/>
                <w:b w:val="1"/>
                <w:bCs w:val="1"/>
                <w:color w:val="auto"/>
              </w:rPr>
              <w:t>83,820</w:t>
            </w:r>
          </w:p>
        </w:tc>
        <w:tc>
          <w:tcPr>
            <w:tcW w:w="700" w:type="dxa"/>
            <w:vAlign w:val="bottom"/>
            <w:tcBorders>
              <w:bottom w:val="single" w:sz="8" w:color="0A2299"/>
            </w:tcBorders>
          </w:tcPr>
          <w:p>
            <w:pPr>
              <w:jc w:val="right"/>
              <w:ind w:right="22"/>
              <w:spacing w:after="0"/>
              <w:rPr>
                <w:sz w:val="20"/>
                <w:szCs w:val="20"/>
                <w:color w:val="auto"/>
              </w:rPr>
            </w:pPr>
            <w:r>
              <w:rPr>
                <w:rFonts w:ascii="Arial" w:cs="Arial" w:eastAsia="Arial" w:hAnsi="Arial"/>
                <w:sz w:val="12"/>
                <w:szCs w:val="12"/>
                <w:b w:val="1"/>
                <w:bCs w:val="1"/>
                <w:color w:val="auto"/>
              </w:rPr>
              <w:t>464,066</w:t>
            </w:r>
          </w:p>
        </w:tc>
        <w:tc>
          <w:tcPr>
            <w:tcW w:w="860" w:type="dxa"/>
            <w:vAlign w:val="bottom"/>
            <w:tcBorders>
              <w:bottom w:val="single" w:sz="8" w:color="0A2299"/>
            </w:tcBorders>
          </w:tcPr>
          <w:p>
            <w:pPr>
              <w:jc w:val="right"/>
              <w:ind w:right="42"/>
              <w:spacing w:after="0"/>
              <w:rPr>
                <w:sz w:val="20"/>
                <w:szCs w:val="20"/>
                <w:color w:val="auto"/>
              </w:rPr>
            </w:pPr>
            <w:r>
              <w:rPr>
                <w:rFonts w:ascii="Arial" w:cs="Arial" w:eastAsia="Arial" w:hAnsi="Arial"/>
                <w:sz w:val="12"/>
                <w:szCs w:val="12"/>
                <w:b w:val="1"/>
                <w:bCs w:val="1"/>
                <w:color w:val="auto"/>
              </w:rPr>
              <w:t>(5,835)</w:t>
            </w:r>
          </w:p>
        </w:tc>
        <w:tc>
          <w:tcPr>
            <w:tcW w:w="620" w:type="dxa"/>
            <w:vAlign w:val="bottom"/>
            <w:tcBorders>
              <w:bottom w:val="single" w:sz="8" w:color="0A2299"/>
            </w:tcBorders>
          </w:tcPr>
          <w:p>
            <w:pPr>
              <w:jc w:val="right"/>
              <w:ind w:right="2"/>
              <w:spacing w:after="0"/>
              <w:rPr>
                <w:sz w:val="20"/>
                <w:szCs w:val="20"/>
                <w:color w:val="auto"/>
              </w:rPr>
            </w:pPr>
            <w:r>
              <w:rPr>
                <w:rFonts w:ascii="Arial" w:cs="Arial" w:eastAsia="Arial" w:hAnsi="Arial"/>
                <w:sz w:val="12"/>
                <w:szCs w:val="12"/>
                <w:b w:val="1"/>
                <w:bCs w:val="1"/>
                <w:color w:val="auto"/>
              </w:rPr>
              <w:t>458,232</w:t>
            </w:r>
          </w:p>
        </w:tc>
        <w:tc>
          <w:tcPr>
            <w:tcW w:w="0" w:type="dxa"/>
            <w:vAlign w:val="bottom"/>
          </w:tcPr>
          <w:p>
            <w:pPr>
              <w:spacing w:after="0"/>
              <w:rPr>
                <w:sz w:val="1"/>
                <w:szCs w:val="1"/>
                <w:color w:val="auto"/>
              </w:rPr>
            </w:pPr>
          </w:p>
        </w:tc>
      </w:tr>
      <w:tr>
        <w:trPr>
          <w:trHeight w:val="182"/>
        </w:trPr>
        <w:tc>
          <w:tcPr>
            <w:tcW w:w="1560" w:type="dxa"/>
            <w:vAlign w:val="bottom"/>
            <w:tcBorders>
              <w:bottom w:val="single" w:sz="8" w:color="0A2299"/>
            </w:tcBorders>
          </w:tcPr>
          <w:p>
            <w:pPr>
              <w:ind w:left="20"/>
              <w:spacing w:after="0"/>
              <w:rPr>
                <w:sz w:val="20"/>
                <w:szCs w:val="20"/>
                <w:color w:val="auto"/>
              </w:rPr>
            </w:pPr>
            <w:r>
              <w:rPr>
                <w:rFonts w:ascii="Arial" w:cs="Arial" w:eastAsia="Arial" w:hAnsi="Arial"/>
                <w:sz w:val="12"/>
                <w:szCs w:val="12"/>
                <w:color w:val="auto"/>
              </w:rPr>
              <w:t>Net income/(loss)</w:t>
            </w:r>
          </w:p>
        </w:tc>
        <w:tc>
          <w:tcPr>
            <w:tcW w:w="380" w:type="dxa"/>
            <w:vAlign w:val="bottom"/>
            <w:tcBorders>
              <w:bottom w:val="single" w:sz="8" w:color="0A2299"/>
            </w:tcBorders>
          </w:tcPr>
          <w:p>
            <w:pPr>
              <w:spacing w:after="0"/>
              <w:rPr>
                <w:sz w:val="15"/>
                <w:szCs w:val="15"/>
                <w:color w:val="auto"/>
              </w:rPr>
            </w:pPr>
          </w:p>
        </w:tc>
        <w:tc>
          <w:tcPr>
            <w:tcW w:w="1060" w:type="dxa"/>
            <w:vAlign w:val="bottom"/>
            <w:tcBorders>
              <w:bottom w:val="single" w:sz="8" w:color="0A2299"/>
            </w:tcBorders>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Borders>
              <w:bottom w:val="single" w:sz="8" w:color="0A2299"/>
            </w:tcBorders>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Borders>
              <w:bottom w:val="single" w:sz="8" w:color="0A2299"/>
            </w:tcBorders>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Borders>
              <w:bottom w:val="single" w:sz="8" w:color="0A2299"/>
            </w:tcBorders>
          </w:tcPr>
          <w:p>
            <w:pPr>
              <w:jc w:val="right"/>
              <w:ind w:right="82"/>
              <w:spacing w:after="0"/>
              <w:rPr>
                <w:sz w:val="20"/>
                <w:szCs w:val="20"/>
                <w:color w:val="auto"/>
              </w:rPr>
            </w:pPr>
            <w:r>
              <w:rPr>
                <w:rFonts w:ascii="Arial" w:cs="Arial" w:eastAsia="Arial" w:hAnsi="Arial"/>
                <w:sz w:val="12"/>
                <w:szCs w:val="12"/>
                <w:color w:val="183964"/>
              </w:rPr>
              <w:t>—</w:t>
            </w:r>
          </w:p>
        </w:tc>
        <w:tc>
          <w:tcPr>
            <w:tcW w:w="560" w:type="dxa"/>
            <w:vAlign w:val="bottom"/>
            <w:tcBorders>
              <w:bottom w:val="single" w:sz="8" w:color="0A2299"/>
            </w:tcBorders>
          </w:tcPr>
          <w:p>
            <w:pPr>
              <w:jc w:val="right"/>
              <w:ind w:right="2"/>
              <w:spacing w:after="0"/>
              <w:rPr>
                <w:sz w:val="20"/>
                <w:szCs w:val="20"/>
                <w:color w:val="auto"/>
              </w:rPr>
            </w:pPr>
            <w:r>
              <w:rPr>
                <w:rFonts w:ascii="Arial" w:cs="Arial" w:eastAsia="Arial" w:hAnsi="Arial"/>
                <w:sz w:val="12"/>
                <w:szCs w:val="12"/>
                <w:color w:val="183964"/>
              </w:rPr>
              <w:t>—</w:t>
            </w:r>
          </w:p>
        </w:tc>
        <w:tc>
          <w:tcPr>
            <w:tcW w:w="840" w:type="dxa"/>
            <w:vAlign w:val="bottom"/>
            <w:tcBorders>
              <w:bottom w:val="single" w:sz="8" w:color="0A2299"/>
            </w:tcBorders>
          </w:tcPr>
          <w:p>
            <w:pPr>
              <w:jc w:val="right"/>
              <w:ind w:right="122"/>
              <w:spacing w:after="0"/>
              <w:rPr>
                <w:sz w:val="20"/>
                <w:szCs w:val="20"/>
                <w:color w:val="auto"/>
              </w:rPr>
            </w:pPr>
            <w:r>
              <w:rPr>
                <w:rFonts w:ascii="Arial" w:cs="Arial" w:eastAsia="Arial" w:hAnsi="Arial"/>
                <w:sz w:val="12"/>
                <w:szCs w:val="12"/>
                <w:color w:val="183964"/>
              </w:rPr>
              <w:t>—</w:t>
            </w:r>
          </w:p>
        </w:tc>
        <w:tc>
          <w:tcPr>
            <w:tcW w:w="780" w:type="dxa"/>
            <w:vAlign w:val="bottom"/>
            <w:tcBorders>
              <w:bottom w:val="single" w:sz="8" w:color="0A2299"/>
            </w:tcBorders>
          </w:tcPr>
          <w:p>
            <w:pPr>
              <w:jc w:val="right"/>
              <w:ind w:right="122"/>
              <w:spacing w:after="0"/>
              <w:rPr>
                <w:sz w:val="20"/>
                <w:szCs w:val="20"/>
                <w:color w:val="auto"/>
              </w:rPr>
            </w:pPr>
            <w:r>
              <w:rPr>
                <w:rFonts w:ascii="Arial" w:cs="Arial" w:eastAsia="Arial" w:hAnsi="Arial"/>
                <w:sz w:val="12"/>
                <w:szCs w:val="12"/>
                <w:color w:val="183964"/>
              </w:rPr>
              <w:t>—</w:t>
            </w:r>
          </w:p>
        </w:tc>
        <w:tc>
          <w:tcPr>
            <w:tcW w:w="660" w:type="dxa"/>
            <w:vAlign w:val="bottom"/>
            <w:tcBorders>
              <w:bottom w:val="single" w:sz="8" w:color="0A2299"/>
            </w:tcBorders>
          </w:tcPr>
          <w:p>
            <w:pPr>
              <w:jc w:val="right"/>
              <w:ind w:right="102"/>
              <w:spacing w:after="0"/>
              <w:rPr>
                <w:sz w:val="20"/>
                <w:szCs w:val="20"/>
                <w:color w:val="auto"/>
              </w:rPr>
            </w:pPr>
            <w:r>
              <w:rPr>
                <w:rFonts w:ascii="Arial" w:cs="Arial" w:eastAsia="Arial" w:hAnsi="Arial"/>
                <w:sz w:val="12"/>
                <w:szCs w:val="12"/>
                <w:color w:val="183964"/>
              </w:rPr>
              <w:t>—</w:t>
            </w:r>
          </w:p>
        </w:tc>
        <w:tc>
          <w:tcPr>
            <w:tcW w:w="860" w:type="dxa"/>
            <w:vAlign w:val="bottom"/>
            <w:tcBorders>
              <w:bottom w:val="single" w:sz="8" w:color="0A2299"/>
            </w:tcBorders>
          </w:tcPr>
          <w:p>
            <w:pPr>
              <w:jc w:val="right"/>
              <w:ind w:right="23"/>
              <w:spacing w:after="0"/>
              <w:rPr>
                <w:sz w:val="20"/>
                <w:szCs w:val="20"/>
                <w:color w:val="auto"/>
              </w:rPr>
            </w:pPr>
            <w:r>
              <w:rPr>
                <w:rFonts w:ascii="Arial" w:cs="Arial" w:eastAsia="Arial" w:hAnsi="Arial"/>
                <w:sz w:val="12"/>
                <w:szCs w:val="12"/>
                <w:color w:val="183964"/>
              </w:rPr>
              <w:t>(41,773)</w:t>
            </w:r>
          </w:p>
        </w:tc>
        <w:tc>
          <w:tcPr>
            <w:tcW w:w="700" w:type="dxa"/>
            <w:vAlign w:val="bottom"/>
            <w:tcBorders>
              <w:bottom w:val="single" w:sz="8" w:color="0A2299"/>
            </w:tcBorders>
          </w:tcPr>
          <w:p>
            <w:pPr>
              <w:jc w:val="right"/>
              <w:spacing w:after="0"/>
              <w:rPr>
                <w:sz w:val="20"/>
                <w:szCs w:val="20"/>
                <w:color w:val="auto"/>
              </w:rPr>
            </w:pPr>
            <w:r>
              <w:rPr>
                <w:rFonts w:ascii="Arial" w:cs="Arial" w:eastAsia="Arial" w:hAnsi="Arial"/>
                <w:sz w:val="12"/>
                <w:szCs w:val="12"/>
                <w:color w:val="183964"/>
              </w:rPr>
              <w:t>(41,773)</w:t>
            </w:r>
          </w:p>
        </w:tc>
        <w:tc>
          <w:tcPr>
            <w:tcW w:w="860" w:type="dxa"/>
            <w:vAlign w:val="bottom"/>
            <w:tcBorders>
              <w:bottom w:val="single" w:sz="8" w:color="0A2299"/>
            </w:tcBorders>
          </w:tcPr>
          <w:p>
            <w:pPr>
              <w:jc w:val="right"/>
              <w:ind w:right="42"/>
              <w:spacing w:after="0"/>
              <w:rPr>
                <w:sz w:val="20"/>
                <w:szCs w:val="20"/>
                <w:color w:val="auto"/>
              </w:rPr>
            </w:pPr>
            <w:r>
              <w:rPr>
                <w:rFonts w:ascii="Arial" w:cs="Arial" w:eastAsia="Arial" w:hAnsi="Arial"/>
                <w:sz w:val="12"/>
                <w:szCs w:val="12"/>
                <w:color w:val="183964"/>
              </w:rPr>
              <w:t>(7,111)</w:t>
            </w:r>
          </w:p>
        </w:tc>
        <w:tc>
          <w:tcPr>
            <w:tcW w:w="620" w:type="dxa"/>
            <w:vAlign w:val="bottom"/>
            <w:tcBorders>
              <w:bottom w:val="single" w:sz="8" w:color="0A2299"/>
            </w:tcBorders>
          </w:tcPr>
          <w:p>
            <w:pPr>
              <w:jc w:val="right"/>
              <w:spacing w:after="0"/>
              <w:rPr>
                <w:sz w:val="20"/>
                <w:szCs w:val="20"/>
                <w:color w:val="auto"/>
              </w:rPr>
            </w:pPr>
            <w:r>
              <w:rPr>
                <w:rFonts w:ascii="Arial" w:cs="Arial" w:eastAsia="Arial" w:hAnsi="Arial"/>
                <w:sz w:val="12"/>
                <w:szCs w:val="12"/>
                <w:color w:val="183964"/>
              </w:rPr>
              <w:t>(48,883)</w:t>
            </w:r>
          </w:p>
        </w:tc>
        <w:tc>
          <w:tcPr>
            <w:tcW w:w="0" w:type="dxa"/>
            <w:vAlign w:val="bottom"/>
          </w:tcPr>
          <w:p>
            <w:pPr>
              <w:spacing w:after="0"/>
              <w:rPr>
                <w:sz w:val="1"/>
                <w:szCs w:val="1"/>
                <w:color w:val="auto"/>
              </w:rPr>
            </w:pPr>
          </w:p>
        </w:tc>
      </w:tr>
      <w:tr>
        <w:trPr>
          <w:trHeight w:val="152"/>
        </w:trPr>
        <w:tc>
          <w:tcPr>
            <w:tcW w:w="1560" w:type="dxa"/>
            <w:vAlign w:val="bottom"/>
          </w:tcPr>
          <w:p>
            <w:pPr>
              <w:ind w:left="20"/>
              <w:spacing w:after="0"/>
              <w:rPr>
                <w:sz w:val="20"/>
                <w:szCs w:val="20"/>
                <w:color w:val="auto"/>
              </w:rPr>
            </w:pPr>
            <w:r>
              <w:rPr>
                <w:rFonts w:ascii="Arial" w:cs="Arial" w:eastAsia="Arial" w:hAnsi="Arial"/>
                <w:sz w:val="12"/>
                <w:szCs w:val="12"/>
                <w:b w:val="1"/>
                <w:bCs w:val="1"/>
                <w:color w:val="auto"/>
              </w:rPr>
              <w:t>Total comprehensive</w:t>
            </w: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60" w:type="dxa"/>
            <w:vAlign w:val="bottom"/>
          </w:tcPr>
          <w:p>
            <w:pPr>
              <w:ind w:left="20"/>
              <w:spacing w:after="0"/>
              <w:rPr>
                <w:sz w:val="20"/>
                <w:szCs w:val="20"/>
                <w:color w:val="auto"/>
              </w:rPr>
            </w:pPr>
            <w:r>
              <w:rPr>
                <w:rFonts w:ascii="Arial" w:cs="Arial" w:eastAsia="Arial" w:hAnsi="Arial"/>
                <w:sz w:val="12"/>
                <w:szCs w:val="12"/>
                <w:b w:val="1"/>
                <w:bCs w:val="1"/>
                <w:color w:val="auto"/>
              </w:rPr>
              <w:t>income/(loss) for the</w:t>
            </w: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ind w:left="20"/>
              <w:spacing w:after="0"/>
              <w:rPr>
                <w:sz w:val="20"/>
                <w:szCs w:val="20"/>
                <w:color w:val="auto"/>
              </w:rPr>
            </w:pPr>
            <w:r>
              <w:rPr>
                <w:rFonts w:ascii="Arial" w:cs="Arial" w:eastAsia="Arial" w:hAnsi="Arial"/>
                <w:sz w:val="12"/>
                <w:szCs w:val="12"/>
                <w:b w:val="1"/>
                <w:bCs w:val="1"/>
                <w:color w:val="auto"/>
              </w:rPr>
              <w:t>period</w:t>
            </w:r>
          </w:p>
        </w:tc>
        <w:tc>
          <w:tcPr>
            <w:tcW w:w="380" w:type="dxa"/>
            <w:vAlign w:val="bottom"/>
          </w:tcPr>
          <w:p>
            <w:pPr>
              <w:spacing w:after="0"/>
              <w:rPr>
                <w:sz w:val="13"/>
                <w:szCs w:val="13"/>
                <w:color w:val="auto"/>
              </w:rPr>
            </w:pPr>
          </w:p>
        </w:tc>
        <w:tc>
          <w:tcPr>
            <w:tcW w:w="1060" w:type="dxa"/>
            <w:vAlign w:val="bottom"/>
          </w:tcPr>
          <w:p>
            <w:pPr>
              <w:jc w:val="right"/>
              <w:ind w:right="102"/>
              <w:spacing w:after="0"/>
              <w:rPr>
                <w:sz w:val="20"/>
                <w:szCs w:val="20"/>
                <w:color w:val="auto"/>
              </w:rPr>
            </w:pPr>
            <w:r>
              <w:rPr>
                <w:rFonts w:ascii="Arial" w:cs="Arial" w:eastAsia="Arial" w:hAnsi="Arial"/>
                <w:sz w:val="12"/>
                <w:szCs w:val="12"/>
                <w:b w:val="1"/>
                <w:bCs w:val="1"/>
                <w:color w:val="auto"/>
              </w:rPr>
              <w:t>—</w:t>
            </w:r>
          </w:p>
        </w:tc>
        <w:tc>
          <w:tcPr>
            <w:tcW w:w="540" w:type="dxa"/>
            <w:vAlign w:val="bottom"/>
          </w:tcPr>
          <w:p>
            <w:pPr>
              <w:jc w:val="right"/>
              <w:ind w:right="2"/>
              <w:spacing w:after="0"/>
              <w:rPr>
                <w:sz w:val="20"/>
                <w:szCs w:val="20"/>
                <w:color w:val="auto"/>
              </w:rPr>
            </w:pPr>
            <w:r>
              <w:rPr>
                <w:rFonts w:ascii="Arial" w:cs="Arial" w:eastAsia="Arial" w:hAnsi="Arial"/>
                <w:sz w:val="12"/>
                <w:szCs w:val="12"/>
                <w:b w:val="1"/>
                <w:bCs w:val="1"/>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b w:val="1"/>
                <w:bCs w:val="1"/>
                <w:color w:val="auto"/>
              </w:rPr>
              <w:t>—</w:t>
            </w:r>
          </w:p>
        </w:tc>
        <w:tc>
          <w:tcPr>
            <w:tcW w:w="1020" w:type="dxa"/>
            <w:vAlign w:val="bottom"/>
          </w:tcPr>
          <w:p>
            <w:pPr>
              <w:jc w:val="right"/>
              <w:ind w:right="82"/>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jc w:val="right"/>
              <w:ind w:right="2"/>
              <w:spacing w:after="0"/>
              <w:rPr>
                <w:sz w:val="20"/>
                <w:szCs w:val="20"/>
                <w:color w:val="auto"/>
              </w:rPr>
            </w:pPr>
            <w:r>
              <w:rPr>
                <w:rFonts w:ascii="Arial" w:cs="Arial" w:eastAsia="Arial" w:hAnsi="Arial"/>
                <w:sz w:val="12"/>
                <w:szCs w:val="12"/>
                <w:b w:val="1"/>
                <w:bCs w:val="1"/>
                <w:color w:val="auto"/>
              </w:rPr>
              <w:t>—</w:t>
            </w:r>
          </w:p>
        </w:tc>
        <w:tc>
          <w:tcPr>
            <w:tcW w:w="840" w:type="dxa"/>
            <w:vAlign w:val="bottom"/>
          </w:tcPr>
          <w:p>
            <w:pPr>
              <w:jc w:val="right"/>
              <w:ind w:right="122"/>
              <w:spacing w:after="0"/>
              <w:rPr>
                <w:sz w:val="20"/>
                <w:szCs w:val="20"/>
                <w:color w:val="auto"/>
              </w:rPr>
            </w:pPr>
            <w:r>
              <w:rPr>
                <w:rFonts w:ascii="Arial" w:cs="Arial" w:eastAsia="Arial" w:hAnsi="Arial"/>
                <w:sz w:val="12"/>
                <w:szCs w:val="12"/>
                <w:b w:val="1"/>
                <w:bCs w:val="1"/>
                <w:color w:val="auto"/>
              </w:rPr>
              <w:t>—</w:t>
            </w:r>
          </w:p>
        </w:tc>
        <w:tc>
          <w:tcPr>
            <w:tcW w:w="780" w:type="dxa"/>
            <w:vAlign w:val="bottom"/>
          </w:tcPr>
          <w:p>
            <w:pPr>
              <w:jc w:val="right"/>
              <w:ind w:right="122"/>
              <w:spacing w:after="0"/>
              <w:rPr>
                <w:sz w:val="20"/>
                <w:szCs w:val="20"/>
                <w:color w:val="auto"/>
              </w:rPr>
            </w:pPr>
            <w:r>
              <w:rPr>
                <w:rFonts w:ascii="Arial" w:cs="Arial" w:eastAsia="Arial" w:hAnsi="Arial"/>
                <w:sz w:val="12"/>
                <w:szCs w:val="12"/>
                <w:b w:val="1"/>
                <w:bCs w:val="1"/>
                <w:color w:val="auto"/>
              </w:rPr>
              <w:t>—</w:t>
            </w:r>
          </w:p>
        </w:tc>
        <w:tc>
          <w:tcPr>
            <w:tcW w:w="660" w:type="dxa"/>
            <w:vAlign w:val="bottom"/>
          </w:tcPr>
          <w:p>
            <w:pPr>
              <w:jc w:val="right"/>
              <w:ind w:right="102"/>
              <w:spacing w:after="0"/>
              <w:rPr>
                <w:sz w:val="20"/>
                <w:szCs w:val="20"/>
                <w:color w:val="auto"/>
              </w:rPr>
            </w:pPr>
            <w:r>
              <w:rPr>
                <w:rFonts w:ascii="Arial" w:cs="Arial" w:eastAsia="Arial" w:hAnsi="Arial"/>
                <w:sz w:val="12"/>
                <w:szCs w:val="12"/>
                <w:b w:val="1"/>
                <w:bCs w:val="1"/>
                <w:color w:val="auto"/>
              </w:rPr>
              <w:t>—</w:t>
            </w:r>
          </w:p>
        </w:tc>
        <w:tc>
          <w:tcPr>
            <w:tcW w:w="860" w:type="dxa"/>
            <w:vAlign w:val="bottom"/>
          </w:tcPr>
          <w:p>
            <w:pPr>
              <w:jc w:val="right"/>
              <w:ind w:right="23"/>
              <w:spacing w:after="0"/>
              <w:rPr>
                <w:sz w:val="20"/>
                <w:szCs w:val="20"/>
                <w:color w:val="auto"/>
              </w:rPr>
            </w:pPr>
            <w:r>
              <w:rPr>
                <w:rFonts w:ascii="Arial" w:cs="Arial" w:eastAsia="Arial" w:hAnsi="Arial"/>
                <w:sz w:val="12"/>
                <w:szCs w:val="12"/>
                <w:b w:val="1"/>
                <w:bCs w:val="1"/>
                <w:color w:val="auto"/>
              </w:rPr>
              <w:t>(41,773)</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(41,773)</w:t>
            </w:r>
          </w:p>
        </w:tc>
        <w:tc>
          <w:tcPr>
            <w:tcW w:w="860" w:type="dxa"/>
            <w:vAlign w:val="bottom"/>
          </w:tcPr>
          <w:p>
            <w:pPr>
              <w:jc w:val="right"/>
              <w:ind w:right="42"/>
              <w:spacing w:after="0"/>
              <w:rPr>
                <w:sz w:val="20"/>
                <w:szCs w:val="20"/>
                <w:color w:val="auto"/>
              </w:rPr>
            </w:pPr>
            <w:r>
              <w:rPr>
                <w:rFonts w:ascii="Arial" w:cs="Arial" w:eastAsia="Arial" w:hAnsi="Arial"/>
                <w:sz w:val="12"/>
                <w:szCs w:val="12"/>
                <w:b w:val="1"/>
                <w:bCs w:val="1"/>
                <w:color w:val="auto"/>
              </w:rPr>
              <w:t>(7,111)</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(48,883)</w:t>
            </w:r>
          </w:p>
        </w:tc>
        <w:tc>
          <w:tcPr>
            <w:tcW w:w="0" w:type="dxa"/>
            <w:vAlign w:val="bottom"/>
          </w:tcPr>
          <w:p>
            <w:pPr>
              <w:spacing w:after="0"/>
              <w:rPr>
                <w:sz w:val="1"/>
                <w:szCs w:val="1"/>
                <w:color w:val="auto"/>
              </w:rPr>
            </w:pPr>
          </w:p>
        </w:tc>
      </w:tr>
      <w:tr>
        <w:trPr>
          <w:trHeight w:val="183"/>
        </w:trPr>
        <w:tc>
          <w:tcPr>
            <w:tcW w:w="1560" w:type="dxa"/>
            <w:vAlign w:val="bottom"/>
          </w:tcPr>
          <w:p>
            <w:pPr>
              <w:ind w:left="20"/>
              <w:spacing w:after="0"/>
              <w:rPr>
                <w:sz w:val="20"/>
                <w:szCs w:val="20"/>
                <w:color w:val="auto"/>
              </w:rPr>
            </w:pPr>
            <w:r>
              <w:rPr>
                <w:rFonts w:ascii="Arial" w:cs="Arial" w:eastAsia="Arial" w:hAnsi="Arial"/>
                <w:sz w:val="12"/>
                <w:szCs w:val="12"/>
                <w:color w:val="auto"/>
              </w:rPr>
              <w:t>Exercise of stock options</w:t>
            </w:r>
          </w:p>
        </w:tc>
        <w:tc>
          <w:tcPr>
            <w:tcW w:w="380" w:type="dxa"/>
            <w:vAlign w:val="bottom"/>
          </w:tcPr>
          <w:p>
            <w:pPr>
              <w:spacing w:after="0"/>
              <w:rPr>
                <w:sz w:val="15"/>
                <w:szCs w:val="15"/>
                <w:color w:val="auto"/>
              </w:rPr>
            </w:pPr>
          </w:p>
        </w:tc>
        <w:tc>
          <w:tcPr>
            <w:tcW w:w="10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183964"/>
              </w:rPr>
              <w:t>412,729</w:t>
            </w:r>
          </w:p>
        </w:tc>
        <w:tc>
          <w:tcPr>
            <w:tcW w:w="560" w:type="dxa"/>
            <w:vAlign w:val="bottom"/>
          </w:tcPr>
          <w:p>
            <w:pPr>
              <w:jc w:val="right"/>
              <w:ind w:right="2"/>
              <w:spacing w:after="0"/>
              <w:rPr>
                <w:sz w:val="20"/>
                <w:szCs w:val="20"/>
                <w:color w:val="auto"/>
              </w:rPr>
            </w:pPr>
            <w:r>
              <w:rPr>
                <w:rFonts w:ascii="Arial" w:cs="Arial" w:eastAsia="Arial" w:hAnsi="Arial"/>
                <w:sz w:val="12"/>
                <w:szCs w:val="12"/>
                <w:color w:val="183964"/>
              </w:rPr>
              <w:t>1,041</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8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660" w:type="dxa"/>
            <w:vAlign w:val="bottom"/>
          </w:tcPr>
          <w:p>
            <w:pPr>
              <w:jc w:val="right"/>
              <w:ind w:right="82"/>
              <w:spacing w:after="0"/>
              <w:rPr>
                <w:sz w:val="20"/>
                <w:szCs w:val="20"/>
                <w:color w:val="auto"/>
              </w:rPr>
            </w:pPr>
            <w:r>
              <w:rPr>
                <w:rFonts w:ascii="Arial" w:cs="Arial" w:eastAsia="Arial" w:hAnsi="Arial"/>
                <w:sz w:val="12"/>
                <w:szCs w:val="12"/>
                <w:color w:val="183964"/>
              </w:rPr>
              <w:t>(146)</w:t>
            </w:r>
          </w:p>
        </w:tc>
        <w:tc>
          <w:tcPr>
            <w:tcW w:w="860" w:type="dxa"/>
            <w:vAlign w:val="bottom"/>
          </w:tcPr>
          <w:p>
            <w:pPr>
              <w:jc w:val="right"/>
              <w:ind w:right="63"/>
              <w:spacing w:after="0"/>
              <w:rPr>
                <w:sz w:val="20"/>
                <w:szCs w:val="20"/>
                <w:color w:val="auto"/>
              </w:rPr>
            </w:pPr>
            <w:r>
              <w:rPr>
                <w:rFonts w:ascii="Arial" w:cs="Arial" w:eastAsia="Arial" w:hAnsi="Arial"/>
                <w:sz w:val="12"/>
                <w:szCs w:val="12"/>
                <w:color w:val="183964"/>
              </w:rPr>
              <w:t>—</w:t>
            </w:r>
          </w:p>
        </w:tc>
        <w:tc>
          <w:tcPr>
            <w:tcW w:w="700" w:type="dxa"/>
            <w:vAlign w:val="bottom"/>
          </w:tcPr>
          <w:p>
            <w:pPr>
              <w:jc w:val="right"/>
              <w:ind w:right="22"/>
              <w:spacing w:after="0"/>
              <w:rPr>
                <w:sz w:val="20"/>
                <w:szCs w:val="20"/>
                <w:color w:val="auto"/>
              </w:rPr>
            </w:pPr>
            <w:r>
              <w:rPr>
                <w:rFonts w:ascii="Arial" w:cs="Arial" w:eastAsia="Arial" w:hAnsi="Arial"/>
                <w:sz w:val="12"/>
                <w:szCs w:val="12"/>
                <w:color w:val="183964"/>
              </w:rPr>
              <w:t>895</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620" w:type="dxa"/>
            <w:vAlign w:val="bottom"/>
          </w:tcPr>
          <w:p>
            <w:pPr>
              <w:jc w:val="right"/>
              <w:ind w:right="2"/>
              <w:spacing w:after="0"/>
              <w:rPr>
                <w:sz w:val="20"/>
                <w:szCs w:val="20"/>
                <w:color w:val="auto"/>
              </w:rPr>
            </w:pPr>
            <w:r>
              <w:rPr>
                <w:rFonts w:ascii="Arial" w:cs="Arial" w:eastAsia="Arial" w:hAnsi="Arial"/>
                <w:sz w:val="12"/>
                <w:szCs w:val="12"/>
                <w:color w:val="183964"/>
              </w:rPr>
              <w:t>895</w:t>
            </w:r>
          </w:p>
        </w:tc>
        <w:tc>
          <w:tcPr>
            <w:tcW w:w="0" w:type="dxa"/>
            <w:vAlign w:val="bottom"/>
          </w:tcPr>
          <w:p>
            <w:pPr>
              <w:spacing w:after="0"/>
              <w:rPr>
                <w:sz w:val="1"/>
                <w:szCs w:val="1"/>
                <w:color w:val="auto"/>
              </w:rPr>
            </w:pPr>
          </w:p>
        </w:tc>
      </w:tr>
      <w:tr>
        <w:trPr>
          <w:trHeight w:val="172"/>
        </w:trPr>
        <w:tc>
          <w:tcPr>
            <w:tcW w:w="1560" w:type="dxa"/>
            <w:vAlign w:val="bottom"/>
          </w:tcPr>
          <w:p>
            <w:pPr>
              <w:ind w:left="20"/>
              <w:spacing w:after="0"/>
              <w:rPr>
                <w:sz w:val="20"/>
                <w:szCs w:val="20"/>
                <w:color w:val="auto"/>
              </w:rPr>
            </w:pPr>
            <w:r>
              <w:rPr>
                <w:rFonts w:ascii="Arial" w:cs="Arial" w:eastAsia="Arial" w:hAnsi="Arial"/>
                <w:sz w:val="12"/>
                <w:szCs w:val="12"/>
                <w:color w:val="auto"/>
              </w:rPr>
              <w:t>Repurchase and</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60" w:type="dxa"/>
            <w:vAlign w:val="bottom"/>
          </w:tcPr>
          <w:p>
            <w:pPr>
              <w:ind w:left="20"/>
              <w:spacing w:after="0"/>
              <w:rPr>
                <w:sz w:val="20"/>
                <w:szCs w:val="20"/>
                <w:color w:val="auto"/>
              </w:rPr>
            </w:pPr>
            <w:r>
              <w:rPr>
                <w:rFonts w:ascii="Arial" w:cs="Arial" w:eastAsia="Arial" w:hAnsi="Arial"/>
                <w:sz w:val="12"/>
                <w:szCs w:val="12"/>
                <w:color w:val="auto"/>
              </w:rPr>
              <w:t>cancellation of ordinary</w:t>
            </w: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560" w:type="dxa"/>
            <w:vAlign w:val="bottom"/>
          </w:tcPr>
          <w:p>
            <w:pPr>
              <w:ind w:left="20"/>
              <w:spacing w:after="0"/>
              <w:rPr>
                <w:sz w:val="20"/>
                <w:szCs w:val="20"/>
                <w:color w:val="auto"/>
              </w:rPr>
            </w:pPr>
            <w:r>
              <w:rPr>
                <w:rFonts w:ascii="Arial" w:cs="Arial" w:eastAsia="Arial" w:hAnsi="Arial"/>
                <w:sz w:val="12"/>
                <w:szCs w:val="12"/>
                <w:color w:val="auto"/>
              </w:rPr>
              <w:t>shares from Tender Offer</w:t>
            </w:r>
          </w:p>
        </w:tc>
        <w:tc>
          <w:tcPr>
            <w:tcW w:w="380" w:type="dxa"/>
            <w:vAlign w:val="bottom"/>
          </w:tcPr>
          <w:p>
            <w:pPr>
              <w:jc w:val="right"/>
              <w:spacing w:after="0"/>
              <w:rPr>
                <w:sz w:val="20"/>
                <w:szCs w:val="20"/>
                <w:color w:val="auto"/>
              </w:rPr>
            </w:pPr>
            <w:r>
              <w:rPr>
                <w:rFonts w:ascii="Arial" w:cs="Arial" w:eastAsia="Arial" w:hAnsi="Arial"/>
                <w:sz w:val="12"/>
                <w:szCs w:val="12"/>
                <w:color w:val="183964"/>
              </w:rPr>
              <w:t>10</w:t>
            </w:r>
          </w:p>
        </w:tc>
        <w:tc>
          <w:tcPr>
            <w:tcW w:w="1060" w:type="dxa"/>
            <w:vAlign w:val="bottom"/>
          </w:tcPr>
          <w:p>
            <w:pPr>
              <w:jc w:val="right"/>
              <w:ind w:right="62"/>
              <w:spacing w:after="0"/>
              <w:rPr>
                <w:sz w:val="20"/>
                <w:szCs w:val="20"/>
                <w:color w:val="auto"/>
              </w:rPr>
            </w:pPr>
            <w:r>
              <w:rPr>
                <w:rFonts w:ascii="Arial" w:cs="Arial" w:eastAsia="Arial" w:hAnsi="Arial"/>
                <w:sz w:val="12"/>
                <w:szCs w:val="12"/>
                <w:color w:val="183964"/>
              </w:rPr>
              <w:t>(31,540,670)</w:t>
            </w:r>
          </w:p>
        </w:tc>
        <w:tc>
          <w:tcPr>
            <w:tcW w:w="540" w:type="dxa"/>
            <w:vAlign w:val="bottom"/>
          </w:tcPr>
          <w:p>
            <w:pPr>
              <w:jc w:val="right"/>
              <w:spacing w:after="0"/>
              <w:rPr>
                <w:sz w:val="20"/>
                <w:szCs w:val="20"/>
                <w:color w:val="auto"/>
              </w:rPr>
            </w:pPr>
            <w:r>
              <w:rPr>
                <w:rFonts w:ascii="Arial" w:cs="Arial" w:eastAsia="Arial" w:hAnsi="Arial"/>
                <w:sz w:val="12"/>
                <w:szCs w:val="12"/>
                <w:color w:val="183964"/>
              </w:rPr>
              <w:t>(600)</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183964"/>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8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660" w:type="dxa"/>
            <w:vAlign w:val="bottom"/>
          </w:tcPr>
          <w:p>
            <w:pPr>
              <w:jc w:val="right"/>
              <w:ind w:right="102"/>
              <w:spacing w:after="0"/>
              <w:rPr>
                <w:sz w:val="20"/>
                <w:szCs w:val="20"/>
                <w:color w:val="auto"/>
              </w:rPr>
            </w:pPr>
            <w:r>
              <w:rPr>
                <w:rFonts w:ascii="Arial" w:cs="Arial" w:eastAsia="Arial" w:hAnsi="Arial"/>
                <w:sz w:val="12"/>
                <w:szCs w:val="12"/>
                <w:color w:val="183964"/>
              </w:rPr>
              <w:t>600</w:t>
            </w:r>
          </w:p>
        </w:tc>
        <w:tc>
          <w:tcPr>
            <w:tcW w:w="860" w:type="dxa"/>
            <w:vAlign w:val="bottom"/>
          </w:tcPr>
          <w:p>
            <w:pPr>
              <w:jc w:val="right"/>
              <w:ind w:right="23"/>
              <w:spacing w:after="0"/>
              <w:rPr>
                <w:sz w:val="20"/>
                <w:szCs w:val="20"/>
                <w:color w:val="auto"/>
              </w:rPr>
            </w:pPr>
            <w:r>
              <w:rPr>
                <w:rFonts w:ascii="Arial" w:cs="Arial" w:eastAsia="Arial" w:hAnsi="Arial"/>
                <w:sz w:val="12"/>
                <w:szCs w:val="12"/>
                <w:color w:val="183964"/>
              </w:rPr>
              <w:t>(104,558)</w:t>
            </w:r>
          </w:p>
        </w:tc>
        <w:tc>
          <w:tcPr>
            <w:tcW w:w="700" w:type="dxa"/>
            <w:vAlign w:val="bottom"/>
          </w:tcPr>
          <w:p>
            <w:pPr>
              <w:jc w:val="right"/>
              <w:spacing w:after="0"/>
              <w:rPr>
                <w:sz w:val="20"/>
                <w:szCs w:val="20"/>
                <w:color w:val="auto"/>
              </w:rPr>
            </w:pPr>
            <w:r>
              <w:rPr>
                <w:rFonts w:ascii="Arial" w:cs="Arial" w:eastAsia="Arial" w:hAnsi="Arial"/>
                <w:sz w:val="12"/>
                <w:szCs w:val="12"/>
                <w:color w:val="183964"/>
              </w:rPr>
              <w:t>(104,558)</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620" w:type="dxa"/>
            <w:vAlign w:val="bottom"/>
          </w:tcPr>
          <w:p>
            <w:pPr>
              <w:jc w:val="right"/>
              <w:spacing w:after="0"/>
              <w:rPr>
                <w:sz w:val="20"/>
                <w:szCs w:val="20"/>
                <w:color w:val="auto"/>
              </w:rPr>
            </w:pPr>
            <w:r>
              <w:rPr>
                <w:rFonts w:ascii="Arial" w:cs="Arial" w:eastAsia="Arial" w:hAnsi="Arial"/>
                <w:sz w:val="12"/>
                <w:szCs w:val="12"/>
                <w:color w:val="183964"/>
              </w:rPr>
              <w:t>(104,558)</w:t>
            </w:r>
          </w:p>
        </w:tc>
        <w:tc>
          <w:tcPr>
            <w:tcW w:w="0" w:type="dxa"/>
            <w:vAlign w:val="bottom"/>
          </w:tcPr>
          <w:p>
            <w:pPr>
              <w:spacing w:after="0"/>
              <w:rPr>
                <w:sz w:val="1"/>
                <w:szCs w:val="1"/>
                <w:color w:val="auto"/>
              </w:rPr>
            </w:pPr>
          </w:p>
        </w:tc>
      </w:tr>
      <w:tr>
        <w:trPr>
          <w:trHeight w:val="189"/>
        </w:trPr>
        <w:tc>
          <w:tcPr>
            <w:tcW w:w="1560" w:type="dxa"/>
            <w:vAlign w:val="bottom"/>
          </w:tcPr>
          <w:p>
            <w:pPr>
              <w:ind w:left="20"/>
              <w:spacing w:after="0"/>
              <w:rPr>
                <w:sz w:val="20"/>
                <w:szCs w:val="20"/>
                <w:color w:val="auto"/>
              </w:rPr>
            </w:pPr>
            <w:r>
              <w:rPr>
                <w:rFonts w:ascii="Arial" w:cs="Arial" w:eastAsia="Arial" w:hAnsi="Arial"/>
                <w:sz w:val="12"/>
                <w:szCs w:val="12"/>
                <w:color w:val="auto"/>
              </w:rPr>
              <w:t>Purchase of Treasury stock</w:t>
            </w:r>
          </w:p>
        </w:tc>
        <w:tc>
          <w:tcPr>
            <w:tcW w:w="380" w:type="dxa"/>
            <w:vAlign w:val="bottom"/>
          </w:tcPr>
          <w:p>
            <w:pPr>
              <w:jc w:val="right"/>
              <w:spacing w:after="0"/>
              <w:rPr>
                <w:sz w:val="20"/>
                <w:szCs w:val="20"/>
                <w:color w:val="auto"/>
              </w:rPr>
            </w:pPr>
            <w:r>
              <w:rPr>
                <w:rFonts w:ascii="Arial" w:cs="Arial" w:eastAsia="Arial" w:hAnsi="Arial"/>
                <w:sz w:val="12"/>
                <w:szCs w:val="12"/>
                <w:color w:val="183964"/>
              </w:rPr>
              <w:t>10</w:t>
            </w:r>
          </w:p>
        </w:tc>
        <w:tc>
          <w:tcPr>
            <w:tcW w:w="10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183964"/>
              </w:rPr>
              <w:t>(1,903,990)</w:t>
            </w:r>
          </w:p>
        </w:tc>
        <w:tc>
          <w:tcPr>
            <w:tcW w:w="560" w:type="dxa"/>
            <w:vAlign w:val="bottom"/>
          </w:tcPr>
          <w:p>
            <w:pPr>
              <w:jc w:val="right"/>
              <w:spacing w:after="0"/>
              <w:rPr>
                <w:sz w:val="20"/>
                <w:szCs w:val="20"/>
                <w:color w:val="auto"/>
              </w:rPr>
            </w:pPr>
            <w:r>
              <w:rPr>
                <w:rFonts w:ascii="Arial" w:cs="Arial" w:eastAsia="Arial" w:hAnsi="Arial"/>
                <w:sz w:val="12"/>
                <w:szCs w:val="12"/>
                <w:color w:val="183964"/>
              </w:rPr>
              <w:t>(4,819)</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8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6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860" w:type="dxa"/>
            <w:vAlign w:val="bottom"/>
          </w:tcPr>
          <w:p>
            <w:pPr>
              <w:jc w:val="right"/>
              <w:ind w:right="63"/>
              <w:spacing w:after="0"/>
              <w:rPr>
                <w:sz w:val="20"/>
                <w:szCs w:val="20"/>
                <w:color w:val="auto"/>
              </w:rPr>
            </w:pPr>
            <w:r>
              <w:rPr>
                <w:rFonts w:ascii="Arial" w:cs="Arial" w:eastAsia="Arial" w:hAnsi="Arial"/>
                <w:sz w:val="12"/>
                <w:szCs w:val="12"/>
                <w:color w:val="183964"/>
              </w:rPr>
              <w:t>—</w:t>
            </w:r>
          </w:p>
        </w:tc>
        <w:tc>
          <w:tcPr>
            <w:tcW w:w="700" w:type="dxa"/>
            <w:vAlign w:val="bottom"/>
          </w:tcPr>
          <w:p>
            <w:pPr>
              <w:jc w:val="right"/>
              <w:spacing w:after="0"/>
              <w:rPr>
                <w:sz w:val="20"/>
                <w:szCs w:val="20"/>
                <w:color w:val="auto"/>
              </w:rPr>
            </w:pPr>
            <w:r>
              <w:rPr>
                <w:rFonts w:ascii="Arial" w:cs="Arial" w:eastAsia="Arial" w:hAnsi="Arial"/>
                <w:sz w:val="12"/>
                <w:szCs w:val="12"/>
                <w:color w:val="183964"/>
              </w:rPr>
              <w:t>(4,819)</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620" w:type="dxa"/>
            <w:vAlign w:val="bottom"/>
          </w:tcPr>
          <w:p>
            <w:pPr>
              <w:jc w:val="right"/>
              <w:spacing w:after="0"/>
              <w:rPr>
                <w:sz w:val="20"/>
                <w:szCs w:val="20"/>
                <w:color w:val="auto"/>
              </w:rPr>
            </w:pPr>
            <w:r>
              <w:rPr>
                <w:rFonts w:ascii="Arial" w:cs="Arial" w:eastAsia="Arial" w:hAnsi="Arial"/>
                <w:sz w:val="12"/>
                <w:szCs w:val="12"/>
                <w:color w:val="183964"/>
              </w:rPr>
              <w:t>(4,819)</w:t>
            </w:r>
          </w:p>
        </w:tc>
        <w:tc>
          <w:tcPr>
            <w:tcW w:w="0" w:type="dxa"/>
            <w:vAlign w:val="bottom"/>
          </w:tcPr>
          <w:p>
            <w:pPr>
              <w:spacing w:after="0"/>
              <w:rPr>
                <w:sz w:val="1"/>
                <w:szCs w:val="1"/>
                <w:color w:val="auto"/>
              </w:rPr>
            </w:pPr>
          </w:p>
        </w:tc>
      </w:tr>
      <w:tr>
        <w:trPr>
          <w:trHeight w:val="172"/>
        </w:trPr>
        <w:tc>
          <w:tcPr>
            <w:tcW w:w="1560" w:type="dxa"/>
            <w:vAlign w:val="bottom"/>
          </w:tcPr>
          <w:p>
            <w:pPr>
              <w:ind w:left="20"/>
              <w:spacing w:after="0"/>
              <w:rPr>
                <w:sz w:val="20"/>
                <w:szCs w:val="20"/>
                <w:color w:val="auto"/>
              </w:rPr>
            </w:pPr>
            <w:r>
              <w:rPr>
                <w:rFonts w:ascii="Arial" w:cs="Arial" w:eastAsia="Arial" w:hAnsi="Arial"/>
                <w:sz w:val="12"/>
                <w:szCs w:val="12"/>
                <w:color w:val="auto"/>
              </w:rPr>
              <w:t>Equity-settled share-based</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560" w:type="dxa"/>
            <w:vAlign w:val="bottom"/>
          </w:tcPr>
          <w:p>
            <w:pPr>
              <w:ind w:left="20"/>
              <w:spacing w:after="0"/>
              <w:rPr>
                <w:sz w:val="20"/>
                <w:szCs w:val="20"/>
                <w:color w:val="auto"/>
              </w:rPr>
            </w:pPr>
            <w:r>
              <w:rPr>
                <w:rFonts w:ascii="Arial" w:cs="Arial" w:eastAsia="Arial" w:hAnsi="Arial"/>
                <w:sz w:val="12"/>
                <w:szCs w:val="12"/>
                <w:color w:val="auto"/>
              </w:rPr>
              <w:t>awards expense</w:t>
            </w:r>
          </w:p>
        </w:tc>
        <w:tc>
          <w:tcPr>
            <w:tcW w:w="380" w:type="dxa"/>
            <w:vAlign w:val="bottom"/>
          </w:tcPr>
          <w:p>
            <w:pPr>
              <w:jc w:val="right"/>
              <w:spacing w:after="0"/>
              <w:rPr>
                <w:sz w:val="20"/>
                <w:szCs w:val="20"/>
                <w:color w:val="auto"/>
              </w:rPr>
            </w:pPr>
            <w:r>
              <w:rPr>
                <w:rFonts w:ascii="Arial" w:cs="Arial" w:eastAsia="Arial" w:hAnsi="Arial"/>
                <w:sz w:val="12"/>
                <w:szCs w:val="12"/>
                <w:color w:val="183964"/>
              </w:rPr>
              <w:t>7</w:t>
            </w:r>
          </w:p>
        </w:tc>
        <w:tc>
          <w:tcPr>
            <w:tcW w:w="10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183964"/>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8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660" w:type="dxa"/>
            <w:vAlign w:val="bottom"/>
          </w:tcPr>
          <w:p>
            <w:pPr>
              <w:jc w:val="right"/>
              <w:ind w:right="102"/>
              <w:spacing w:after="0"/>
              <w:rPr>
                <w:sz w:val="20"/>
                <w:szCs w:val="20"/>
                <w:color w:val="auto"/>
              </w:rPr>
            </w:pPr>
            <w:r>
              <w:rPr>
                <w:rFonts w:ascii="Arial" w:cs="Arial" w:eastAsia="Arial" w:hAnsi="Arial"/>
                <w:sz w:val="12"/>
                <w:szCs w:val="12"/>
                <w:color w:val="183964"/>
              </w:rPr>
              <w:t>754</w:t>
            </w:r>
          </w:p>
        </w:tc>
        <w:tc>
          <w:tcPr>
            <w:tcW w:w="860" w:type="dxa"/>
            <w:vAlign w:val="bottom"/>
          </w:tcPr>
          <w:p>
            <w:pPr>
              <w:jc w:val="right"/>
              <w:ind w:right="63"/>
              <w:spacing w:after="0"/>
              <w:rPr>
                <w:sz w:val="20"/>
                <w:szCs w:val="20"/>
                <w:color w:val="auto"/>
              </w:rPr>
            </w:pPr>
            <w:r>
              <w:rPr>
                <w:rFonts w:ascii="Arial" w:cs="Arial" w:eastAsia="Arial" w:hAnsi="Arial"/>
                <w:sz w:val="12"/>
                <w:szCs w:val="12"/>
                <w:color w:val="183964"/>
              </w:rPr>
              <w:t>—</w:t>
            </w:r>
          </w:p>
        </w:tc>
        <w:tc>
          <w:tcPr>
            <w:tcW w:w="700" w:type="dxa"/>
            <w:vAlign w:val="bottom"/>
          </w:tcPr>
          <w:p>
            <w:pPr>
              <w:jc w:val="right"/>
              <w:ind w:right="22"/>
              <w:spacing w:after="0"/>
              <w:rPr>
                <w:sz w:val="20"/>
                <w:szCs w:val="20"/>
                <w:color w:val="auto"/>
              </w:rPr>
            </w:pPr>
            <w:r>
              <w:rPr>
                <w:rFonts w:ascii="Arial" w:cs="Arial" w:eastAsia="Arial" w:hAnsi="Arial"/>
                <w:sz w:val="12"/>
                <w:szCs w:val="12"/>
                <w:color w:val="183964"/>
              </w:rPr>
              <w:t>754</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3,285</w:t>
            </w:r>
          </w:p>
        </w:tc>
        <w:tc>
          <w:tcPr>
            <w:tcW w:w="620" w:type="dxa"/>
            <w:vAlign w:val="bottom"/>
          </w:tcPr>
          <w:p>
            <w:pPr>
              <w:jc w:val="right"/>
              <w:ind w:right="2"/>
              <w:spacing w:after="0"/>
              <w:rPr>
                <w:sz w:val="20"/>
                <w:szCs w:val="20"/>
                <w:color w:val="auto"/>
              </w:rPr>
            </w:pPr>
            <w:r>
              <w:rPr>
                <w:rFonts w:ascii="Arial" w:cs="Arial" w:eastAsia="Arial" w:hAnsi="Arial"/>
                <w:sz w:val="12"/>
                <w:szCs w:val="12"/>
                <w:color w:val="183964"/>
              </w:rPr>
              <w:t>4,039</w:t>
            </w:r>
          </w:p>
        </w:tc>
        <w:tc>
          <w:tcPr>
            <w:tcW w:w="0" w:type="dxa"/>
            <w:vAlign w:val="bottom"/>
          </w:tcPr>
          <w:p>
            <w:pPr>
              <w:spacing w:after="0"/>
              <w:rPr>
                <w:sz w:val="1"/>
                <w:szCs w:val="1"/>
                <w:color w:val="auto"/>
              </w:rPr>
            </w:pPr>
          </w:p>
        </w:tc>
      </w:tr>
      <w:tr>
        <w:trPr>
          <w:trHeight w:val="172"/>
        </w:trPr>
        <w:tc>
          <w:tcPr>
            <w:tcW w:w="1560" w:type="dxa"/>
            <w:vAlign w:val="bottom"/>
          </w:tcPr>
          <w:p>
            <w:pPr>
              <w:ind w:left="20"/>
              <w:spacing w:after="0"/>
              <w:rPr>
                <w:sz w:val="20"/>
                <w:szCs w:val="20"/>
                <w:color w:val="auto"/>
              </w:rPr>
            </w:pPr>
            <w:r>
              <w:rPr>
                <w:rFonts w:ascii="Arial" w:cs="Arial" w:eastAsia="Arial" w:hAnsi="Arial"/>
                <w:sz w:val="12"/>
                <w:szCs w:val="12"/>
                <w:color w:val="auto"/>
              </w:rPr>
              <w:t>Settlement of restricted</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560" w:type="dxa"/>
            <w:vAlign w:val="bottom"/>
          </w:tcPr>
          <w:p>
            <w:pPr>
              <w:ind w:left="20"/>
              <w:spacing w:after="0"/>
              <w:rPr>
                <w:sz w:val="20"/>
                <w:szCs w:val="20"/>
                <w:color w:val="auto"/>
              </w:rPr>
            </w:pPr>
            <w:r>
              <w:rPr>
                <w:rFonts w:ascii="Arial" w:cs="Arial" w:eastAsia="Arial" w:hAnsi="Arial"/>
                <w:sz w:val="12"/>
                <w:szCs w:val="12"/>
                <w:color w:val="auto"/>
              </w:rPr>
              <w:t>stock units</w:t>
            </w:r>
          </w:p>
        </w:tc>
        <w:tc>
          <w:tcPr>
            <w:tcW w:w="380" w:type="dxa"/>
            <w:vAlign w:val="bottom"/>
          </w:tcPr>
          <w:p>
            <w:pPr>
              <w:jc w:val="right"/>
              <w:spacing w:after="0"/>
              <w:rPr>
                <w:sz w:val="20"/>
                <w:szCs w:val="20"/>
                <w:color w:val="auto"/>
              </w:rPr>
            </w:pPr>
            <w:r>
              <w:rPr>
                <w:rFonts w:ascii="Arial" w:cs="Arial" w:eastAsia="Arial" w:hAnsi="Arial"/>
                <w:sz w:val="12"/>
                <w:szCs w:val="12"/>
                <w:color w:val="183964"/>
              </w:rPr>
              <w:t>7</w:t>
            </w:r>
          </w:p>
        </w:tc>
        <w:tc>
          <w:tcPr>
            <w:tcW w:w="10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183964"/>
              </w:rPr>
              <w:t>599,512</w:t>
            </w:r>
          </w:p>
        </w:tc>
        <w:tc>
          <w:tcPr>
            <w:tcW w:w="560" w:type="dxa"/>
            <w:vAlign w:val="bottom"/>
          </w:tcPr>
          <w:p>
            <w:pPr>
              <w:jc w:val="right"/>
              <w:ind w:right="2"/>
              <w:spacing w:after="0"/>
              <w:rPr>
                <w:sz w:val="20"/>
                <w:szCs w:val="20"/>
                <w:color w:val="auto"/>
              </w:rPr>
            </w:pPr>
            <w:r>
              <w:rPr>
                <w:rFonts w:ascii="Arial" w:cs="Arial" w:eastAsia="Arial" w:hAnsi="Arial"/>
                <w:sz w:val="12"/>
                <w:szCs w:val="12"/>
                <w:color w:val="183964"/>
              </w:rPr>
              <w:t>1,512</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8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660" w:type="dxa"/>
            <w:vAlign w:val="bottom"/>
          </w:tcPr>
          <w:p>
            <w:pPr>
              <w:jc w:val="right"/>
              <w:ind w:right="82"/>
              <w:spacing w:after="0"/>
              <w:rPr>
                <w:sz w:val="20"/>
                <w:szCs w:val="20"/>
                <w:color w:val="auto"/>
              </w:rPr>
            </w:pPr>
            <w:r>
              <w:rPr>
                <w:rFonts w:ascii="Arial" w:cs="Arial" w:eastAsia="Arial" w:hAnsi="Arial"/>
                <w:sz w:val="12"/>
                <w:szCs w:val="12"/>
                <w:color w:val="183964"/>
              </w:rPr>
              <w:t>(211)</w:t>
            </w:r>
          </w:p>
        </w:tc>
        <w:tc>
          <w:tcPr>
            <w:tcW w:w="860" w:type="dxa"/>
            <w:vAlign w:val="bottom"/>
          </w:tcPr>
          <w:p>
            <w:pPr>
              <w:jc w:val="right"/>
              <w:ind w:right="63"/>
              <w:spacing w:after="0"/>
              <w:rPr>
                <w:sz w:val="20"/>
                <w:szCs w:val="20"/>
                <w:color w:val="auto"/>
              </w:rPr>
            </w:pPr>
            <w:r>
              <w:rPr>
                <w:rFonts w:ascii="Arial" w:cs="Arial" w:eastAsia="Arial" w:hAnsi="Arial"/>
                <w:sz w:val="12"/>
                <w:szCs w:val="12"/>
                <w:color w:val="183964"/>
              </w:rPr>
              <w:t>—</w:t>
            </w:r>
          </w:p>
        </w:tc>
        <w:tc>
          <w:tcPr>
            <w:tcW w:w="700" w:type="dxa"/>
            <w:vAlign w:val="bottom"/>
          </w:tcPr>
          <w:p>
            <w:pPr>
              <w:jc w:val="right"/>
              <w:ind w:right="22"/>
              <w:spacing w:after="0"/>
              <w:rPr>
                <w:sz w:val="20"/>
                <w:szCs w:val="20"/>
                <w:color w:val="auto"/>
              </w:rPr>
            </w:pPr>
            <w:r>
              <w:rPr>
                <w:rFonts w:ascii="Arial" w:cs="Arial" w:eastAsia="Arial" w:hAnsi="Arial"/>
                <w:sz w:val="12"/>
                <w:szCs w:val="12"/>
                <w:color w:val="183964"/>
              </w:rPr>
              <w:t>1,301</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620" w:type="dxa"/>
            <w:vAlign w:val="bottom"/>
          </w:tcPr>
          <w:p>
            <w:pPr>
              <w:jc w:val="right"/>
              <w:ind w:right="2"/>
              <w:spacing w:after="0"/>
              <w:rPr>
                <w:sz w:val="20"/>
                <w:szCs w:val="20"/>
                <w:color w:val="auto"/>
              </w:rPr>
            </w:pPr>
            <w:r>
              <w:rPr>
                <w:rFonts w:ascii="Arial" w:cs="Arial" w:eastAsia="Arial" w:hAnsi="Arial"/>
                <w:sz w:val="12"/>
                <w:szCs w:val="12"/>
                <w:color w:val="183964"/>
              </w:rPr>
              <w:t>1,301</w:t>
            </w:r>
          </w:p>
        </w:tc>
        <w:tc>
          <w:tcPr>
            <w:tcW w:w="0" w:type="dxa"/>
            <w:vAlign w:val="bottom"/>
          </w:tcPr>
          <w:p>
            <w:pPr>
              <w:spacing w:after="0"/>
              <w:rPr>
                <w:sz w:val="1"/>
                <w:szCs w:val="1"/>
                <w:color w:val="auto"/>
              </w:rPr>
            </w:pPr>
          </w:p>
        </w:tc>
      </w:tr>
      <w:tr>
        <w:trPr>
          <w:trHeight w:val="172"/>
        </w:trPr>
        <w:tc>
          <w:tcPr>
            <w:tcW w:w="1560" w:type="dxa"/>
            <w:vAlign w:val="bottom"/>
          </w:tcPr>
          <w:p>
            <w:pPr>
              <w:ind w:left="20"/>
              <w:spacing w:after="0"/>
              <w:rPr>
                <w:sz w:val="20"/>
                <w:szCs w:val="20"/>
                <w:color w:val="auto"/>
              </w:rPr>
            </w:pPr>
            <w:r>
              <w:rPr>
                <w:rFonts w:ascii="Arial" w:cs="Arial" w:eastAsia="Arial" w:hAnsi="Arial"/>
                <w:sz w:val="12"/>
                <w:szCs w:val="12"/>
                <w:color w:val="auto"/>
              </w:rPr>
              <w:t>Expiration of share options</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560" w:type="dxa"/>
            <w:vAlign w:val="bottom"/>
            <w:tcBorders>
              <w:bottom w:val="single" w:sz="8" w:color="0A2299"/>
            </w:tcBorders>
          </w:tcPr>
          <w:p>
            <w:pPr>
              <w:ind w:left="20"/>
              <w:spacing w:after="0"/>
              <w:rPr>
                <w:sz w:val="20"/>
                <w:szCs w:val="20"/>
                <w:color w:val="auto"/>
              </w:rPr>
            </w:pPr>
            <w:r>
              <w:rPr>
                <w:rFonts w:ascii="Arial" w:cs="Arial" w:eastAsia="Arial" w:hAnsi="Arial"/>
                <w:sz w:val="12"/>
                <w:szCs w:val="12"/>
                <w:color w:val="auto"/>
              </w:rPr>
              <w:t>in subsidiary</w:t>
            </w:r>
          </w:p>
        </w:tc>
        <w:tc>
          <w:tcPr>
            <w:tcW w:w="380" w:type="dxa"/>
            <w:vAlign w:val="bottom"/>
            <w:tcBorders>
              <w:bottom w:val="single" w:sz="8" w:color="0A2299"/>
            </w:tcBorders>
          </w:tcPr>
          <w:p>
            <w:pPr>
              <w:spacing w:after="0"/>
              <w:rPr>
                <w:sz w:val="15"/>
                <w:szCs w:val="15"/>
                <w:color w:val="auto"/>
              </w:rPr>
            </w:pPr>
          </w:p>
        </w:tc>
        <w:tc>
          <w:tcPr>
            <w:tcW w:w="1060" w:type="dxa"/>
            <w:vAlign w:val="bottom"/>
            <w:tcBorders>
              <w:bottom w:val="single" w:sz="8" w:color="0A2299"/>
            </w:tcBorders>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Borders>
              <w:bottom w:val="single" w:sz="8" w:color="0A2299"/>
            </w:tcBorders>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Borders>
              <w:bottom w:val="single" w:sz="8" w:color="0A2299"/>
            </w:tcBorders>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Borders>
              <w:bottom w:val="single" w:sz="8" w:color="0A2299"/>
            </w:tcBorders>
          </w:tcPr>
          <w:p>
            <w:pPr>
              <w:jc w:val="right"/>
              <w:ind w:right="82"/>
              <w:spacing w:after="0"/>
              <w:rPr>
                <w:sz w:val="20"/>
                <w:szCs w:val="20"/>
                <w:color w:val="auto"/>
              </w:rPr>
            </w:pPr>
            <w:r>
              <w:rPr>
                <w:rFonts w:ascii="Arial" w:cs="Arial" w:eastAsia="Arial" w:hAnsi="Arial"/>
                <w:sz w:val="12"/>
                <w:szCs w:val="12"/>
                <w:color w:val="183964"/>
              </w:rPr>
              <w:t>—</w:t>
            </w:r>
          </w:p>
        </w:tc>
        <w:tc>
          <w:tcPr>
            <w:tcW w:w="560" w:type="dxa"/>
            <w:vAlign w:val="bottom"/>
            <w:tcBorders>
              <w:bottom w:val="single" w:sz="8" w:color="0A2299"/>
            </w:tcBorders>
          </w:tcPr>
          <w:p>
            <w:pPr>
              <w:jc w:val="right"/>
              <w:ind w:right="2"/>
              <w:spacing w:after="0"/>
              <w:rPr>
                <w:sz w:val="20"/>
                <w:szCs w:val="20"/>
                <w:color w:val="auto"/>
              </w:rPr>
            </w:pPr>
            <w:r>
              <w:rPr>
                <w:rFonts w:ascii="Arial" w:cs="Arial" w:eastAsia="Arial" w:hAnsi="Arial"/>
                <w:sz w:val="12"/>
                <w:szCs w:val="12"/>
                <w:color w:val="183964"/>
              </w:rPr>
              <w:t>—</w:t>
            </w:r>
          </w:p>
        </w:tc>
        <w:tc>
          <w:tcPr>
            <w:tcW w:w="840" w:type="dxa"/>
            <w:vAlign w:val="bottom"/>
            <w:tcBorders>
              <w:bottom w:val="single" w:sz="8" w:color="0A2299"/>
            </w:tcBorders>
          </w:tcPr>
          <w:p>
            <w:pPr>
              <w:jc w:val="right"/>
              <w:ind w:right="122"/>
              <w:spacing w:after="0"/>
              <w:rPr>
                <w:sz w:val="20"/>
                <w:szCs w:val="20"/>
                <w:color w:val="auto"/>
              </w:rPr>
            </w:pPr>
            <w:r>
              <w:rPr>
                <w:rFonts w:ascii="Arial" w:cs="Arial" w:eastAsia="Arial" w:hAnsi="Arial"/>
                <w:sz w:val="12"/>
                <w:szCs w:val="12"/>
                <w:color w:val="183964"/>
              </w:rPr>
              <w:t>—</w:t>
            </w:r>
          </w:p>
        </w:tc>
        <w:tc>
          <w:tcPr>
            <w:tcW w:w="780" w:type="dxa"/>
            <w:vAlign w:val="bottom"/>
            <w:tcBorders>
              <w:bottom w:val="single" w:sz="8" w:color="0A2299"/>
            </w:tcBorders>
          </w:tcPr>
          <w:p>
            <w:pPr>
              <w:jc w:val="right"/>
              <w:ind w:right="122"/>
              <w:spacing w:after="0"/>
              <w:rPr>
                <w:sz w:val="20"/>
                <w:szCs w:val="20"/>
                <w:color w:val="auto"/>
              </w:rPr>
            </w:pPr>
            <w:r>
              <w:rPr>
                <w:rFonts w:ascii="Arial" w:cs="Arial" w:eastAsia="Arial" w:hAnsi="Arial"/>
                <w:sz w:val="12"/>
                <w:szCs w:val="12"/>
                <w:color w:val="183964"/>
              </w:rPr>
              <w:t>—</w:t>
            </w:r>
          </w:p>
        </w:tc>
        <w:tc>
          <w:tcPr>
            <w:tcW w:w="660" w:type="dxa"/>
            <w:vAlign w:val="bottom"/>
            <w:tcBorders>
              <w:bottom w:val="single" w:sz="8" w:color="0A2299"/>
            </w:tcBorders>
          </w:tcPr>
          <w:p>
            <w:pPr>
              <w:jc w:val="right"/>
              <w:ind w:right="102"/>
              <w:spacing w:after="0"/>
              <w:rPr>
                <w:sz w:val="20"/>
                <w:szCs w:val="20"/>
                <w:color w:val="auto"/>
              </w:rPr>
            </w:pPr>
            <w:r>
              <w:rPr>
                <w:rFonts w:ascii="Arial" w:cs="Arial" w:eastAsia="Arial" w:hAnsi="Arial"/>
                <w:sz w:val="12"/>
                <w:szCs w:val="12"/>
                <w:color w:val="183964"/>
              </w:rPr>
              <w:t>1</w:t>
            </w:r>
          </w:p>
        </w:tc>
        <w:tc>
          <w:tcPr>
            <w:tcW w:w="860" w:type="dxa"/>
            <w:vAlign w:val="bottom"/>
            <w:tcBorders>
              <w:bottom w:val="single" w:sz="8" w:color="0A2299"/>
            </w:tcBorders>
          </w:tcPr>
          <w:p>
            <w:pPr>
              <w:jc w:val="right"/>
              <w:ind w:right="63"/>
              <w:spacing w:after="0"/>
              <w:rPr>
                <w:sz w:val="20"/>
                <w:szCs w:val="20"/>
                <w:color w:val="auto"/>
              </w:rPr>
            </w:pPr>
            <w:r>
              <w:rPr>
                <w:rFonts w:ascii="Arial" w:cs="Arial" w:eastAsia="Arial" w:hAnsi="Arial"/>
                <w:sz w:val="12"/>
                <w:szCs w:val="12"/>
                <w:color w:val="183964"/>
              </w:rPr>
              <w:t>—</w:t>
            </w:r>
          </w:p>
        </w:tc>
        <w:tc>
          <w:tcPr>
            <w:tcW w:w="700" w:type="dxa"/>
            <w:vAlign w:val="bottom"/>
            <w:tcBorders>
              <w:bottom w:val="single" w:sz="8" w:color="0A2299"/>
            </w:tcBorders>
          </w:tcPr>
          <w:p>
            <w:pPr>
              <w:jc w:val="right"/>
              <w:ind w:right="22"/>
              <w:spacing w:after="0"/>
              <w:rPr>
                <w:sz w:val="20"/>
                <w:szCs w:val="20"/>
                <w:color w:val="auto"/>
              </w:rPr>
            </w:pPr>
            <w:r>
              <w:rPr>
                <w:rFonts w:ascii="Arial" w:cs="Arial" w:eastAsia="Arial" w:hAnsi="Arial"/>
                <w:sz w:val="12"/>
                <w:szCs w:val="12"/>
                <w:color w:val="183964"/>
              </w:rPr>
              <w:t>1</w:t>
            </w:r>
          </w:p>
        </w:tc>
        <w:tc>
          <w:tcPr>
            <w:tcW w:w="860" w:type="dxa"/>
            <w:vAlign w:val="bottom"/>
            <w:tcBorders>
              <w:bottom w:val="single" w:sz="8" w:color="0A2299"/>
            </w:tcBorders>
          </w:tcPr>
          <w:p>
            <w:pPr>
              <w:jc w:val="right"/>
              <w:ind w:right="42"/>
              <w:spacing w:after="0"/>
              <w:rPr>
                <w:sz w:val="20"/>
                <w:szCs w:val="20"/>
                <w:color w:val="auto"/>
              </w:rPr>
            </w:pPr>
            <w:r>
              <w:rPr>
                <w:rFonts w:ascii="Arial" w:cs="Arial" w:eastAsia="Arial" w:hAnsi="Arial"/>
                <w:sz w:val="12"/>
                <w:szCs w:val="12"/>
                <w:color w:val="183964"/>
              </w:rPr>
              <w:t>(1)</w:t>
            </w:r>
          </w:p>
        </w:tc>
        <w:tc>
          <w:tcPr>
            <w:tcW w:w="620" w:type="dxa"/>
            <w:vAlign w:val="bottom"/>
            <w:tcBorders>
              <w:bottom w:val="single" w:sz="8" w:color="0A2299"/>
            </w:tcBorders>
          </w:tcPr>
          <w:p>
            <w:pPr>
              <w:jc w:val="right"/>
              <w:ind w:right="2"/>
              <w:spacing w:after="0"/>
              <w:rPr>
                <w:sz w:val="20"/>
                <w:szCs w:val="20"/>
                <w:color w:val="auto"/>
              </w:rPr>
            </w:pPr>
            <w:r>
              <w:rPr>
                <w:rFonts w:ascii="Arial" w:cs="Arial" w:eastAsia="Arial" w:hAnsi="Arial"/>
                <w:sz w:val="12"/>
                <w:szCs w:val="12"/>
                <w:color w:val="183964"/>
              </w:rPr>
              <w:t>—</w:t>
            </w:r>
          </w:p>
        </w:tc>
        <w:tc>
          <w:tcPr>
            <w:tcW w:w="0" w:type="dxa"/>
            <w:vAlign w:val="bottom"/>
          </w:tcPr>
          <w:p>
            <w:pPr>
              <w:spacing w:after="0"/>
              <w:rPr>
                <w:sz w:val="1"/>
                <w:szCs w:val="1"/>
                <w:color w:val="auto"/>
              </w:rPr>
            </w:pPr>
          </w:p>
        </w:tc>
      </w:tr>
      <w:tr>
        <w:trPr>
          <w:trHeight w:val="183"/>
        </w:trPr>
        <w:tc>
          <w:tcPr>
            <w:tcW w:w="1560" w:type="dxa"/>
            <w:vAlign w:val="bottom"/>
            <w:tcBorders>
              <w:bottom w:val="single" w:sz="8" w:color="0A2299"/>
            </w:tcBorders>
          </w:tcPr>
          <w:p>
            <w:pPr>
              <w:ind w:left="20"/>
              <w:spacing w:after="0"/>
              <w:rPr>
                <w:sz w:val="20"/>
                <w:szCs w:val="20"/>
                <w:color w:val="auto"/>
              </w:rPr>
            </w:pPr>
            <w:r>
              <w:rPr>
                <w:rFonts w:ascii="Arial" w:cs="Arial" w:eastAsia="Arial" w:hAnsi="Arial"/>
                <w:sz w:val="12"/>
                <w:szCs w:val="12"/>
                <w:b w:val="1"/>
                <w:bCs w:val="1"/>
                <w:color w:val="auto"/>
              </w:rPr>
              <w:t>Balance June 30, 2024</w:t>
            </w:r>
          </w:p>
        </w:tc>
        <w:tc>
          <w:tcPr>
            <w:tcW w:w="380" w:type="dxa"/>
            <w:vAlign w:val="bottom"/>
            <w:tcBorders>
              <w:bottom w:val="single" w:sz="8" w:color="0A2299"/>
            </w:tcBorders>
          </w:tcPr>
          <w:p>
            <w:pPr>
              <w:spacing w:after="0"/>
              <w:rPr>
                <w:sz w:val="15"/>
                <w:szCs w:val="15"/>
                <w:color w:val="auto"/>
              </w:rPr>
            </w:pPr>
          </w:p>
        </w:tc>
        <w:tc>
          <w:tcPr>
            <w:tcW w:w="1060" w:type="dxa"/>
            <w:vAlign w:val="bottom"/>
            <w:tcBorders>
              <w:bottom w:val="single" w:sz="8" w:color="0A2299"/>
            </w:tcBorders>
          </w:tcPr>
          <w:p>
            <w:pPr>
              <w:jc w:val="right"/>
              <w:ind w:right="102"/>
              <w:spacing w:after="0"/>
              <w:rPr>
                <w:sz w:val="20"/>
                <w:szCs w:val="20"/>
                <w:color w:val="auto"/>
              </w:rPr>
            </w:pPr>
            <w:r>
              <w:rPr>
                <w:rFonts w:ascii="Arial" w:cs="Arial" w:eastAsia="Arial" w:hAnsi="Arial"/>
                <w:sz w:val="12"/>
                <w:szCs w:val="12"/>
                <w:b w:val="1"/>
                <w:bCs w:val="1"/>
                <w:color w:val="auto"/>
              </w:rPr>
              <w:t>257,927,489</w:t>
            </w:r>
          </w:p>
        </w:tc>
        <w:tc>
          <w:tcPr>
            <w:tcW w:w="540" w:type="dxa"/>
            <w:vAlign w:val="bottom"/>
            <w:tcBorders>
              <w:bottom w:val="single" w:sz="8" w:color="0A2299"/>
            </w:tcBorders>
          </w:tcPr>
          <w:p>
            <w:pPr>
              <w:jc w:val="right"/>
              <w:ind w:right="2"/>
              <w:spacing w:after="0"/>
              <w:rPr>
                <w:sz w:val="20"/>
                <w:szCs w:val="20"/>
                <w:color w:val="auto"/>
              </w:rPr>
            </w:pPr>
            <w:r>
              <w:rPr>
                <w:rFonts w:ascii="Arial" w:cs="Arial" w:eastAsia="Arial" w:hAnsi="Arial"/>
                <w:sz w:val="12"/>
                <w:szCs w:val="12"/>
                <w:b w:val="1"/>
                <w:bCs w:val="1"/>
                <w:color w:val="auto"/>
              </w:rPr>
              <w:t>4,860</w:t>
            </w:r>
          </w:p>
        </w:tc>
        <w:tc>
          <w:tcPr>
            <w:tcW w:w="680" w:type="dxa"/>
            <w:vAlign w:val="bottom"/>
            <w:tcBorders>
              <w:bottom w:val="single" w:sz="8" w:color="0A2299"/>
            </w:tcBorders>
          </w:tcPr>
          <w:p>
            <w:pPr>
              <w:jc w:val="right"/>
              <w:ind w:right="2"/>
              <w:spacing w:after="0"/>
              <w:rPr>
                <w:sz w:val="20"/>
                <w:szCs w:val="20"/>
                <w:color w:val="auto"/>
              </w:rPr>
            </w:pPr>
            <w:r>
              <w:rPr>
                <w:rFonts w:ascii="Arial" w:cs="Arial" w:eastAsia="Arial" w:hAnsi="Arial"/>
                <w:sz w:val="12"/>
                <w:szCs w:val="12"/>
                <w:b w:val="1"/>
                <w:bCs w:val="1"/>
                <w:color w:val="auto"/>
              </w:rPr>
              <w:t>290,262</w:t>
            </w:r>
          </w:p>
        </w:tc>
        <w:tc>
          <w:tcPr>
            <w:tcW w:w="1020" w:type="dxa"/>
            <w:vAlign w:val="bottom"/>
            <w:tcBorders>
              <w:bottom w:val="single" w:sz="8" w:color="0A2299"/>
            </w:tcBorders>
          </w:tcPr>
          <w:p>
            <w:pPr>
              <w:jc w:val="right"/>
              <w:ind w:right="62"/>
              <w:spacing w:after="0"/>
              <w:rPr>
                <w:sz w:val="20"/>
                <w:szCs w:val="20"/>
                <w:color w:val="auto"/>
              </w:rPr>
            </w:pPr>
            <w:r>
              <w:rPr>
                <w:rFonts w:ascii="Arial" w:cs="Arial" w:eastAsia="Arial" w:hAnsi="Arial"/>
                <w:sz w:val="12"/>
                <w:szCs w:val="12"/>
                <w:b w:val="1"/>
                <w:bCs w:val="1"/>
                <w:color w:val="auto"/>
              </w:rPr>
              <w:t>(18,506,177)</w:t>
            </w:r>
          </w:p>
        </w:tc>
        <w:tc>
          <w:tcPr>
            <w:tcW w:w="560" w:type="dxa"/>
            <w:vAlign w:val="bottom"/>
            <w:tcBorders>
              <w:bottom w:val="single" w:sz="8" w:color="0A2299"/>
            </w:tcBorders>
          </w:tcPr>
          <w:p>
            <w:pPr>
              <w:jc w:val="right"/>
              <w:spacing w:after="0"/>
              <w:rPr>
                <w:sz w:val="20"/>
                <w:szCs w:val="20"/>
                <w:color w:val="auto"/>
              </w:rPr>
            </w:pPr>
            <w:r>
              <w:rPr>
                <w:rFonts w:ascii="Arial" w:cs="Arial" w:eastAsia="Arial" w:hAnsi="Arial"/>
                <w:sz w:val="12"/>
                <w:szCs w:val="12"/>
                <w:b w:val="1"/>
                <w:bCs w:val="1"/>
                <w:color w:val="auto"/>
              </w:rPr>
              <w:t>(46,892)</w:t>
            </w:r>
          </w:p>
        </w:tc>
        <w:tc>
          <w:tcPr>
            <w:tcW w:w="840" w:type="dxa"/>
            <w:vAlign w:val="bottom"/>
            <w:tcBorders>
              <w:bottom w:val="single" w:sz="8" w:color="0A2299"/>
            </w:tcBorders>
          </w:tcPr>
          <w:p>
            <w:pPr>
              <w:jc w:val="right"/>
              <w:ind w:right="122"/>
              <w:spacing w:after="0"/>
              <w:rPr>
                <w:sz w:val="20"/>
                <w:szCs w:val="20"/>
                <w:color w:val="auto"/>
              </w:rPr>
            </w:pPr>
            <w:r>
              <w:rPr>
                <w:rFonts w:ascii="Arial" w:cs="Arial" w:eastAsia="Arial" w:hAnsi="Arial"/>
                <w:sz w:val="12"/>
                <w:szCs w:val="12"/>
                <w:b w:val="1"/>
                <w:bCs w:val="1"/>
                <w:color w:val="auto"/>
              </w:rPr>
              <w:t>138,506</w:t>
            </w:r>
          </w:p>
        </w:tc>
        <w:tc>
          <w:tcPr>
            <w:tcW w:w="780" w:type="dxa"/>
            <w:vAlign w:val="bottom"/>
            <w:tcBorders>
              <w:bottom w:val="single" w:sz="8" w:color="0A2299"/>
            </w:tcBorders>
          </w:tcPr>
          <w:p>
            <w:pPr>
              <w:jc w:val="right"/>
              <w:ind w:right="122"/>
              <w:spacing w:after="0"/>
              <w:rPr>
                <w:sz w:val="20"/>
                <w:szCs w:val="20"/>
                <w:color w:val="auto"/>
              </w:rPr>
            </w:pPr>
            <w:r>
              <w:rPr>
                <w:rFonts w:ascii="Arial" w:cs="Arial" w:eastAsia="Arial" w:hAnsi="Arial"/>
                <w:sz w:val="12"/>
                <w:szCs w:val="12"/>
                <w:b w:val="1"/>
                <w:bCs w:val="1"/>
                <w:color w:val="auto"/>
              </w:rPr>
              <w:t>182</w:t>
            </w:r>
          </w:p>
        </w:tc>
        <w:tc>
          <w:tcPr>
            <w:tcW w:w="660" w:type="dxa"/>
            <w:vAlign w:val="bottom"/>
            <w:tcBorders>
              <w:bottom w:val="single" w:sz="8" w:color="0A2299"/>
            </w:tcBorders>
          </w:tcPr>
          <w:p>
            <w:pPr>
              <w:jc w:val="right"/>
              <w:ind w:right="82"/>
              <w:spacing w:after="0"/>
              <w:rPr>
                <w:sz w:val="20"/>
                <w:szCs w:val="20"/>
                <w:color w:val="auto"/>
              </w:rPr>
            </w:pPr>
            <w:r>
              <w:rPr>
                <w:rFonts w:ascii="Arial" w:cs="Arial" w:eastAsia="Arial" w:hAnsi="Arial"/>
                <w:sz w:val="12"/>
                <w:szCs w:val="12"/>
                <w:b w:val="1"/>
                <w:bCs w:val="1"/>
                <w:color w:val="auto"/>
              </w:rPr>
              <w:t>(8,541)</w:t>
            </w:r>
          </w:p>
        </w:tc>
        <w:tc>
          <w:tcPr>
            <w:tcW w:w="860" w:type="dxa"/>
            <w:vAlign w:val="bottom"/>
            <w:tcBorders>
              <w:bottom w:val="single" w:sz="8" w:color="0A2299"/>
            </w:tcBorders>
          </w:tcPr>
          <w:p>
            <w:pPr>
              <w:jc w:val="right"/>
              <w:ind w:right="23"/>
              <w:spacing w:after="0"/>
              <w:rPr>
                <w:sz w:val="20"/>
                <w:szCs w:val="20"/>
                <w:color w:val="auto"/>
              </w:rPr>
            </w:pPr>
            <w:r>
              <w:rPr>
                <w:rFonts w:ascii="Arial" w:cs="Arial" w:eastAsia="Arial" w:hAnsi="Arial"/>
                <w:sz w:val="12"/>
                <w:szCs w:val="12"/>
                <w:b w:val="1"/>
                <w:bCs w:val="1"/>
                <w:color w:val="auto"/>
              </w:rPr>
              <w:t>(62,510)</w:t>
            </w:r>
          </w:p>
        </w:tc>
        <w:tc>
          <w:tcPr>
            <w:tcW w:w="700" w:type="dxa"/>
            <w:vAlign w:val="bottom"/>
            <w:tcBorders>
              <w:bottom w:val="single" w:sz="8" w:color="0A2299"/>
            </w:tcBorders>
          </w:tcPr>
          <w:p>
            <w:pPr>
              <w:jc w:val="right"/>
              <w:ind w:right="22"/>
              <w:spacing w:after="0"/>
              <w:rPr>
                <w:sz w:val="20"/>
                <w:szCs w:val="20"/>
                <w:color w:val="auto"/>
              </w:rPr>
            </w:pPr>
            <w:r>
              <w:rPr>
                <w:rFonts w:ascii="Arial" w:cs="Arial" w:eastAsia="Arial" w:hAnsi="Arial"/>
                <w:sz w:val="12"/>
                <w:szCs w:val="12"/>
                <w:b w:val="1"/>
                <w:bCs w:val="1"/>
                <w:color w:val="auto"/>
              </w:rPr>
              <w:t>315,867</w:t>
            </w:r>
          </w:p>
        </w:tc>
        <w:tc>
          <w:tcPr>
            <w:tcW w:w="860" w:type="dxa"/>
            <w:vAlign w:val="bottom"/>
            <w:tcBorders>
              <w:bottom w:val="single" w:sz="8" w:color="0A2299"/>
            </w:tcBorders>
          </w:tcPr>
          <w:p>
            <w:pPr>
              <w:jc w:val="right"/>
              <w:ind w:right="42"/>
              <w:spacing w:after="0"/>
              <w:rPr>
                <w:sz w:val="20"/>
                <w:szCs w:val="20"/>
                <w:color w:val="auto"/>
              </w:rPr>
            </w:pPr>
            <w:r>
              <w:rPr>
                <w:rFonts w:ascii="Arial" w:cs="Arial" w:eastAsia="Arial" w:hAnsi="Arial"/>
                <w:sz w:val="12"/>
                <w:szCs w:val="12"/>
                <w:b w:val="1"/>
                <w:bCs w:val="1"/>
                <w:color w:val="auto"/>
              </w:rPr>
              <w:t>(9,661)</w:t>
            </w:r>
          </w:p>
        </w:tc>
        <w:tc>
          <w:tcPr>
            <w:tcW w:w="620" w:type="dxa"/>
            <w:vAlign w:val="bottom"/>
            <w:tcBorders>
              <w:bottom w:val="single" w:sz="8" w:color="0A2299"/>
            </w:tcBorders>
          </w:tcPr>
          <w:p>
            <w:pPr>
              <w:jc w:val="right"/>
              <w:ind w:right="2"/>
              <w:spacing w:after="0"/>
              <w:rPr>
                <w:sz w:val="20"/>
                <w:szCs w:val="20"/>
                <w:color w:val="auto"/>
              </w:rPr>
            </w:pPr>
            <w:r>
              <w:rPr>
                <w:rFonts w:ascii="Arial" w:cs="Arial" w:eastAsia="Arial" w:hAnsi="Arial"/>
                <w:sz w:val="12"/>
                <w:szCs w:val="12"/>
                <w:b w:val="1"/>
                <w:bCs w:val="1"/>
                <w:color w:val="auto"/>
              </w:rPr>
              <w:t>306,206</w:t>
            </w:r>
          </w:p>
        </w:tc>
        <w:tc>
          <w:tcPr>
            <w:tcW w:w="0" w:type="dxa"/>
            <w:vAlign w:val="bottom"/>
          </w:tcPr>
          <w:p>
            <w:pPr>
              <w:spacing w:after="0"/>
              <w:rPr>
                <w:sz w:val="1"/>
                <w:szCs w:val="1"/>
                <w:color w:val="auto"/>
              </w:rPr>
            </w:pPr>
          </w:p>
        </w:tc>
      </w:tr>
      <w:tr>
        <w:trPr>
          <w:trHeight w:val="426"/>
        </w:trPr>
        <w:tc>
          <w:tcPr>
            <w:tcW w:w="1560" w:type="dxa"/>
            <w:vAlign w:val="bottom"/>
            <w:tcBorders>
              <w:bottom w:val="single" w:sz="8" w:color="0A2299"/>
            </w:tcBorders>
          </w:tcPr>
          <w:p>
            <w:pPr>
              <w:ind w:left="20"/>
              <w:spacing w:after="0"/>
              <w:rPr>
                <w:sz w:val="20"/>
                <w:szCs w:val="20"/>
                <w:color w:val="auto"/>
              </w:rPr>
            </w:pPr>
            <w:r>
              <w:rPr>
                <w:rFonts w:ascii="Arial" w:cs="Arial" w:eastAsia="Arial" w:hAnsi="Arial"/>
                <w:sz w:val="12"/>
                <w:szCs w:val="12"/>
                <w:b w:val="1"/>
                <w:bCs w:val="1"/>
                <w:color w:val="auto"/>
              </w:rPr>
              <w:t>Balance January 1, 2025</w:t>
            </w:r>
          </w:p>
        </w:tc>
        <w:tc>
          <w:tcPr>
            <w:tcW w:w="380" w:type="dxa"/>
            <w:vAlign w:val="bottom"/>
            <w:tcBorders>
              <w:bottom w:val="single" w:sz="8" w:color="0A2299"/>
            </w:tcBorders>
          </w:tcPr>
          <w:p>
            <w:pPr>
              <w:spacing w:after="0"/>
              <w:rPr>
                <w:sz w:val="24"/>
                <w:szCs w:val="24"/>
                <w:color w:val="auto"/>
              </w:rPr>
            </w:pPr>
          </w:p>
        </w:tc>
        <w:tc>
          <w:tcPr>
            <w:tcW w:w="1060" w:type="dxa"/>
            <w:vAlign w:val="bottom"/>
            <w:tcBorders>
              <w:bottom w:val="single" w:sz="8" w:color="0A2299"/>
            </w:tcBorders>
          </w:tcPr>
          <w:p>
            <w:pPr>
              <w:jc w:val="right"/>
              <w:ind w:right="102"/>
              <w:spacing w:after="0"/>
              <w:rPr>
                <w:sz w:val="20"/>
                <w:szCs w:val="20"/>
                <w:color w:val="auto"/>
              </w:rPr>
            </w:pPr>
            <w:r>
              <w:rPr>
                <w:rFonts w:ascii="Arial" w:cs="Arial" w:eastAsia="Arial" w:hAnsi="Arial"/>
                <w:sz w:val="12"/>
                <w:szCs w:val="12"/>
                <w:b w:val="1"/>
                <w:bCs w:val="1"/>
                <w:color w:val="auto"/>
              </w:rPr>
              <w:t>257,927,489</w:t>
            </w:r>
          </w:p>
        </w:tc>
        <w:tc>
          <w:tcPr>
            <w:tcW w:w="540" w:type="dxa"/>
            <w:vAlign w:val="bottom"/>
            <w:tcBorders>
              <w:bottom w:val="single" w:sz="8" w:color="0A2299"/>
            </w:tcBorders>
          </w:tcPr>
          <w:p>
            <w:pPr>
              <w:jc w:val="right"/>
              <w:ind w:right="2"/>
              <w:spacing w:after="0"/>
              <w:rPr>
                <w:sz w:val="20"/>
                <w:szCs w:val="20"/>
                <w:color w:val="auto"/>
              </w:rPr>
            </w:pPr>
            <w:r>
              <w:rPr>
                <w:rFonts w:ascii="Arial" w:cs="Arial" w:eastAsia="Arial" w:hAnsi="Arial"/>
                <w:sz w:val="12"/>
                <w:szCs w:val="12"/>
                <w:b w:val="1"/>
                <w:bCs w:val="1"/>
                <w:color w:val="auto"/>
              </w:rPr>
              <w:t>4,860</w:t>
            </w:r>
          </w:p>
        </w:tc>
        <w:tc>
          <w:tcPr>
            <w:tcW w:w="680" w:type="dxa"/>
            <w:vAlign w:val="bottom"/>
            <w:tcBorders>
              <w:bottom w:val="single" w:sz="8" w:color="0A2299"/>
            </w:tcBorders>
          </w:tcPr>
          <w:p>
            <w:pPr>
              <w:jc w:val="right"/>
              <w:ind w:right="2"/>
              <w:spacing w:after="0"/>
              <w:rPr>
                <w:sz w:val="20"/>
                <w:szCs w:val="20"/>
                <w:color w:val="auto"/>
              </w:rPr>
            </w:pPr>
            <w:r>
              <w:rPr>
                <w:rFonts w:ascii="Arial" w:cs="Arial" w:eastAsia="Arial" w:hAnsi="Arial"/>
                <w:sz w:val="12"/>
                <w:szCs w:val="12"/>
                <w:b w:val="1"/>
                <w:bCs w:val="1"/>
                <w:color w:val="auto"/>
              </w:rPr>
              <w:t>290,262</w:t>
            </w:r>
          </w:p>
        </w:tc>
        <w:tc>
          <w:tcPr>
            <w:tcW w:w="1020" w:type="dxa"/>
            <w:vAlign w:val="bottom"/>
            <w:tcBorders>
              <w:bottom w:val="single" w:sz="8" w:color="0A2299"/>
            </w:tcBorders>
          </w:tcPr>
          <w:p>
            <w:pPr>
              <w:jc w:val="right"/>
              <w:ind w:right="62"/>
              <w:spacing w:after="0"/>
              <w:rPr>
                <w:sz w:val="20"/>
                <w:szCs w:val="20"/>
                <w:color w:val="auto"/>
              </w:rPr>
            </w:pPr>
            <w:r>
              <w:rPr>
                <w:rFonts w:ascii="Arial" w:cs="Arial" w:eastAsia="Arial" w:hAnsi="Arial"/>
                <w:sz w:val="12"/>
                <w:szCs w:val="12"/>
                <w:b w:val="1"/>
                <w:bCs w:val="1"/>
                <w:color w:val="auto"/>
              </w:rPr>
              <w:t>(18,506,177)</w:t>
            </w:r>
          </w:p>
        </w:tc>
        <w:tc>
          <w:tcPr>
            <w:tcW w:w="560" w:type="dxa"/>
            <w:vAlign w:val="bottom"/>
            <w:tcBorders>
              <w:bottom w:val="single" w:sz="8" w:color="0A2299"/>
            </w:tcBorders>
          </w:tcPr>
          <w:p>
            <w:pPr>
              <w:jc w:val="right"/>
              <w:spacing w:after="0"/>
              <w:rPr>
                <w:sz w:val="20"/>
                <w:szCs w:val="20"/>
                <w:color w:val="auto"/>
              </w:rPr>
            </w:pPr>
            <w:r>
              <w:rPr>
                <w:rFonts w:ascii="Arial" w:cs="Arial" w:eastAsia="Arial" w:hAnsi="Arial"/>
                <w:sz w:val="12"/>
                <w:szCs w:val="12"/>
                <w:b w:val="1"/>
                <w:bCs w:val="1"/>
                <w:color w:val="auto"/>
              </w:rPr>
              <w:t>(46,864)</w:t>
            </w:r>
          </w:p>
        </w:tc>
        <w:tc>
          <w:tcPr>
            <w:tcW w:w="840" w:type="dxa"/>
            <w:vAlign w:val="bottom"/>
            <w:tcBorders>
              <w:bottom w:val="single" w:sz="8" w:color="0A2299"/>
            </w:tcBorders>
          </w:tcPr>
          <w:p>
            <w:pPr>
              <w:jc w:val="right"/>
              <w:ind w:right="122"/>
              <w:spacing w:after="0"/>
              <w:rPr>
                <w:sz w:val="20"/>
                <w:szCs w:val="20"/>
                <w:color w:val="auto"/>
              </w:rPr>
            </w:pPr>
            <w:r>
              <w:rPr>
                <w:rFonts w:ascii="Arial" w:cs="Arial" w:eastAsia="Arial" w:hAnsi="Arial"/>
                <w:sz w:val="12"/>
                <w:szCs w:val="12"/>
                <w:b w:val="1"/>
                <w:bCs w:val="1"/>
                <w:color w:val="auto"/>
              </w:rPr>
              <w:t>138,506</w:t>
            </w:r>
          </w:p>
        </w:tc>
        <w:tc>
          <w:tcPr>
            <w:tcW w:w="780" w:type="dxa"/>
            <w:vAlign w:val="bottom"/>
            <w:tcBorders>
              <w:bottom w:val="single" w:sz="8" w:color="0A2299"/>
            </w:tcBorders>
          </w:tcPr>
          <w:p>
            <w:pPr>
              <w:jc w:val="right"/>
              <w:ind w:right="122"/>
              <w:spacing w:after="0"/>
              <w:rPr>
                <w:sz w:val="20"/>
                <w:szCs w:val="20"/>
                <w:color w:val="auto"/>
              </w:rPr>
            </w:pPr>
            <w:r>
              <w:rPr>
                <w:rFonts w:ascii="Arial" w:cs="Arial" w:eastAsia="Arial" w:hAnsi="Arial"/>
                <w:sz w:val="12"/>
                <w:szCs w:val="12"/>
                <w:b w:val="1"/>
                <w:bCs w:val="1"/>
                <w:color w:val="auto"/>
              </w:rPr>
              <w:t>182</w:t>
            </w:r>
          </w:p>
        </w:tc>
        <w:tc>
          <w:tcPr>
            <w:tcW w:w="660" w:type="dxa"/>
            <w:vAlign w:val="bottom"/>
            <w:tcBorders>
              <w:bottom w:val="single" w:sz="8" w:color="0A2299"/>
            </w:tcBorders>
          </w:tcPr>
          <w:p>
            <w:pPr>
              <w:jc w:val="right"/>
              <w:ind w:right="82"/>
              <w:spacing w:after="0"/>
              <w:rPr>
                <w:sz w:val="20"/>
                <w:szCs w:val="20"/>
                <w:color w:val="auto"/>
              </w:rPr>
            </w:pPr>
            <w:r>
              <w:rPr>
                <w:rFonts w:ascii="Arial" w:cs="Arial" w:eastAsia="Arial" w:hAnsi="Arial"/>
                <w:sz w:val="12"/>
                <w:szCs w:val="12"/>
                <w:b w:val="1"/>
                <w:bCs w:val="1"/>
                <w:color w:val="auto"/>
              </w:rPr>
              <w:t>(4,726)</w:t>
            </w:r>
          </w:p>
        </w:tc>
        <w:tc>
          <w:tcPr>
            <w:tcW w:w="860" w:type="dxa"/>
            <w:vAlign w:val="bottom"/>
            <w:tcBorders>
              <w:bottom w:val="single" w:sz="8" w:color="0A2299"/>
            </w:tcBorders>
          </w:tcPr>
          <w:p>
            <w:pPr>
              <w:jc w:val="right"/>
              <w:ind w:right="63"/>
              <w:spacing w:after="0"/>
              <w:rPr>
                <w:sz w:val="20"/>
                <w:szCs w:val="20"/>
                <w:color w:val="auto"/>
              </w:rPr>
            </w:pPr>
            <w:r>
              <w:rPr>
                <w:rFonts w:ascii="Arial" w:cs="Arial" w:eastAsia="Arial" w:hAnsi="Arial"/>
                <w:sz w:val="12"/>
                <w:szCs w:val="12"/>
                <w:b w:val="1"/>
                <w:bCs w:val="1"/>
                <w:color w:val="auto"/>
              </w:rPr>
              <w:t>32,486</w:t>
            </w:r>
          </w:p>
        </w:tc>
        <w:tc>
          <w:tcPr>
            <w:tcW w:w="700" w:type="dxa"/>
            <w:vAlign w:val="bottom"/>
            <w:tcBorders>
              <w:bottom w:val="single" w:sz="8" w:color="0A2299"/>
            </w:tcBorders>
          </w:tcPr>
          <w:p>
            <w:pPr>
              <w:jc w:val="right"/>
              <w:ind w:right="22"/>
              <w:spacing w:after="0"/>
              <w:rPr>
                <w:sz w:val="20"/>
                <w:szCs w:val="20"/>
                <w:color w:val="auto"/>
              </w:rPr>
            </w:pPr>
            <w:r>
              <w:rPr>
                <w:rFonts w:ascii="Arial" w:cs="Arial" w:eastAsia="Arial" w:hAnsi="Arial"/>
                <w:sz w:val="12"/>
                <w:szCs w:val="12"/>
                <w:b w:val="1"/>
                <w:bCs w:val="1"/>
                <w:color w:val="auto"/>
              </w:rPr>
              <w:t>414,707</w:t>
            </w:r>
          </w:p>
        </w:tc>
        <w:tc>
          <w:tcPr>
            <w:tcW w:w="860" w:type="dxa"/>
            <w:vAlign w:val="bottom"/>
            <w:tcBorders>
              <w:bottom w:val="single" w:sz="8" w:color="0A2299"/>
            </w:tcBorders>
          </w:tcPr>
          <w:p>
            <w:pPr>
              <w:jc w:val="right"/>
              <w:ind w:right="42"/>
              <w:spacing w:after="0"/>
              <w:rPr>
                <w:sz w:val="20"/>
                <w:szCs w:val="20"/>
                <w:color w:val="auto"/>
              </w:rPr>
            </w:pPr>
            <w:r>
              <w:rPr>
                <w:rFonts w:ascii="Arial" w:cs="Arial" w:eastAsia="Arial" w:hAnsi="Arial"/>
                <w:sz w:val="12"/>
                <w:szCs w:val="12"/>
                <w:b w:val="1"/>
                <w:bCs w:val="1"/>
                <w:color w:val="auto"/>
              </w:rPr>
              <w:t>(6,774)</w:t>
            </w:r>
          </w:p>
        </w:tc>
        <w:tc>
          <w:tcPr>
            <w:tcW w:w="620" w:type="dxa"/>
            <w:vAlign w:val="bottom"/>
            <w:tcBorders>
              <w:bottom w:val="single" w:sz="8" w:color="0A2299"/>
            </w:tcBorders>
          </w:tcPr>
          <w:p>
            <w:pPr>
              <w:jc w:val="right"/>
              <w:ind w:right="2"/>
              <w:spacing w:after="0"/>
              <w:rPr>
                <w:sz w:val="20"/>
                <w:szCs w:val="20"/>
                <w:color w:val="auto"/>
              </w:rPr>
            </w:pPr>
            <w:r>
              <w:rPr>
                <w:rFonts w:ascii="Arial" w:cs="Arial" w:eastAsia="Arial" w:hAnsi="Arial"/>
                <w:sz w:val="12"/>
                <w:szCs w:val="12"/>
                <w:b w:val="1"/>
                <w:bCs w:val="1"/>
                <w:color w:val="auto"/>
              </w:rPr>
              <w:t>407,933</w:t>
            </w:r>
          </w:p>
        </w:tc>
        <w:tc>
          <w:tcPr>
            <w:tcW w:w="0" w:type="dxa"/>
            <w:vAlign w:val="bottom"/>
          </w:tcPr>
          <w:p>
            <w:pPr>
              <w:spacing w:after="0"/>
              <w:rPr>
                <w:sz w:val="1"/>
                <w:szCs w:val="1"/>
                <w:color w:val="auto"/>
              </w:rPr>
            </w:pPr>
          </w:p>
        </w:tc>
      </w:tr>
      <w:tr>
        <w:trPr>
          <w:trHeight w:val="182"/>
        </w:trPr>
        <w:tc>
          <w:tcPr>
            <w:tcW w:w="1560" w:type="dxa"/>
            <w:vAlign w:val="bottom"/>
            <w:tcBorders>
              <w:bottom w:val="single" w:sz="8" w:color="0A2299"/>
            </w:tcBorders>
          </w:tcPr>
          <w:p>
            <w:pPr>
              <w:ind w:left="20"/>
              <w:spacing w:after="0"/>
              <w:rPr>
                <w:sz w:val="20"/>
                <w:szCs w:val="20"/>
                <w:color w:val="auto"/>
              </w:rPr>
            </w:pPr>
            <w:r>
              <w:rPr>
                <w:rFonts w:ascii="Arial" w:cs="Arial" w:eastAsia="Arial" w:hAnsi="Arial"/>
                <w:sz w:val="12"/>
                <w:szCs w:val="12"/>
                <w:color w:val="auto"/>
              </w:rPr>
              <w:t>Net income/(loss)</w:t>
            </w:r>
          </w:p>
        </w:tc>
        <w:tc>
          <w:tcPr>
            <w:tcW w:w="380" w:type="dxa"/>
            <w:vAlign w:val="bottom"/>
            <w:tcBorders>
              <w:bottom w:val="single" w:sz="8" w:color="0A2299"/>
            </w:tcBorders>
          </w:tcPr>
          <w:p>
            <w:pPr>
              <w:spacing w:after="0"/>
              <w:rPr>
                <w:sz w:val="15"/>
                <w:szCs w:val="15"/>
                <w:color w:val="auto"/>
              </w:rPr>
            </w:pPr>
          </w:p>
        </w:tc>
        <w:tc>
          <w:tcPr>
            <w:tcW w:w="1060" w:type="dxa"/>
            <w:vAlign w:val="bottom"/>
            <w:tcBorders>
              <w:bottom w:val="single" w:sz="8" w:color="0A2299"/>
            </w:tcBorders>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Borders>
              <w:bottom w:val="single" w:sz="8" w:color="0A2299"/>
            </w:tcBorders>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Borders>
              <w:bottom w:val="single" w:sz="8" w:color="0A2299"/>
            </w:tcBorders>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Borders>
              <w:bottom w:val="single" w:sz="8" w:color="0A2299"/>
            </w:tcBorders>
          </w:tcPr>
          <w:p>
            <w:pPr>
              <w:jc w:val="right"/>
              <w:ind w:right="82"/>
              <w:spacing w:after="0"/>
              <w:rPr>
                <w:sz w:val="20"/>
                <w:szCs w:val="20"/>
                <w:color w:val="auto"/>
              </w:rPr>
            </w:pPr>
            <w:r>
              <w:rPr>
                <w:rFonts w:ascii="Arial" w:cs="Arial" w:eastAsia="Arial" w:hAnsi="Arial"/>
                <w:sz w:val="12"/>
                <w:szCs w:val="12"/>
                <w:color w:val="183964"/>
              </w:rPr>
              <w:t>—</w:t>
            </w:r>
          </w:p>
        </w:tc>
        <w:tc>
          <w:tcPr>
            <w:tcW w:w="560" w:type="dxa"/>
            <w:vAlign w:val="bottom"/>
            <w:tcBorders>
              <w:bottom w:val="single" w:sz="8" w:color="0A2299"/>
            </w:tcBorders>
          </w:tcPr>
          <w:p>
            <w:pPr>
              <w:jc w:val="right"/>
              <w:ind w:right="2"/>
              <w:spacing w:after="0"/>
              <w:rPr>
                <w:sz w:val="20"/>
                <w:szCs w:val="20"/>
                <w:color w:val="auto"/>
              </w:rPr>
            </w:pPr>
            <w:r>
              <w:rPr>
                <w:rFonts w:ascii="Arial" w:cs="Arial" w:eastAsia="Arial" w:hAnsi="Arial"/>
                <w:sz w:val="12"/>
                <w:szCs w:val="12"/>
                <w:color w:val="183964"/>
              </w:rPr>
              <w:t>—</w:t>
            </w:r>
          </w:p>
        </w:tc>
        <w:tc>
          <w:tcPr>
            <w:tcW w:w="840" w:type="dxa"/>
            <w:vAlign w:val="bottom"/>
            <w:tcBorders>
              <w:bottom w:val="single" w:sz="8" w:color="0A2299"/>
            </w:tcBorders>
          </w:tcPr>
          <w:p>
            <w:pPr>
              <w:jc w:val="right"/>
              <w:ind w:right="122"/>
              <w:spacing w:after="0"/>
              <w:rPr>
                <w:sz w:val="20"/>
                <w:szCs w:val="20"/>
                <w:color w:val="auto"/>
              </w:rPr>
            </w:pPr>
            <w:r>
              <w:rPr>
                <w:rFonts w:ascii="Arial" w:cs="Arial" w:eastAsia="Arial" w:hAnsi="Arial"/>
                <w:sz w:val="12"/>
                <w:szCs w:val="12"/>
                <w:color w:val="183964"/>
              </w:rPr>
              <w:t>—</w:t>
            </w:r>
          </w:p>
        </w:tc>
        <w:tc>
          <w:tcPr>
            <w:tcW w:w="780" w:type="dxa"/>
            <w:vAlign w:val="bottom"/>
            <w:tcBorders>
              <w:bottom w:val="single" w:sz="8" w:color="0A2299"/>
            </w:tcBorders>
          </w:tcPr>
          <w:p>
            <w:pPr>
              <w:jc w:val="right"/>
              <w:ind w:right="122"/>
              <w:spacing w:after="0"/>
              <w:rPr>
                <w:sz w:val="20"/>
                <w:szCs w:val="20"/>
                <w:color w:val="auto"/>
              </w:rPr>
            </w:pPr>
            <w:r>
              <w:rPr>
                <w:rFonts w:ascii="Arial" w:cs="Arial" w:eastAsia="Arial" w:hAnsi="Arial"/>
                <w:sz w:val="12"/>
                <w:szCs w:val="12"/>
                <w:color w:val="183964"/>
              </w:rPr>
              <w:t>—</w:t>
            </w:r>
          </w:p>
        </w:tc>
        <w:tc>
          <w:tcPr>
            <w:tcW w:w="660" w:type="dxa"/>
            <w:vAlign w:val="bottom"/>
            <w:tcBorders>
              <w:bottom w:val="single" w:sz="8" w:color="0A2299"/>
            </w:tcBorders>
          </w:tcPr>
          <w:p>
            <w:pPr>
              <w:jc w:val="right"/>
              <w:ind w:right="102"/>
              <w:spacing w:after="0"/>
              <w:rPr>
                <w:sz w:val="20"/>
                <w:szCs w:val="20"/>
                <w:color w:val="auto"/>
              </w:rPr>
            </w:pPr>
            <w:r>
              <w:rPr>
                <w:rFonts w:ascii="Arial" w:cs="Arial" w:eastAsia="Arial" w:hAnsi="Arial"/>
                <w:sz w:val="12"/>
                <w:szCs w:val="12"/>
                <w:color w:val="183964"/>
              </w:rPr>
              <w:t>—</w:t>
            </w:r>
          </w:p>
        </w:tc>
        <w:tc>
          <w:tcPr>
            <w:tcW w:w="860" w:type="dxa"/>
            <w:vAlign w:val="bottom"/>
            <w:tcBorders>
              <w:bottom w:val="single" w:sz="8" w:color="0A2299"/>
            </w:tcBorders>
          </w:tcPr>
          <w:p>
            <w:pPr>
              <w:jc w:val="right"/>
              <w:ind w:right="23"/>
              <w:spacing w:after="0"/>
              <w:rPr>
                <w:sz w:val="20"/>
                <w:szCs w:val="20"/>
                <w:color w:val="auto"/>
              </w:rPr>
            </w:pPr>
            <w:r>
              <w:rPr>
                <w:rFonts w:ascii="Arial" w:cs="Arial" w:eastAsia="Arial" w:hAnsi="Arial"/>
                <w:sz w:val="12"/>
                <w:szCs w:val="12"/>
                <w:color w:val="183964"/>
              </w:rPr>
              <w:t>(44,605)</w:t>
            </w:r>
          </w:p>
        </w:tc>
        <w:tc>
          <w:tcPr>
            <w:tcW w:w="700" w:type="dxa"/>
            <w:vAlign w:val="bottom"/>
            <w:tcBorders>
              <w:bottom w:val="single" w:sz="8" w:color="0A2299"/>
            </w:tcBorders>
          </w:tcPr>
          <w:p>
            <w:pPr>
              <w:jc w:val="right"/>
              <w:spacing w:after="0"/>
              <w:rPr>
                <w:sz w:val="20"/>
                <w:szCs w:val="20"/>
                <w:color w:val="auto"/>
              </w:rPr>
            </w:pPr>
            <w:r>
              <w:rPr>
                <w:rFonts w:ascii="Arial" w:cs="Arial" w:eastAsia="Arial" w:hAnsi="Arial"/>
                <w:sz w:val="12"/>
                <w:szCs w:val="12"/>
                <w:color w:val="183964"/>
              </w:rPr>
              <w:t>(44,605)</w:t>
            </w:r>
          </w:p>
        </w:tc>
        <w:tc>
          <w:tcPr>
            <w:tcW w:w="860" w:type="dxa"/>
            <w:vAlign w:val="bottom"/>
            <w:tcBorders>
              <w:bottom w:val="single" w:sz="8" w:color="0A2299"/>
            </w:tcBorders>
          </w:tcPr>
          <w:p>
            <w:pPr>
              <w:jc w:val="right"/>
              <w:ind w:right="42"/>
              <w:spacing w:after="0"/>
              <w:rPr>
                <w:sz w:val="20"/>
                <w:szCs w:val="20"/>
                <w:color w:val="auto"/>
              </w:rPr>
            </w:pPr>
            <w:r>
              <w:rPr>
                <w:rFonts w:ascii="Arial" w:cs="Arial" w:eastAsia="Arial" w:hAnsi="Arial"/>
                <w:sz w:val="12"/>
                <w:szCs w:val="12"/>
                <w:color w:val="183964"/>
              </w:rPr>
              <w:t>(176)</w:t>
            </w:r>
          </w:p>
        </w:tc>
        <w:tc>
          <w:tcPr>
            <w:tcW w:w="620" w:type="dxa"/>
            <w:vAlign w:val="bottom"/>
            <w:tcBorders>
              <w:bottom w:val="single" w:sz="8" w:color="0A2299"/>
            </w:tcBorders>
          </w:tcPr>
          <w:p>
            <w:pPr>
              <w:jc w:val="right"/>
              <w:spacing w:after="0"/>
              <w:rPr>
                <w:sz w:val="20"/>
                <w:szCs w:val="20"/>
                <w:color w:val="auto"/>
              </w:rPr>
            </w:pPr>
            <w:r>
              <w:rPr>
                <w:rFonts w:ascii="Arial" w:cs="Arial" w:eastAsia="Arial" w:hAnsi="Arial"/>
                <w:sz w:val="12"/>
                <w:szCs w:val="12"/>
                <w:color w:val="183964"/>
              </w:rPr>
              <w:t>(44,781)</w:t>
            </w:r>
          </w:p>
        </w:tc>
        <w:tc>
          <w:tcPr>
            <w:tcW w:w="0" w:type="dxa"/>
            <w:vAlign w:val="bottom"/>
          </w:tcPr>
          <w:p>
            <w:pPr>
              <w:spacing w:after="0"/>
              <w:rPr>
                <w:sz w:val="1"/>
                <w:szCs w:val="1"/>
                <w:color w:val="auto"/>
              </w:rPr>
            </w:pPr>
          </w:p>
        </w:tc>
      </w:tr>
      <w:tr>
        <w:trPr>
          <w:trHeight w:val="152"/>
        </w:trPr>
        <w:tc>
          <w:tcPr>
            <w:tcW w:w="1560" w:type="dxa"/>
            <w:vAlign w:val="bottom"/>
          </w:tcPr>
          <w:p>
            <w:pPr>
              <w:ind w:left="20"/>
              <w:spacing w:after="0"/>
              <w:rPr>
                <w:sz w:val="20"/>
                <w:szCs w:val="20"/>
                <w:color w:val="auto"/>
              </w:rPr>
            </w:pPr>
            <w:r>
              <w:rPr>
                <w:rFonts w:ascii="Arial" w:cs="Arial" w:eastAsia="Arial" w:hAnsi="Arial"/>
                <w:sz w:val="12"/>
                <w:szCs w:val="12"/>
                <w:b w:val="1"/>
                <w:bCs w:val="1"/>
                <w:color w:val="auto"/>
              </w:rPr>
              <w:t>Total comprehensive</w:t>
            </w: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60" w:type="dxa"/>
            <w:vAlign w:val="bottom"/>
          </w:tcPr>
          <w:p>
            <w:pPr>
              <w:ind w:left="20"/>
              <w:spacing w:after="0"/>
              <w:rPr>
                <w:sz w:val="20"/>
                <w:szCs w:val="20"/>
                <w:color w:val="auto"/>
              </w:rPr>
            </w:pPr>
            <w:r>
              <w:rPr>
                <w:rFonts w:ascii="Arial" w:cs="Arial" w:eastAsia="Arial" w:hAnsi="Arial"/>
                <w:sz w:val="12"/>
                <w:szCs w:val="12"/>
                <w:b w:val="1"/>
                <w:bCs w:val="1"/>
                <w:color w:val="auto"/>
              </w:rPr>
              <w:t>income/(loss) for the</w:t>
            </w: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ind w:left="20"/>
              <w:spacing w:after="0"/>
              <w:rPr>
                <w:sz w:val="20"/>
                <w:szCs w:val="20"/>
                <w:color w:val="auto"/>
              </w:rPr>
            </w:pPr>
            <w:r>
              <w:rPr>
                <w:rFonts w:ascii="Arial" w:cs="Arial" w:eastAsia="Arial" w:hAnsi="Arial"/>
                <w:sz w:val="12"/>
                <w:szCs w:val="12"/>
                <w:b w:val="1"/>
                <w:bCs w:val="1"/>
                <w:color w:val="auto"/>
              </w:rPr>
              <w:t>period</w:t>
            </w:r>
          </w:p>
        </w:tc>
        <w:tc>
          <w:tcPr>
            <w:tcW w:w="380" w:type="dxa"/>
            <w:vAlign w:val="bottom"/>
          </w:tcPr>
          <w:p>
            <w:pPr>
              <w:spacing w:after="0"/>
              <w:rPr>
                <w:sz w:val="13"/>
                <w:szCs w:val="13"/>
                <w:color w:val="auto"/>
              </w:rPr>
            </w:pPr>
          </w:p>
        </w:tc>
        <w:tc>
          <w:tcPr>
            <w:tcW w:w="1060" w:type="dxa"/>
            <w:vAlign w:val="bottom"/>
          </w:tcPr>
          <w:p>
            <w:pPr>
              <w:jc w:val="right"/>
              <w:ind w:right="102"/>
              <w:spacing w:after="0"/>
              <w:rPr>
                <w:sz w:val="20"/>
                <w:szCs w:val="20"/>
                <w:color w:val="auto"/>
              </w:rPr>
            </w:pPr>
            <w:r>
              <w:rPr>
                <w:rFonts w:ascii="Arial" w:cs="Arial" w:eastAsia="Arial" w:hAnsi="Arial"/>
                <w:sz w:val="12"/>
                <w:szCs w:val="12"/>
                <w:b w:val="1"/>
                <w:bCs w:val="1"/>
                <w:color w:val="auto"/>
              </w:rPr>
              <w:t>—</w:t>
            </w:r>
          </w:p>
        </w:tc>
        <w:tc>
          <w:tcPr>
            <w:tcW w:w="540" w:type="dxa"/>
            <w:vAlign w:val="bottom"/>
          </w:tcPr>
          <w:p>
            <w:pPr>
              <w:jc w:val="right"/>
              <w:ind w:right="2"/>
              <w:spacing w:after="0"/>
              <w:rPr>
                <w:sz w:val="20"/>
                <w:szCs w:val="20"/>
                <w:color w:val="auto"/>
              </w:rPr>
            </w:pPr>
            <w:r>
              <w:rPr>
                <w:rFonts w:ascii="Arial" w:cs="Arial" w:eastAsia="Arial" w:hAnsi="Arial"/>
                <w:sz w:val="12"/>
                <w:szCs w:val="12"/>
                <w:b w:val="1"/>
                <w:bCs w:val="1"/>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b w:val="1"/>
                <w:bCs w:val="1"/>
                <w:color w:val="auto"/>
              </w:rPr>
              <w:t>—</w:t>
            </w:r>
          </w:p>
        </w:tc>
        <w:tc>
          <w:tcPr>
            <w:tcW w:w="1020" w:type="dxa"/>
            <w:vAlign w:val="bottom"/>
          </w:tcPr>
          <w:p>
            <w:pPr>
              <w:jc w:val="right"/>
              <w:ind w:right="82"/>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jc w:val="right"/>
              <w:ind w:right="2"/>
              <w:spacing w:after="0"/>
              <w:rPr>
                <w:sz w:val="20"/>
                <w:szCs w:val="20"/>
                <w:color w:val="auto"/>
              </w:rPr>
            </w:pPr>
            <w:r>
              <w:rPr>
                <w:rFonts w:ascii="Arial" w:cs="Arial" w:eastAsia="Arial" w:hAnsi="Arial"/>
                <w:sz w:val="12"/>
                <w:szCs w:val="12"/>
                <w:b w:val="1"/>
                <w:bCs w:val="1"/>
                <w:color w:val="auto"/>
              </w:rPr>
              <w:t>—</w:t>
            </w:r>
          </w:p>
        </w:tc>
        <w:tc>
          <w:tcPr>
            <w:tcW w:w="840" w:type="dxa"/>
            <w:vAlign w:val="bottom"/>
          </w:tcPr>
          <w:p>
            <w:pPr>
              <w:jc w:val="right"/>
              <w:ind w:right="122"/>
              <w:spacing w:after="0"/>
              <w:rPr>
                <w:sz w:val="20"/>
                <w:szCs w:val="20"/>
                <w:color w:val="auto"/>
              </w:rPr>
            </w:pPr>
            <w:r>
              <w:rPr>
                <w:rFonts w:ascii="Arial" w:cs="Arial" w:eastAsia="Arial" w:hAnsi="Arial"/>
                <w:sz w:val="12"/>
                <w:szCs w:val="12"/>
                <w:b w:val="1"/>
                <w:bCs w:val="1"/>
                <w:color w:val="auto"/>
              </w:rPr>
              <w:t>—</w:t>
            </w:r>
          </w:p>
        </w:tc>
        <w:tc>
          <w:tcPr>
            <w:tcW w:w="780" w:type="dxa"/>
            <w:vAlign w:val="bottom"/>
          </w:tcPr>
          <w:p>
            <w:pPr>
              <w:jc w:val="right"/>
              <w:ind w:right="122"/>
              <w:spacing w:after="0"/>
              <w:rPr>
                <w:sz w:val="20"/>
                <w:szCs w:val="20"/>
                <w:color w:val="auto"/>
              </w:rPr>
            </w:pPr>
            <w:r>
              <w:rPr>
                <w:rFonts w:ascii="Arial" w:cs="Arial" w:eastAsia="Arial" w:hAnsi="Arial"/>
                <w:sz w:val="12"/>
                <w:szCs w:val="12"/>
                <w:b w:val="1"/>
                <w:bCs w:val="1"/>
                <w:color w:val="auto"/>
              </w:rPr>
              <w:t>—</w:t>
            </w:r>
          </w:p>
        </w:tc>
        <w:tc>
          <w:tcPr>
            <w:tcW w:w="660" w:type="dxa"/>
            <w:vAlign w:val="bottom"/>
          </w:tcPr>
          <w:p>
            <w:pPr>
              <w:jc w:val="right"/>
              <w:ind w:right="102"/>
              <w:spacing w:after="0"/>
              <w:rPr>
                <w:sz w:val="20"/>
                <w:szCs w:val="20"/>
                <w:color w:val="auto"/>
              </w:rPr>
            </w:pPr>
            <w:r>
              <w:rPr>
                <w:rFonts w:ascii="Arial" w:cs="Arial" w:eastAsia="Arial" w:hAnsi="Arial"/>
                <w:sz w:val="12"/>
                <w:szCs w:val="12"/>
                <w:b w:val="1"/>
                <w:bCs w:val="1"/>
                <w:color w:val="auto"/>
              </w:rPr>
              <w:t>—</w:t>
            </w:r>
          </w:p>
        </w:tc>
        <w:tc>
          <w:tcPr>
            <w:tcW w:w="860" w:type="dxa"/>
            <w:vAlign w:val="bottom"/>
          </w:tcPr>
          <w:p>
            <w:pPr>
              <w:jc w:val="right"/>
              <w:ind w:right="23"/>
              <w:spacing w:after="0"/>
              <w:rPr>
                <w:sz w:val="20"/>
                <w:szCs w:val="20"/>
                <w:color w:val="auto"/>
              </w:rPr>
            </w:pPr>
            <w:r>
              <w:rPr>
                <w:rFonts w:ascii="Arial" w:cs="Arial" w:eastAsia="Arial" w:hAnsi="Arial"/>
                <w:sz w:val="12"/>
                <w:szCs w:val="12"/>
                <w:b w:val="1"/>
                <w:bCs w:val="1"/>
                <w:color w:val="auto"/>
              </w:rPr>
              <w:t>(44,605)</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(44,605)</w:t>
            </w:r>
          </w:p>
        </w:tc>
        <w:tc>
          <w:tcPr>
            <w:tcW w:w="860" w:type="dxa"/>
            <w:vAlign w:val="bottom"/>
          </w:tcPr>
          <w:p>
            <w:pPr>
              <w:jc w:val="right"/>
              <w:ind w:right="42"/>
              <w:spacing w:after="0"/>
              <w:rPr>
                <w:sz w:val="20"/>
                <w:szCs w:val="20"/>
                <w:color w:val="auto"/>
              </w:rPr>
            </w:pPr>
            <w:r>
              <w:rPr>
                <w:rFonts w:ascii="Arial" w:cs="Arial" w:eastAsia="Arial" w:hAnsi="Arial"/>
                <w:sz w:val="12"/>
                <w:szCs w:val="12"/>
                <w:b w:val="1"/>
                <w:bCs w:val="1"/>
                <w:color w:val="auto"/>
              </w:rPr>
              <w:t>(176)</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(44,781)</w:t>
            </w:r>
          </w:p>
        </w:tc>
        <w:tc>
          <w:tcPr>
            <w:tcW w:w="0" w:type="dxa"/>
            <w:vAlign w:val="bottom"/>
          </w:tcPr>
          <w:p>
            <w:pPr>
              <w:spacing w:after="0"/>
              <w:rPr>
                <w:sz w:val="1"/>
                <w:szCs w:val="1"/>
                <w:color w:val="auto"/>
              </w:rPr>
            </w:pPr>
          </w:p>
        </w:tc>
      </w:tr>
      <w:tr>
        <w:trPr>
          <w:trHeight w:val="183"/>
        </w:trPr>
        <w:tc>
          <w:tcPr>
            <w:tcW w:w="1560" w:type="dxa"/>
            <w:vAlign w:val="bottom"/>
          </w:tcPr>
          <w:p>
            <w:pPr>
              <w:ind w:left="20"/>
              <w:spacing w:after="0"/>
              <w:rPr>
                <w:sz w:val="20"/>
                <w:szCs w:val="20"/>
                <w:color w:val="auto"/>
              </w:rPr>
            </w:pPr>
            <w:r>
              <w:rPr>
                <w:rFonts w:ascii="Arial" w:cs="Arial" w:eastAsia="Arial" w:hAnsi="Arial"/>
                <w:sz w:val="12"/>
                <w:szCs w:val="12"/>
                <w:color w:val="auto"/>
              </w:rPr>
              <w:t>Exercise of stock options</w:t>
            </w:r>
          </w:p>
        </w:tc>
        <w:tc>
          <w:tcPr>
            <w:tcW w:w="380" w:type="dxa"/>
            <w:vAlign w:val="bottom"/>
          </w:tcPr>
          <w:p>
            <w:pPr>
              <w:spacing w:after="0"/>
              <w:rPr>
                <w:sz w:val="15"/>
                <w:szCs w:val="15"/>
                <w:color w:val="auto"/>
              </w:rPr>
            </w:pPr>
          </w:p>
        </w:tc>
        <w:tc>
          <w:tcPr>
            <w:tcW w:w="10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183964"/>
              </w:rPr>
              <w:t>65,000</w:t>
            </w:r>
          </w:p>
        </w:tc>
        <w:tc>
          <w:tcPr>
            <w:tcW w:w="560" w:type="dxa"/>
            <w:vAlign w:val="bottom"/>
          </w:tcPr>
          <w:p>
            <w:pPr>
              <w:jc w:val="right"/>
              <w:ind w:right="2"/>
              <w:spacing w:after="0"/>
              <w:rPr>
                <w:sz w:val="20"/>
                <w:szCs w:val="20"/>
                <w:color w:val="auto"/>
              </w:rPr>
            </w:pPr>
            <w:r>
              <w:rPr>
                <w:rFonts w:ascii="Arial" w:cs="Arial" w:eastAsia="Arial" w:hAnsi="Arial"/>
                <w:sz w:val="12"/>
                <w:szCs w:val="12"/>
                <w:color w:val="183964"/>
              </w:rPr>
              <w:t>164</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8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660" w:type="dxa"/>
            <w:vAlign w:val="bottom"/>
          </w:tcPr>
          <w:p>
            <w:pPr>
              <w:jc w:val="right"/>
              <w:ind w:right="82"/>
              <w:spacing w:after="0"/>
              <w:rPr>
                <w:sz w:val="20"/>
                <w:szCs w:val="20"/>
                <w:color w:val="auto"/>
              </w:rPr>
            </w:pPr>
            <w:r>
              <w:rPr>
                <w:rFonts w:ascii="Arial" w:cs="Arial" w:eastAsia="Arial" w:hAnsi="Arial"/>
                <w:sz w:val="12"/>
                <w:szCs w:val="12"/>
                <w:color w:val="183964"/>
              </w:rPr>
              <w:t>(58)</w:t>
            </w:r>
          </w:p>
        </w:tc>
        <w:tc>
          <w:tcPr>
            <w:tcW w:w="860" w:type="dxa"/>
            <w:vAlign w:val="bottom"/>
          </w:tcPr>
          <w:p>
            <w:pPr>
              <w:jc w:val="right"/>
              <w:ind w:right="63"/>
              <w:spacing w:after="0"/>
              <w:rPr>
                <w:sz w:val="20"/>
                <w:szCs w:val="20"/>
                <w:color w:val="auto"/>
              </w:rPr>
            </w:pPr>
            <w:r>
              <w:rPr>
                <w:rFonts w:ascii="Arial" w:cs="Arial" w:eastAsia="Arial" w:hAnsi="Arial"/>
                <w:sz w:val="12"/>
                <w:szCs w:val="12"/>
                <w:color w:val="183964"/>
              </w:rPr>
              <w:t>—</w:t>
            </w:r>
          </w:p>
        </w:tc>
        <w:tc>
          <w:tcPr>
            <w:tcW w:w="700" w:type="dxa"/>
            <w:vAlign w:val="bottom"/>
          </w:tcPr>
          <w:p>
            <w:pPr>
              <w:jc w:val="right"/>
              <w:ind w:right="22"/>
              <w:spacing w:after="0"/>
              <w:rPr>
                <w:sz w:val="20"/>
                <w:szCs w:val="20"/>
                <w:color w:val="auto"/>
              </w:rPr>
            </w:pPr>
            <w:r>
              <w:rPr>
                <w:rFonts w:ascii="Arial" w:cs="Arial" w:eastAsia="Arial" w:hAnsi="Arial"/>
                <w:sz w:val="12"/>
                <w:szCs w:val="12"/>
                <w:color w:val="183964"/>
              </w:rPr>
              <w:t>106</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620" w:type="dxa"/>
            <w:vAlign w:val="bottom"/>
          </w:tcPr>
          <w:p>
            <w:pPr>
              <w:jc w:val="right"/>
              <w:ind w:right="2"/>
              <w:spacing w:after="0"/>
              <w:rPr>
                <w:sz w:val="20"/>
                <w:szCs w:val="20"/>
                <w:color w:val="auto"/>
              </w:rPr>
            </w:pPr>
            <w:r>
              <w:rPr>
                <w:rFonts w:ascii="Arial" w:cs="Arial" w:eastAsia="Arial" w:hAnsi="Arial"/>
                <w:sz w:val="12"/>
                <w:szCs w:val="12"/>
                <w:color w:val="183964"/>
              </w:rPr>
              <w:t>106</w:t>
            </w:r>
          </w:p>
        </w:tc>
        <w:tc>
          <w:tcPr>
            <w:tcW w:w="0" w:type="dxa"/>
            <w:vAlign w:val="bottom"/>
          </w:tcPr>
          <w:p>
            <w:pPr>
              <w:spacing w:after="0"/>
              <w:rPr>
                <w:sz w:val="1"/>
                <w:szCs w:val="1"/>
                <w:color w:val="auto"/>
              </w:rPr>
            </w:pPr>
          </w:p>
        </w:tc>
      </w:tr>
      <w:tr>
        <w:trPr>
          <w:trHeight w:val="172"/>
        </w:trPr>
        <w:tc>
          <w:tcPr>
            <w:tcW w:w="1560" w:type="dxa"/>
            <w:vAlign w:val="bottom"/>
          </w:tcPr>
          <w:p>
            <w:pPr>
              <w:ind w:left="20"/>
              <w:spacing w:after="0"/>
              <w:rPr>
                <w:sz w:val="20"/>
                <w:szCs w:val="20"/>
                <w:color w:val="auto"/>
              </w:rPr>
            </w:pPr>
            <w:r>
              <w:rPr>
                <w:rFonts w:ascii="Arial" w:cs="Arial" w:eastAsia="Arial" w:hAnsi="Arial"/>
                <w:sz w:val="12"/>
                <w:szCs w:val="12"/>
                <w:color w:val="auto"/>
              </w:rPr>
              <w:t>Equity-settled share-based</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560" w:type="dxa"/>
            <w:vAlign w:val="bottom"/>
          </w:tcPr>
          <w:p>
            <w:pPr>
              <w:ind w:left="20"/>
              <w:spacing w:after="0"/>
              <w:rPr>
                <w:sz w:val="20"/>
                <w:szCs w:val="20"/>
                <w:color w:val="auto"/>
              </w:rPr>
            </w:pPr>
            <w:r>
              <w:rPr>
                <w:rFonts w:ascii="Arial" w:cs="Arial" w:eastAsia="Arial" w:hAnsi="Arial"/>
                <w:sz w:val="12"/>
                <w:szCs w:val="12"/>
                <w:color w:val="auto"/>
              </w:rPr>
              <w:t>awards expense</w:t>
            </w:r>
          </w:p>
        </w:tc>
        <w:tc>
          <w:tcPr>
            <w:tcW w:w="380" w:type="dxa"/>
            <w:vAlign w:val="bottom"/>
          </w:tcPr>
          <w:p>
            <w:pPr>
              <w:jc w:val="right"/>
              <w:spacing w:after="0"/>
              <w:rPr>
                <w:sz w:val="20"/>
                <w:szCs w:val="20"/>
                <w:color w:val="auto"/>
              </w:rPr>
            </w:pPr>
            <w:r>
              <w:rPr>
                <w:rFonts w:ascii="Arial" w:cs="Arial" w:eastAsia="Arial" w:hAnsi="Arial"/>
                <w:sz w:val="12"/>
                <w:szCs w:val="12"/>
                <w:color w:val="183964"/>
              </w:rPr>
              <w:t>7</w:t>
            </w:r>
          </w:p>
        </w:tc>
        <w:tc>
          <w:tcPr>
            <w:tcW w:w="10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183964"/>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8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660" w:type="dxa"/>
            <w:vAlign w:val="bottom"/>
          </w:tcPr>
          <w:p>
            <w:pPr>
              <w:jc w:val="right"/>
              <w:ind w:right="102"/>
              <w:spacing w:after="0"/>
              <w:rPr>
                <w:sz w:val="20"/>
                <w:szCs w:val="20"/>
                <w:color w:val="auto"/>
              </w:rPr>
            </w:pPr>
            <w:r>
              <w:rPr>
                <w:rFonts w:ascii="Arial" w:cs="Arial" w:eastAsia="Arial" w:hAnsi="Arial"/>
                <w:sz w:val="12"/>
                <w:szCs w:val="12"/>
                <w:color w:val="183964"/>
              </w:rPr>
              <w:t>4,340</w:t>
            </w:r>
          </w:p>
        </w:tc>
        <w:tc>
          <w:tcPr>
            <w:tcW w:w="860" w:type="dxa"/>
            <w:vAlign w:val="bottom"/>
          </w:tcPr>
          <w:p>
            <w:pPr>
              <w:jc w:val="right"/>
              <w:ind w:right="63"/>
              <w:spacing w:after="0"/>
              <w:rPr>
                <w:sz w:val="20"/>
                <w:szCs w:val="20"/>
                <w:color w:val="auto"/>
              </w:rPr>
            </w:pPr>
            <w:r>
              <w:rPr>
                <w:rFonts w:ascii="Arial" w:cs="Arial" w:eastAsia="Arial" w:hAnsi="Arial"/>
                <w:sz w:val="12"/>
                <w:szCs w:val="12"/>
                <w:color w:val="183964"/>
              </w:rPr>
              <w:t>—</w:t>
            </w:r>
          </w:p>
        </w:tc>
        <w:tc>
          <w:tcPr>
            <w:tcW w:w="700" w:type="dxa"/>
            <w:vAlign w:val="bottom"/>
          </w:tcPr>
          <w:p>
            <w:pPr>
              <w:jc w:val="right"/>
              <w:ind w:right="22"/>
              <w:spacing w:after="0"/>
              <w:rPr>
                <w:sz w:val="20"/>
                <w:szCs w:val="20"/>
                <w:color w:val="auto"/>
              </w:rPr>
            </w:pPr>
            <w:r>
              <w:rPr>
                <w:rFonts w:ascii="Arial" w:cs="Arial" w:eastAsia="Arial" w:hAnsi="Arial"/>
                <w:sz w:val="12"/>
                <w:szCs w:val="12"/>
                <w:color w:val="183964"/>
              </w:rPr>
              <w:t>4,340</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620" w:type="dxa"/>
            <w:vAlign w:val="bottom"/>
          </w:tcPr>
          <w:p>
            <w:pPr>
              <w:jc w:val="right"/>
              <w:ind w:right="2"/>
              <w:spacing w:after="0"/>
              <w:rPr>
                <w:sz w:val="20"/>
                <w:szCs w:val="20"/>
                <w:color w:val="auto"/>
              </w:rPr>
            </w:pPr>
            <w:r>
              <w:rPr>
                <w:rFonts w:ascii="Arial" w:cs="Arial" w:eastAsia="Arial" w:hAnsi="Arial"/>
                <w:sz w:val="12"/>
                <w:szCs w:val="12"/>
                <w:color w:val="183964"/>
              </w:rPr>
              <w:t>4,340</w:t>
            </w:r>
          </w:p>
        </w:tc>
        <w:tc>
          <w:tcPr>
            <w:tcW w:w="0" w:type="dxa"/>
            <w:vAlign w:val="bottom"/>
          </w:tcPr>
          <w:p>
            <w:pPr>
              <w:spacing w:after="0"/>
              <w:rPr>
                <w:sz w:val="1"/>
                <w:szCs w:val="1"/>
                <w:color w:val="auto"/>
              </w:rPr>
            </w:pPr>
          </w:p>
        </w:tc>
      </w:tr>
      <w:tr>
        <w:trPr>
          <w:trHeight w:val="172"/>
        </w:trPr>
        <w:tc>
          <w:tcPr>
            <w:tcW w:w="1560" w:type="dxa"/>
            <w:vAlign w:val="bottom"/>
          </w:tcPr>
          <w:p>
            <w:pPr>
              <w:ind w:left="20"/>
              <w:spacing w:after="0"/>
              <w:rPr>
                <w:sz w:val="20"/>
                <w:szCs w:val="20"/>
                <w:color w:val="auto"/>
              </w:rPr>
            </w:pPr>
            <w:r>
              <w:rPr>
                <w:rFonts w:ascii="Arial" w:cs="Arial" w:eastAsia="Arial" w:hAnsi="Arial"/>
                <w:sz w:val="12"/>
                <w:szCs w:val="12"/>
                <w:color w:val="auto"/>
              </w:rPr>
              <w:t>Settlement of restricted</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560" w:type="dxa"/>
            <w:vAlign w:val="bottom"/>
          </w:tcPr>
          <w:p>
            <w:pPr>
              <w:ind w:left="20"/>
              <w:spacing w:after="0"/>
              <w:rPr>
                <w:sz w:val="20"/>
                <w:szCs w:val="20"/>
                <w:color w:val="auto"/>
              </w:rPr>
            </w:pPr>
            <w:r>
              <w:rPr>
                <w:rFonts w:ascii="Arial" w:cs="Arial" w:eastAsia="Arial" w:hAnsi="Arial"/>
                <w:sz w:val="12"/>
                <w:szCs w:val="12"/>
                <w:color w:val="auto"/>
              </w:rPr>
              <w:t>stock units</w:t>
            </w:r>
          </w:p>
        </w:tc>
        <w:tc>
          <w:tcPr>
            <w:tcW w:w="380" w:type="dxa"/>
            <w:vAlign w:val="bottom"/>
          </w:tcPr>
          <w:p>
            <w:pPr>
              <w:jc w:val="right"/>
              <w:spacing w:after="0"/>
              <w:rPr>
                <w:sz w:val="20"/>
                <w:szCs w:val="20"/>
                <w:color w:val="auto"/>
              </w:rPr>
            </w:pPr>
            <w:r>
              <w:rPr>
                <w:rFonts w:ascii="Arial" w:cs="Arial" w:eastAsia="Arial" w:hAnsi="Arial"/>
                <w:sz w:val="12"/>
                <w:szCs w:val="12"/>
                <w:color w:val="183964"/>
              </w:rPr>
              <w:t>7</w:t>
            </w:r>
          </w:p>
        </w:tc>
        <w:tc>
          <w:tcPr>
            <w:tcW w:w="10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183964"/>
              </w:rPr>
              <w:t>768,137</w:t>
            </w:r>
          </w:p>
        </w:tc>
        <w:tc>
          <w:tcPr>
            <w:tcW w:w="560" w:type="dxa"/>
            <w:vAlign w:val="bottom"/>
          </w:tcPr>
          <w:p>
            <w:pPr>
              <w:jc w:val="right"/>
              <w:ind w:right="2"/>
              <w:spacing w:after="0"/>
              <w:rPr>
                <w:sz w:val="20"/>
                <w:szCs w:val="20"/>
                <w:color w:val="auto"/>
              </w:rPr>
            </w:pPr>
            <w:r>
              <w:rPr>
                <w:rFonts w:ascii="Arial" w:cs="Arial" w:eastAsia="Arial" w:hAnsi="Arial"/>
                <w:sz w:val="12"/>
                <w:szCs w:val="12"/>
                <w:color w:val="183964"/>
              </w:rPr>
              <w:t>1,938</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8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660" w:type="dxa"/>
            <w:vAlign w:val="bottom"/>
          </w:tcPr>
          <w:p>
            <w:pPr>
              <w:jc w:val="right"/>
              <w:ind w:right="82"/>
              <w:spacing w:after="0"/>
              <w:rPr>
                <w:sz w:val="20"/>
                <w:szCs w:val="20"/>
                <w:color w:val="auto"/>
              </w:rPr>
            </w:pPr>
            <w:r>
              <w:rPr>
                <w:rFonts w:ascii="Arial" w:cs="Arial" w:eastAsia="Arial" w:hAnsi="Arial"/>
                <w:sz w:val="12"/>
                <w:szCs w:val="12"/>
                <w:color w:val="183964"/>
              </w:rPr>
              <w:t>(534)</w:t>
            </w:r>
          </w:p>
        </w:tc>
        <w:tc>
          <w:tcPr>
            <w:tcW w:w="860" w:type="dxa"/>
            <w:vAlign w:val="bottom"/>
          </w:tcPr>
          <w:p>
            <w:pPr>
              <w:jc w:val="right"/>
              <w:ind w:right="63"/>
              <w:spacing w:after="0"/>
              <w:rPr>
                <w:sz w:val="20"/>
                <w:szCs w:val="20"/>
                <w:color w:val="auto"/>
              </w:rPr>
            </w:pPr>
            <w:r>
              <w:rPr>
                <w:rFonts w:ascii="Arial" w:cs="Arial" w:eastAsia="Arial" w:hAnsi="Arial"/>
                <w:sz w:val="12"/>
                <w:szCs w:val="12"/>
                <w:color w:val="183964"/>
              </w:rPr>
              <w:t>—</w:t>
            </w:r>
          </w:p>
        </w:tc>
        <w:tc>
          <w:tcPr>
            <w:tcW w:w="700" w:type="dxa"/>
            <w:vAlign w:val="bottom"/>
          </w:tcPr>
          <w:p>
            <w:pPr>
              <w:jc w:val="right"/>
              <w:ind w:right="22"/>
              <w:spacing w:after="0"/>
              <w:rPr>
                <w:sz w:val="20"/>
                <w:szCs w:val="20"/>
                <w:color w:val="auto"/>
              </w:rPr>
            </w:pPr>
            <w:r>
              <w:rPr>
                <w:rFonts w:ascii="Arial" w:cs="Arial" w:eastAsia="Arial" w:hAnsi="Arial"/>
                <w:sz w:val="12"/>
                <w:szCs w:val="12"/>
                <w:color w:val="183964"/>
              </w:rPr>
              <w:t>1,404</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620" w:type="dxa"/>
            <w:vAlign w:val="bottom"/>
          </w:tcPr>
          <w:p>
            <w:pPr>
              <w:jc w:val="right"/>
              <w:ind w:right="2"/>
              <w:spacing w:after="0"/>
              <w:rPr>
                <w:sz w:val="20"/>
                <w:szCs w:val="20"/>
                <w:color w:val="auto"/>
              </w:rPr>
            </w:pPr>
            <w:r>
              <w:rPr>
                <w:rFonts w:ascii="Arial" w:cs="Arial" w:eastAsia="Arial" w:hAnsi="Arial"/>
                <w:sz w:val="12"/>
                <w:szCs w:val="12"/>
                <w:color w:val="183964"/>
              </w:rPr>
              <w:t>1,404</w:t>
            </w:r>
          </w:p>
        </w:tc>
        <w:tc>
          <w:tcPr>
            <w:tcW w:w="0" w:type="dxa"/>
            <w:vAlign w:val="bottom"/>
          </w:tcPr>
          <w:p>
            <w:pPr>
              <w:spacing w:after="0"/>
              <w:rPr>
                <w:sz w:val="1"/>
                <w:szCs w:val="1"/>
                <w:color w:val="auto"/>
              </w:rPr>
            </w:pPr>
          </w:p>
        </w:tc>
      </w:tr>
      <w:tr>
        <w:trPr>
          <w:trHeight w:val="200"/>
        </w:trPr>
        <w:tc>
          <w:tcPr>
            <w:tcW w:w="1560" w:type="dxa"/>
            <w:vAlign w:val="bottom"/>
            <w:tcBorders>
              <w:bottom w:val="single" w:sz="8" w:color="183964"/>
            </w:tcBorders>
          </w:tcPr>
          <w:p>
            <w:pPr>
              <w:ind w:left="20"/>
              <w:spacing w:after="0"/>
              <w:rPr>
                <w:sz w:val="20"/>
                <w:szCs w:val="20"/>
                <w:color w:val="auto"/>
              </w:rPr>
            </w:pPr>
            <w:r>
              <w:rPr>
                <w:rFonts w:ascii="Arial" w:cs="Arial" w:eastAsia="Arial" w:hAnsi="Arial"/>
                <w:sz w:val="12"/>
                <w:szCs w:val="12"/>
                <w:color w:val="auto"/>
              </w:rPr>
              <w:t>Other</w:t>
            </w:r>
          </w:p>
        </w:tc>
        <w:tc>
          <w:tcPr>
            <w:tcW w:w="380" w:type="dxa"/>
            <w:vAlign w:val="bottom"/>
            <w:tcBorders>
              <w:bottom w:val="single" w:sz="8" w:color="183964"/>
            </w:tcBorders>
          </w:tcPr>
          <w:p>
            <w:pPr>
              <w:spacing w:after="0"/>
              <w:rPr>
                <w:sz w:val="17"/>
                <w:szCs w:val="17"/>
                <w:color w:val="auto"/>
              </w:rPr>
            </w:pPr>
          </w:p>
        </w:tc>
        <w:tc>
          <w:tcPr>
            <w:tcW w:w="1060" w:type="dxa"/>
            <w:vAlign w:val="bottom"/>
            <w:tcBorders>
              <w:bottom w:val="single" w:sz="8" w:color="183964"/>
            </w:tcBorders>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Borders>
              <w:bottom w:val="single" w:sz="8" w:color="183964"/>
            </w:tcBorders>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Borders>
              <w:bottom w:val="single" w:sz="8" w:color="183964"/>
            </w:tcBorders>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Borders>
              <w:bottom w:val="single" w:sz="8" w:color="183964"/>
            </w:tcBorders>
          </w:tcPr>
          <w:p>
            <w:pPr>
              <w:jc w:val="right"/>
              <w:ind w:right="82"/>
              <w:spacing w:after="0"/>
              <w:rPr>
                <w:sz w:val="20"/>
                <w:szCs w:val="20"/>
                <w:color w:val="auto"/>
              </w:rPr>
            </w:pPr>
            <w:r>
              <w:rPr>
                <w:rFonts w:ascii="Arial" w:cs="Arial" w:eastAsia="Arial" w:hAnsi="Arial"/>
                <w:sz w:val="12"/>
                <w:szCs w:val="12"/>
                <w:color w:val="183964"/>
              </w:rPr>
              <w:t>—</w:t>
            </w:r>
          </w:p>
        </w:tc>
        <w:tc>
          <w:tcPr>
            <w:tcW w:w="560" w:type="dxa"/>
            <w:vAlign w:val="bottom"/>
            <w:tcBorders>
              <w:bottom w:val="single" w:sz="8" w:color="183964"/>
            </w:tcBorders>
          </w:tcPr>
          <w:p>
            <w:pPr>
              <w:jc w:val="right"/>
              <w:ind w:right="2"/>
              <w:spacing w:after="0"/>
              <w:rPr>
                <w:sz w:val="20"/>
                <w:szCs w:val="20"/>
                <w:color w:val="auto"/>
              </w:rPr>
            </w:pPr>
            <w:r>
              <w:rPr>
                <w:rFonts w:ascii="Arial" w:cs="Arial" w:eastAsia="Arial" w:hAnsi="Arial"/>
                <w:sz w:val="12"/>
                <w:szCs w:val="12"/>
                <w:color w:val="183964"/>
              </w:rPr>
              <w:t>1</w:t>
            </w:r>
          </w:p>
        </w:tc>
        <w:tc>
          <w:tcPr>
            <w:tcW w:w="840" w:type="dxa"/>
            <w:vAlign w:val="bottom"/>
            <w:tcBorders>
              <w:bottom w:val="single" w:sz="8" w:color="183964"/>
            </w:tcBorders>
          </w:tcPr>
          <w:p>
            <w:pPr>
              <w:jc w:val="right"/>
              <w:ind w:right="122"/>
              <w:spacing w:after="0"/>
              <w:rPr>
                <w:sz w:val="20"/>
                <w:szCs w:val="20"/>
                <w:color w:val="auto"/>
              </w:rPr>
            </w:pPr>
            <w:r>
              <w:rPr>
                <w:rFonts w:ascii="Arial" w:cs="Arial" w:eastAsia="Arial" w:hAnsi="Arial"/>
                <w:sz w:val="12"/>
                <w:szCs w:val="12"/>
                <w:color w:val="183964"/>
              </w:rPr>
              <w:t>—</w:t>
            </w:r>
          </w:p>
        </w:tc>
        <w:tc>
          <w:tcPr>
            <w:tcW w:w="780" w:type="dxa"/>
            <w:vAlign w:val="bottom"/>
            <w:tcBorders>
              <w:bottom w:val="single" w:sz="8" w:color="183964"/>
            </w:tcBorders>
          </w:tcPr>
          <w:p>
            <w:pPr>
              <w:jc w:val="right"/>
              <w:ind w:right="122"/>
              <w:spacing w:after="0"/>
              <w:rPr>
                <w:sz w:val="20"/>
                <w:szCs w:val="20"/>
                <w:color w:val="auto"/>
              </w:rPr>
            </w:pPr>
            <w:r>
              <w:rPr>
                <w:rFonts w:ascii="Arial" w:cs="Arial" w:eastAsia="Arial" w:hAnsi="Arial"/>
                <w:sz w:val="12"/>
                <w:szCs w:val="12"/>
                <w:color w:val="183964"/>
              </w:rPr>
              <w:t>—</w:t>
            </w:r>
          </w:p>
        </w:tc>
        <w:tc>
          <w:tcPr>
            <w:tcW w:w="660" w:type="dxa"/>
            <w:vAlign w:val="bottom"/>
            <w:tcBorders>
              <w:bottom w:val="single" w:sz="8" w:color="183964"/>
            </w:tcBorders>
          </w:tcPr>
          <w:p>
            <w:pPr>
              <w:jc w:val="right"/>
              <w:ind w:right="102"/>
              <w:spacing w:after="0"/>
              <w:rPr>
                <w:sz w:val="20"/>
                <w:szCs w:val="20"/>
                <w:color w:val="auto"/>
              </w:rPr>
            </w:pPr>
            <w:r>
              <w:rPr>
                <w:rFonts w:ascii="Arial" w:cs="Arial" w:eastAsia="Arial" w:hAnsi="Arial"/>
                <w:sz w:val="12"/>
                <w:szCs w:val="12"/>
                <w:color w:val="183964"/>
              </w:rPr>
              <w:t>—</w:t>
            </w:r>
          </w:p>
        </w:tc>
        <w:tc>
          <w:tcPr>
            <w:tcW w:w="860" w:type="dxa"/>
            <w:vAlign w:val="bottom"/>
            <w:tcBorders>
              <w:bottom w:val="single" w:sz="8" w:color="183964"/>
            </w:tcBorders>
          </w:tcPr>
          <w:p>
            <w:pPr>
              <w:jc w:val="right"/>
              <w:ind w:right="63"/>
              <w:spacing w:after="0"/>
              <w:rPr>
                <w:sz w:val="20"/>
                <w:szCs w:val="20"/>
                <w:color w:val="auto"/>
              </w:rPr>
            </w:pPr>
            <w:r>
              <w:rPr>
                <w:rFonts w:ascii="Arial" w:cs="Arial" w:eastAsia="Arial" w:hAnsi="Arial"/>
                <w:sz w:val="12"/>
                <w:szCs w:val="12"/>
                <w:color w:val="183964"/>
              </w:rPr>
              <w:t>22</w:t>
            </w:r>
          </w:p>
        </w:tc>
        <w:tc>
          <w:tcPr>
            <w:tcW w:w="700" w:type="dxa"/>
            <w:vAlign w:val="bottom"/>
            <w:tcBorders>
              <w:bottom w:val="single" w:sz="8" w:color="183964"/>
            </w:tcBorders>
          </w:tcPr>
          <w:p>
            <w:pPr>
              <w:jc w:val="right"/>
              <w:ind w:right="22"/>
              <w:spacing w:after="0"/>
              <w:rPr>
                <w:sz w:val="20"/>
                <w:szCs w:val="20"/>
                <w:color w:val="auto"/>
              </w:rPr>
            </w:pPr>
            <w:r>
              <w:rPr>
                <w:rFonts w:ascii="Arial" w:cs="Arial" w:eastAsia="Arial" w:hAnsi="Arial"/>
                <w:sz w:val="12"/>
                <w:szCs w:val="12"/>
                <w:color w:val="183964"/>
              </w:rPr>
              <w:t>23</w:t>
            </w:r>
          </w:p>
        </w:tc>
        <w:tc>
          <w:tcPr>
            <w:tcW w:w="860" w:type="dxa"/>
            <w:vAlign w:val="bottom"/>
            <w:tcBorders>
              <w:bottom w:val="single" w:sz="8" w:color="183964"/>
            </w:tcBorders>
          </w:tcPr>
          <w:p>
            <w:pPr>
              <w:jc w:val="right"/>
              <w:ind w:right="62"/>
              <w:spacing w:after="0"/>
              <w:rPr>
                <w:sz w:val="20"/>
                <w:szCs w:val="20"/>
                <w:color w:val="auto"/>
              </w:rPr>
            </w:pPr>
            <w:r>
              <w:rPr>
                <w:rFonts w:ascii="Arial" w:cs="Arial" w:eastAsia="Arial" w:hAnsi="Arial"/>
                <w:sz w:val="12"/>
                <w:szCs w:val="12"/>
                <w:color w:val="183964"/>
              </w:rPr>
              <w:t>—</w:t>
            </w:r>
          </w:p>
        </w:tc>
        <w:tc>
          <w:tcPr>
            <w:tcW w:w="620" w:type="dxa"/>
            <w:vAlign w:val="bottom"/>
            <w:tcBorders>
              <w:bottom w:val="single" w:sz="8" w:color="183964"/>
            </w:tcBorders>
          </w:tcPr>
          <w:p>
            <w:pPr>
              <w:jc w:val="right"/>
              <w:ind w:right="2"/>
              <w:spacing w:after="0"/>
              <w:rPr>
                <w:sz w:val="20"/>
                <w:szCs w:val="20"/>
                <w:color w:val="auto"/>
              </w:rPr>
            </w:pPr>
            <w:r>
              <w:rPr>
                <w:rFonts w:ascii="Arial" w:cs="Arial" w:eastAsia="Arial" w:hAnsi="Arial"/>
                <w:sz w:val="12"/>
                <w:szCs w:val="12"/>
                <w:color w:val="183964"/>
              </w:rPr>
              <w:t>23</w:t>
            </w:r>
          </w:p>
        </w:tc>
        <w:tc>
          <w:tcPr>
            <w:tcW w:w="0" w:type="dxa"/>
            <w:vAlign w:val="bottom"/>
          </w:tcPr>
          <w:p>
            <w:pPr>
              <w:spacing w:after="0"/>
              <w:rPr>
                <w:sz w:val="1"/>
                <w:szCs w:val="1"/>
                <w:color w:val="auto"/>
              </w:rPr>
            </w:pPr>
          </w:p>
        </w:tc>
      </w:tr>
      <w:tr>
        <w:trPr>
          <w:trHeight w:val="183"/>
        </w:trPr>
        <w:tc>
          <w:tcPr>
            <w:tcW w:w="1560" w:type="dxa"/>
            <w:vAlign w:val="bottom"/>
            <w:tcBorders>
              <w:bottom w:val="single" w:sz="8" w:color="183964"/>
            </w:tcBorders>
          </w:tcPr>
          <w:p>
            <w:pPr>
              <w:ind w:left="20"/>
              <w:spacing w:after="0"/>
              <w:rPr>
                <w:sz w:val="20"/>
                <w:szCs w:val="20"/>
                <w:color w:val="auto"/>
              </w:rPr>
            </w:pPr>
            <w:r>
              <w:rPr>
                <w:rFonts w:ascii="Arial" w:cs="Arial" w:eastAsia="Arial" w:hAnsi="Arial"/>
                <w:sz w:val="12"/>
                <w:szCs w:val="12"/>
                <w:b w:val="1"/>
                <w:bCs w:val="1"/>
                <w:color w:val="auto"/>
              </w:rPr>
              <w:t>Balance June 30, 2025</w:t>
            </w:r>
          </w:p>
        </w:tc>
        <w:tc>
          <w:tcPr>
            <w:tcW w:w="380" w:type="dxa"/>
            <w:vAlign w:val="bottom"/>
            <w:tcBorders>
              <w:bottom w:val="single" w:sz="8" w:color="183964"/>
            </w:tcBorders>
          </w:tcPr>
          <w:p>
            <w:pPr>
              <w:spacing w:after="0"/>
              <w:rPr>
                <w:sz w:val="15"/>
                <w:szCs w:val="15"/>
                <w:color w:val="auto"/>
              </w:rPr>
            </w:pPr>
          </w:p>
        </w:tc>
        <w:tc>
          <w:tcPr>
            <w:tcW w:w="1060" w:type="dxa"/>
            <w:vAlign w:val="bottom"/>
            <w:tcBorders>
              <w:bottom w:val="single" w:sz="8" w:color="183964"/>
            </w:tcBorders>
          </w:tcPr>
          <w:p>
            <w:pPr>
              <w:jc w:val="right"/>
              <w:ind w:right="102"/>
              <w:spacing w:after="0"/>
              <w:rPr>
                <w:sz w:val="20"/>
                <w:szCs w:val="20"/>
                <w:color w:val="auto"/>
              </w:rPr>
            </w:pPr>
            <w:r>
              <w:rPr>
                <w:rFonts w:ascii="Arial" w:cs="Arial" w:eastAsia="Arial" w:hAnsi="Arial"/>
                <w:sz w:val="12"/>
                <w:szCs w:val="12"/>
                <w:b w:val="1"/>
                <w:bCs w:val="1"/>
                <w:color w:val="auto"/>
              </w:rPr>
              <w:t>257,927,489</w:t>
            </w:r>
          </w:p>
        </w:tc>
        <w:tc>
          <w:tcPr>
            <w:tcW w:w="540" w:type="dxa"/>
            <w:vAlign w:val="bottom"/>
            <w:tcBorders>
              <w:bottom w:val="single" w:sz="8" w:color="183964"/>
            </w:tcBorders>
          </w:tcPr>
          <w:p>
            <w:pPr>
              <w:jc w:val="right"/>
              <w:ind w:right="2"/>
              <w:spacing w:after="0"/>
              <w:rPr>
                <w:sz w:val="20"/>
                <w:szCs w:val="20"/>
                <w:color w:val="auto"/>
              </w:rPr>
            </w:pPr>
            <w:r>
              <w:rPr>
                <w:rFonts w:ascii="Arial" w:cs="Arial" w:eastAsia="Arial" w:hAnsi="Arial"/>
                <w:sz w:val="12"/>
                <w:szCs w:val="12"/>
                <w:b w:val="1"/>
                <w:bCs w:val="1"/>
                <w:color w:val="auto"/>
              </w:rPr>
              <w:t>4,860</w:t>
            </w:r>
          </w:p>
        </w:tc>
        <w:tc>
          <w:tcPr>
            <w:tcW w:w="680" w:type="dxa"/>
            <w:vAlign w:val="bottom"/>
            <w:tcBorders>
              <w:bottom w:val="single" w:sz="8" w:color="183964"/>
            </w:tcBorders>
          </w:tcPr>
          <w:p>
            <w:pPr>
              <w:jc w:val="right"/>
              <w:ind w:right="2"/>
              <w:spacing w:after="0"/>
              <w:rPr>
                <w:sz w:val="20"/>
                <w:szCs w:val="20"/>
                <w:color w:val="auto"/>
              </w:rPr>
            </w:pPr>
            <w:r>
              <w:rPr>
                <w:rFonts w:ascii="Arial" w:cs="Arial" w:eastAsia="Arial" w:hAnsi="Arial"/>
                <w:sz w:val="12"/>
                <w:szCs w:val="12"/>
                <w:b w:val="1"/>
                <w:bCs w:val="1"/>
                <w:color w:val="auto"/>
              </w:rPr>
              <w:t>290,262</w:t>
            </w:r>
          </w:p>
        </w:tc>
        <w:tc>
          <w:tcPr>
            <w:tcW w:w="1020" w:type="dxa"/>
            <w:vAlign w:val="bottom"/>
            <w:tcBorders>
              <w:bottom w:val="single" w:sz="8" w:color="183964"/>
            </w:tcBorders>
          </w:tcPr>
          <w:p>
            <w:pPr>
              <w:jc w:val="right"/>
              <w:ind w:right="62"/>
              <w:spacing w:after="0"/>
              <w:rPr>
                <w:sz w:val="20"/>
                <w:szCs w:val="20"/>
                <w:color w:val="auto"/>
              </w:rPr>
            </w:pPr>
            <w:r>
              <w:rPr>
                <w:rFonts w:ascii="Arial" w:cs="Arial" w:eastAsia="Arial" w:hAnsi="Arial"/>
                <w:sz w:val="12"/>
                <w:szCs w:val="12"/>
                <w:b w:val="1"/>
                <w:bCs w:val="1"/>
                <w:color w:val="auto"/>
              </w:rPr>
              <w:t>(17,673,040)</w:t>
            </w:r>
          </w:p>
        </w:tc>
        <w:tc>
          <w:tcPr>
            <w:tcW w:w="560" w:type="dxa"/>
            <w:vAlign w:val="bottom"/>
            <w:tcBorders>
              <w:bottom w:val="single" w:sz="8" w:color="183964"/>
            </w:tcBorders>
          </w:tcPr>
          <w:p>
            <w:pPr>
              <w:jc w:val="right"/>
              <w:spacing w:after="0"/>
              <w:rPr>
                <w:sz w:val="20"/>
                <w:szCs w:val="20"/>
                <w:color w:val="auto"/>
              </w:rPr>
            </w:pPr>
            <w:r>
              <w:rPr>
                <w:rFonts w:ascii="Arial" w:cs="Arial" w:eastAsia="Arial" w:hAnsi="Arial"/>
                <w:sz w:val="12"/>
                <w:szCs w:val="12"/>
                <w:b w:val="1"/>
                <w:bCs w:val="1"/>
                <w:color w:val="auto"/>
              </w:rPr>
              <w:t>(44,761)</w:t>
            </w:r>
          </w:p>
        </w:tc>
        <w:tc>
          <w:tcPr>
            <w:tcW w:w="840" w:type="dxa"/>
            <w:vAlign w:val="bottom"/>
            <w:tcBorders>
              <w:bottom w:val="single" w:sz="8" w:color="183964"/>
            </w:tcBorders>
          </w:tcPr>
          <w:p>
            <w:pPr>
              <w:jc w:val="right"/>
              <w:ind w:right="122"/>
              <w:spacing w:after="0"/>
              <w:rPr>
                <w:sz w:val="20"/>
                <w:szCs w:val="20"/>
                <w:color w:val="auto"/>
              </w:rPr>
            </w:pPr>
            <w:r>
              <w:rPr>
                <w:rFonts w:ascii="Arial" w:cs="Arial" w:eastAsia="Arial" w:hAnsi="Arial"/>
                <w:sz w:val="12"/>
                <w:szCs w:val="12"/>
                <w:b w:val="1"/>
                <w:bCs w:val="1"/>
                <w:color w:val="auto"/>
              </w:rPr>
              <w:t>138,506</w:t>
            </w:r>
          </w:p>
        </w:tc>
        <w:tc>
          <w:tcPr>
            <w:tcW w:w="780" w:type="dxa"/>
            <w:vAlign w:val="bottom"/>
            <w:tcBorders>
              <w:bottom w:val="single" w:sz="8" w:color="183964"/>
            </w:tcBorders>
          </w:tcPr>
          <w:p>
            <w:pPr>
              <w:jc w:val="right"/>
              <w:ind w:right="122"/>
              <w:spacing w:after="0"/>
              <w:rPr>
                <w:sz w:val="20"/>
                <w:szCs w:val="20"/>
                <w:color w:val="auto"/>
              </w:rPr>
            </w:pPr>
            <w:r>
              <w:rPr>
                <w:rFonts w:ascii="Arial" w:cs="Arial" w:eastAsia="Arial" w:hAnsi="Arial"/>
                <w:sz w:val="12"/>
                <w:szCs w:val="12"/>
                <w:b w:val="1"/>
                <w:bCs w:val="1"/>
                <w:color w:val="auto"/>
              </w:rPr>
              <w:t>182</w:t>
            </w:r>
          </w:p>
        </w:tc>
        <w:tc>
          <w:tcPr>
            <w:tcW w:w="660" w:type="dxa"/>
            <w:vAlign w:val="bottom"/>
            <w:tcBorders>
              <w:bottom w:val="single" w:sz="8" w:color="183964"/>
            </w:tcBorders>
          </w:tcPr>
          <w:p>
            <w:pPr>
              <w:jc w:val="right"/>
              <w:ind w:right="82"/>
              <w:spacing w:after="0"/>
              <w:rPr>
                <w:sz w:val="20"/>
                <w:szCs w:val="20"/>
                <w:color w:val="auto"/>
              </w:rPr>
            </w:pPr>
            <w:r>
              <w:rPr>
                <w:rFonts w:ascii="Arial" w:cs="Arial" w:eastAsia="Arial" w:hAnsi="Arial"/>
                <w:sz w:val="12"/>
                <w:szCs w:val="12"/>
                <w:b w:val="1"/>
                <w:bCs w:val="1"/>
                <w:color w:val="auto"/>
              </w:rPr>
              <w:t>(978)</w:t>
            </w:r>
          </w:p>
        </w:tc>
        <w:tc>
          <w:tcPr>
            <w:tcW w:w="860" w:type="dxa"/>
            <w:vAlign w:val="bottom"/>
            <w:tcBorders>
              <w:bottom w:val="single" w:sz="8" w:color="183964"/>
            </w:tcBorders>
          </w:tcPr>
          <w:p>
            <w:pPr>
              <w:jc w:val="right"/>
              <w:ind w:right="23"/>
              <w:spacing w:after="0"/>
              <w:rPr>
                <w:sz w:val="20"/>
                <w:szCs w:val="20"/>
                <w:color w:val="auto"/>
              </w:rPr>
            </w:pPr>
            <w:r>
              <w:rPr>
                <w:rFonts w:ascii="Arial" w:cs="Arial" w:eastAsia="Arial" w:hAnsi="Arial"/>
                <w:sz w:val="12"/>
                <w:szCs w:val="12"/>
                <w:b w:val="1"/>
                <w:bCs w:val="1"/>
                <w:color w:val="auto"/>
              </w:rPr>
              <w:t>(12,097)</w:t>
            </w:r>
          </w:p>
        </w:tc>
        <w:tc>
          <w:tcPr>
            <w:tcW w:w="700" w:type="dxa"/>
            <w:vAlign w:val="bottom"/>
            <w:tcBorders>
              <w:bottom w:val="single" w:sz="8" w:color="183964"/>
            </w:tcBorders>
          </w:tcPr>
          <w:p>
            <w:pPr>
              <w:jc w:val="right"/>
              <w:ind w:right="22"/>
              <w:spacing w:after="0"/>
              <w:rPr>
                <w:sz w:val="20"/>
                <w:szCs w:val="20"/>
                <w:color w:val="auto"/>
              </w:rPr>
            </w:pPr>
            <w:r>
              <w:rPr>
                <w:rFonts w:ascii="Arial" w:cs="Arial" w:eastAsia="Arial" w:hAnsi="Arial"/>
                <w:sz w:val="12"/>
                <w:szCs w:val="12"/>
                <w:b w:val="1"/>
                <w:bCs w:val="1"/>
                <w:color w:val="auto"/>
              </w:rPr>
              <w:t>375,975</w:t>
            </w:r>
          </w:p>
        </w:tc>
        <w:tc>
          <w:tcPr>
            <w:tcW w:w="860" w:type="dxa"/>
            <w:vAlign w:val="bottom"/>
            <w:tcBorders>
              <w:bottom w:val="single" w:sz="8" w:color="183964"/>
            </w:tcBorders>
          </w:tcPr>
          <w:p>
            <w:pPr>
              <w:jc w:val="right"/>
              <w:ind w:right="42"/>
              <w:spacing w:after="0"/>
              <w:rPr>
                <w:sz w:val="20"/>
                <w:szCs w:val="20"/>
                <w:color w:val="auto"/>
              </w:rPr>
            </w:pPr>
            <w:r>
              <w:rPr>
                <w:rFonts w:ascii="Arial" w:cs="Arial" w:eastAsia="Arial" w:hAnsi="Arial"/>
                <w:sz w:val="12"/>
                <w:szCs w:val="12"/>
                <w:b w:val="1"/>
                <w:bCs w:val="1"/>
                <w:color w:val="auto"/>
              </w:rPr>
              <w:t>(6,950)</w:t>
            </w:r>
          </w:p>
        </w:tc>
        <w:tc>
          <w:tcPr>
            <w:tcW w:w="620" w:type="dxa"/>
            <w:vAlign w:val="bottom"/>
            <w:tcBorders>
              <w:bottom w:val="single" w:sz="8" w:color="183964"/>
            </w:tcBorders>
          </w:tcPr>
          <w:p>
            <w:pPr>
              <w:jc w:val="right"/>
              <w:ind w:right="2"/>
              <w:spacing w:after="0"/>
              <w:rPr>
                <w:sz w:val="20"/>
                <w:szCs w:val="20"/>
                <w:color w:val="auto"/>
              </w:rPr>
            </w:pPr>
            <w:r>
              <w:rPr>
                <w:rFonts w:ascii="Arial" w:cs="Arial" w:eastAsia="Arial" w:hAnsi="Arial"/>
                <w:sz w:val="12"/>
                <w:szCs w:val="12"/>
                <w:b w:val="1"/>
                <w:bCs w:val="1"/>
                <w:color w:val="auto"/>
              </w:rPr>
              <w:t>369,025</w:t>
            </w: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financial statements.</w:t>
      </w:r>
    </w:p>
    <w:p>
      <w:pPr>
        <w:sectPr>
          <w:pgSz w:w="11900" w:h="16838" w:orient="portrait"/>
          <w:cols w:equalWidth="0" w:num="1">
            <w:col w:w="11120"/>
          </w:cols>
          <w:pgMar w:left="320" w:top="1140" w:right="459" w:bottom="1440" w:gutter="0" w:footer="0" w:header="0"/>
        </w:sectPr>
      </w:pPr>
    </w:p>
    <w:bookmarkStart w:id="24" w:name="page25"/>
    <w:bookmarkEnd w:id="24"/>
    <w:p>
      <w:pPr>
        <w:spacing w:after="0"/>
        <w:rPr>
          <w:sz w:val="20"/>
          <w:szCs w:val="20"/>
          <w:color w:val="auto"/>
        </w:rPr>
      </w:pPr>
      <w:r>
        <w:rPr>
          <w:rFonts w:ascii="Arial" w:cs="Arial" w:eastAsia="Arial" w:hAnsi="Arial"/>
          <w:sz w:val="31"/>
          <w:szCs w:val="31"/>
          <w:b w:val="1"/>
          <w:bCs w:val="1"/>
          <w:color w:val="183964"/>
        </w:rPr>
        <w:t>Condensed Consolidated Statement of Cash Flows (Unaudited)</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183964"/>
        </w:rPr>
        <w:t>For the six months ended June 30</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80" w:type="dxa"/>
            <w:vAlign w:val="bottom"/>
          </w:tcPr>
          <w:p>
            <w:pPr>
              <w:jc w:val="right"/>
              <w:ind w:right="342"/>
              <w:spacing w:after="0"/>
              <w:rPr>
                <w:sz w:val="20"/>
                <w:szCs w:val="20"/>
                <w:color w:val="auto"/>
              </w:rPr>
            </w:pPr>
            <w:r>
              <w:rPr>
                <w:rFonts w:ascii="Arial" w:cs="Arial" w:eastAsia="Arial" w:hAnsi="Arial"/>
                <w:sz w:val="11"/>
                <w:szCs w:val="11"/>
                <w:b w:val="1"/>
                <w:bCs w:val="1"/>
                <w:color w:val="auto"/>
              </w:rPr>
              <w:t>2025</w:t>
            </w:r>
          </w:p>
        </w:tc>
        <w:tc>
          <w:tcPr>
            <w:tcW w:w="920" w:type="dxa"/>
            <w:vAlign w:val="bottom"/>
          </w:tcPr>
          <w:p>
            <w:pPr>
              <w:jc w:val="right"/>
              <w:spacing w:after="0"/>
              <w:rPr>
                <w:sz w:val="20"/>
                <w:szCs w:val="20"/>
                <w:color w:val="auto"/>
              </w:rPr>
            </w:pPr>
            <w:r>
              <w:rPr>
                <w:rFonts w:ascii="Arial" w:cs="Arial" w:eastAsia="Arial" w:hAnsi="Arial"/>
                <w:sz w:val="11"/>
                <w:szCs w:val="11"/>
                <w:color w:val="183964"/>
              </w:rPr>
              <w:t>2024</w:t>
            </w:r>
          </w:p>
        </w:tc>
      </w:tr>
      <w:tr>
        <w:trPr>
          <w:trHeight w:val="148"/>
        </w:trPr>
        <w:tc>
          <w:tcPr>
            <w:tcW w:w="6580" w:type="dxa"/>
            <w:vAlign w:val="bottom"/>
          </w:tcPr>
          <w:p>
            <w:pPr>
              <w:spacing w:after="0"/>
              <w:rPr>
                <w:sz w:val="12"/>
                <w:szCs w:val="12"/>
                <w:color w:val="auto"/>
              </w:rPr>
            </w:pPr>
          </w:p>
        </w:tc>
        <w:tc>
          <w:tcPr>
            <w:tcW w:w="2440" w:type="dxa"/>
            <w:vAlign w:val="bottom"/>
          </w:tcPr>
          <w:p>
            <w:pPr>
              <w:jc w:val="right"/>
              <w:ind w:right="362"/>
              <w:spacing w:after="0"/>
              <w:rPr>
                <w:sz w:val="20"/>
                <w:szCs w:val="20"/>
                <w:color w:val="auto"/>
              </w:rPr>
            </w:pPr>
            <w:r>
              <w:rPr>
                <w:rFonts w:ascii="Arial" w:cs="Arial" w:eastAsia="Arial" w:hAnsi="Arial"/>
                <w:sz w:val="11"/>
                <w:szCs w:val="11"/>
                <w:color w:val="183964"/>
              </w:rPr>
              <w:t>Note</w:t>
            </w:r>
          </w:p>
        </w:tc>
        <w:tc>
          <w:tcPr>
            <w:tcW w:w="1280" w:type="dxa"/>
            <w:vAlign w:val="bottom"/>
          </w:tcPr>
          <w:p>
            <w:pPr>
              <w:jc w:val="right"/>
              <w:ind w:right="342"/>
              <w:spacing w:after="0"/>
              <w:rPr>
                <w:sz w:val="20"/>
                <w:szCs w:val="20"/>
                <w:color w:val="auto"/>
              </w:rPr>
            </w:pPr>
            <w:r>
              <w:rPr>
                <w:rFonts w:ascii="Arial" w:cs="Arial" w:eastAsia="Arial" w:hAnsi="Arial"/>
                <w:sz w:val="11"/>
                <w:szCs w:val="11"/>
                <w:b w:val="1"/>
                <w:bCs w:val="1"/>
                <w:color w:val="auto"/>
              </w:rPr>
              <w:t>$000s</w:t>
            </w:r>
          </w:p>
        </w:tc>
        <w:tc>
          <w:tcPr>
            <w:tcW w:w="920" w:type="dxa"/>
            <w:vAlign w:val="bottom"/>
          </w:tcPr>
          <w:p>
            <w:pPr>
              <w:jc w:val="right"/>
              <w:spacing w:after="0"/>
              <w:rPr>
                <w:sz w:val="20"/>
                <w:szCs w:val="20"/>
                <w:color w:val="auto"/>
              </w:rPr>
            </w:pPr>
            <w:r>
              <w:rPr>
                <w:rFonts w:ascii="Arial" w:cs="Arial" w:eastAsia="Arial" w:hAnsi="Arial"/>
                <w:sz w:val="11"/>
                <w:szCs w:val="11"/>
                <w:color w:val="183964"/>
              </w:rPr>
              <w:t>$000s</w:t>
            </w:r>
          </w:p>
        </w:tc>
      </w:tr>
      <w:tr>
        <w:trPr>
          <w:trHeight w:val="28"/>
        </w:trPr>
        <w:tc>
          <w:tcPr>
            <w:tcW w:w="6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4"/>
        </w:trPr>
        <w:tc>
          <w:tcPr>
            <w:tcW w:w="6580" w:type="dxa"/>
            <w:vAlign w:val="bottom"/>
          </w:tcPr>
          <w:p>
            <w:pPr>
              <w:ind w:left="20"/>
              <w:spacing w:after="0"/>
              <w:rPr>
                <w:sz w:val="20"/>
                <w:szCs w:val="20"/>
                <w:color w:val="auto"/>
              </w:rPr>
            </w:pPr>
            <w:r>
              <w:rPr>
                <w:rFonts w:ascii="Arial" w:cs="Arial" w:eastAsia="Arial" w:hAnsi="Arial"/>
                <w:sz w:val="12"/>
                <w:szCs w:val="12"/>
                <w:color w:val="auto"/>
              </w:rPr>
              <w:t>Cash flows from operating activities:</w:t>
            </w:r>
          </w:p>
        </w:tc>
        <w:tc>
          <w:tcPr>
            <w:tcW w:w="2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5"/>
        </w:trPr>
        <w:tc>
          <w:tcPr>
            <w:tcW w:w="6580" w:type="dxa"/>
            <w:vAlign w:val="bottom"/>
          </w:tcPr>
          <w:p>
            <w:pPr>
              <w:ind w:left="20"/>
              <w:spacing w:after="0"/>
              <w:rPr>
                <w:sz w:val="20"/>
                <w:szCs w:val="20"/>
                <w:color w:val="auto"/>
              </w:rPr>
            </w:pPr>
            <w:r>
              <w:rPr>
                <w:rFonts w:ascii="Arial" w:cs="Arial" w:eastAsia="Arial" w:hAnsi="Arial"/>
                <w:sz w:val="12"/>
                <w:szCs w:val="12"/>
                <w:color w:val="auto"/>
              </w:rPr>
              <w:t>Income/(loss) for the period</w:t>
            </w:r>
          </w:p>
        </w:tc>
        <w:tc>
          <w:tcPr>
            <w:tcW w:w="2440" w:type="dxa"/>
            <w:vAlign w:val="bottom"/>
          </w:tcPr>
          <w:p>
            <w:pPr>
              <w:spacing w:after="0"/>
              <w:rPr>
                <w:sz w:val="16"/>
                <w:szCs w:val="16"/>
                <w:color w:val="auto"/>
              </w:rPr>
            </w:pPr>
          </w:p>
        </w:tc>
        <w:tc>
          <w:tcPr>
            <w:tcW w:w="1280" w:type="dxa"/>
            <w:vAlign w:val="bottom"/>
          </w:tcPr>
          <w:p>
            <w:pPr>
              <w:jc w:val="right"/>
              <w:ind w:right="342"/>
              <w:spacing w:after="0"/>
              <w:rPr>
                <w:sz w:val="20"/>
                <w:szCs w:val="20"/>
                <w:color w:val="auto"/>
              </w:rPr>
            </w:pPr>
            <w:r>
              <w:rPr>
                <w:rFonts w:ascii="Arial" w:cs="Arial" w:eastAsia="Arial" w:hAnsi="Arial"/>
                <w:sz w:val="12"/>
                <w:szCs w:val="12"/>
                <w:b w:val="1"/>
                <w:bCs w:val="1"/>
                <w:color w:val="auto"/>
              </w:rPr>
              <w:t>(44,781)</w:t>
            </w:r>
          </w:p>
        </w:tc>
        <w:tc>
          <w:tcPr>
            <w:tcW w:w="920" w:type="dxa"/>
            <w:vAlign w:val="bottom"/>
          </w:tcPr>
          <w:p>
            <w:pPr>
              <w:jc w:val="right"/>
              <w:spacing w:after="0"/>
              <w:rPr>
                <w:sz w:val="20"/>
                <w:szCs w:val="20"/>
                <w:color w:val="auto"/>
              </w:rPr>
            </w:pPr>
            <w:r>
              <w:rPr>
                <w:rFonts w:ascii="Arial" w:cs="Arial" w:eastAsia="Arial" w:hAnsi="Arial"/>
                <w:sz w:val="12"/>
                <w:szCs w:val="12"/>
                <w:color w:val="183964"/>
              </w:rPr>
              <w:t>(48,883)</w:t>
            </w:r>
          </w:p>
        </w:tc>
      </w:tr>
      <w:tr>
        <w:trPr>
          <w:trHeight w:val="183"/>
        </w:trPr>
        <w:tc>
          <w:tcPr>
            <w:tcW w:w="6580" w:type="dxa"/>
            <w:vAlign w:val="bottom"/>
          </w:tcPr>
          <w:p>
            <w:pPr>
              <w:ind w:left="20"/>
              <w:spacing w:after="0"/>
              <w:rPr>
                <w:sz w:val="20"/>
                <w:szCs w:val="20"/>
                <w:color w:val="auto"/>
              </w:rPr>
            </w:pPr>
            <w:r>
              <w:rPr>
                <w:rFonts w:ascii="Arial" w:cs="Arial" w:eastAsia="Arial" w:hAnsi="Arial"/>
                <w:sz w:val="12"/>
                <w:szCs w:val="12"/>
                <w:color w:val="auto"/>
              </w:rPr>
              <w:t>Adjustments to reconcile income/(loss) for the period to net cash used in operating activities:</w:t>
            </w:r>
          </w:p>
        </w:tc>
        <w:tc>
          <w:tcPr>
            <w:tcW w:w="2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Non-cash items:</w:t>
            </w:r>
          </w:p>
        </w:tc>
        <w:tc>
          <w:tcPr>
            <w:tcW w:w="2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5"/>
        </w:trPr>
        <w:tc>
          <w:tcPr>
            <w:tcW w:w="6580" w:type="dxa"/>
            <w:vAlign w:val="bottom"/>
          </w:tcPr>
          <w:p>
            <w:pPr>
              <w:ind w:left="20"/>
              <w:spacing w:after="0"/>
              <w:rPr>
                <w:sz w:val="20"/>
                <w:szCs w:val="20"/>
                <w:color w:val="auto"/>
              </w:rPr>
            </w:pPr>
            <w:r>
              <w:rPr>
                <w:rFonts w:ascii="Arial" w:cs="Arial" w:eastAsia="Arial" w:hAnsi="Arial"/>
                <w:sz w:val="12"/>
                <w:szCs w:val="12"/>
                <w:color w:val="auto"/>
              </w:rPr>
              <w:t>Depreciation and amortization</w:t>
            </w:r>
          </w:p>
        </w:tc>
        <w:tc>
          <w:tcPr>
            <w:tcW w:w="2440" w:type="dxa"/>
            <w:vAlign w:val="bottom"/>
          </w:tcPr>
          <w:p>
            <w:pPr>
              <w:spacing w:after="0"/>
              <w:rPr>
                <w:sz w:val="16"/>
                <w:szCs w:val="16"/>
                <w:color w:val="auto"/>
              </w:rPr>
            </w:pPr>
          </w:p>
        </w:tc>
        <w:tc>
          <w:tcPr>
            <w:tcW w:w="1280" w:type="dxa"/>
            <w:vAlign w:val="bottom"/>
          </w:tcPr>
          <w:p>
            <w:pPr>
              <w:jc w:val="right"/>
              <w:ind w:right="382"/>
              <w:spacing w:after="0"/>
              <w:rPr>
                <w:sz w:val="20"/>
                <w:szCs w:val="20"/>
                <w:color w:val="auto"/>
              </w:rPr>
            </w:pPr>
            <w:r>
              <w:rPr>
                <w:rFonts w:ascii="Arial" w:cs="Arial" w:eastAsia="Arial" w:hAnsi="Arial"/>
                <w:sz w:val="12"/>
                <w:szCs w:val="12"/>
                <w:b w:val="1"/>
                <w:bCs w:val="1"/>
                <w:color w:val="auto"/>
              </w:rPr>
              <w:t>1,692</w:t>
            </w:r>
          </w:p>
        </w:tc>
        <w:tc>
          <w:tcPr>
            <w:tcW w:w="920" w:type="dxa"/>
            <w:vAlign w:val="bottom"/>
          </w:tcPr>
          <w:p>
            <w:pPr>
              <w:jc w:val="right"/>
              <w:ind w:right="2"/>
              <w:spacing w:after="0"/>
              <w:rPr>
                <w:sz w:val="20"/>
                <w:szCs w:val="20"/>
                <w:color w:val="auto"/>
              </w:rPr>
            </w:pPr>
            <w:r>
              <w:rPr>
                <w:rFonts w:ascii="Arial" w:cs="Arial" w:eastAsia="Arial" w:hAnsi="Arial"/>
                <w:sz w:val="12"/>
                <w:szCs w:val="12"/>
                <w:color w:val="183964"/>
              </w:rPr>
              <w:t>1,814</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Share-based compensation expense</w:t>
            </w:r>
          </w:p>
        </w:tc>
        <w:tc>
          <w:tcPr>
            <w:tcW w:w="2440" w:type="dxa"/>
            <w:vAlign w:val="bottom"/>
          </w:tcPr>
          <w:p>
            <w:pPr>
              <w:jc w:val="right"/>
              <w:ind w:right="362"/>
              <w:spacing w:after="0"/>
              <w:rPr>
                <w:sz w:val="20"/>
                <w:szCs w:val="20"/>
                <w:color w:val="auto"/>
              </w:rPr>
            </w:pPr>
            <w:r>
              <w:rPr>
                <w:rFonts w:ascii="Arial" w:cs="Arial" w:eastAsia="Arial" w:hAnsi="Arial"/>
                <w:sz w:val="12"/>
                <w:szCs w:val="12"/>
                <w:color w:val="183964"/>
              </w:rPr>
              <w:t>7</w:t>
            </w:r>
          </w:p>
        </w:tc>
        <w:tc>
          <w:tcPr>
            <w:tcW w:w="1280" w:type="dxa"/>
            <w:vAlign w:val="bottom"/>
          </w:tcPr>
          <w:p>
            <w:pPr>
              <w:jc w:val="right"/>
              <w:ind w:right="382"/>
              <w:spacing w:after="0"/>
              <w:rPr>
                <w:sz w:val="20"/>
                <w:szCs w:val="20"/>
                <w:color w:val="auto"/>
              </w:rPr>
            </w:pPr>
            <w:r>
              <w:rPr>
                <w:rFonts w:ascii="Arial" w:cs="Arial" w:eastAsia="Arial" w:hAnsi="Arial"/>
                <w:sz w:val="12"/>
                <w:szCs w:val="12"/>
                <w:b w:val="1"/>
                <w:bCs w:val="1"/>
                <w:color w:val="auto"/>
              </w:rPr>
              <w:t>4,733</w:t>
            </w:r>
          </w:p>
        </w:tc>
        <w:tc>
          <w:tcPr>
            <w:tcW w:w="920" w:type="dxa"/>
            <w:vAlign w:val="bottom"/>
          </w:tcPr>
          <w:p>
            <w:pPr>
              <w:jc w:val="right"/>
              <w:ind w:right="2"/>
              <w:spacing w:after="0"/>
              <w:rPr>
                <w:sz w:val="20"/>
                <w:szCs w:val="20"/>
                <w:color w:val="auto"/>
              </w:rPr>
            </w:pPr>
            <w:r>
              <w:rPr>
                <w:rFonts w:ascii="Arial" w:cs="Arial" w:eastAsia="Arial" w:hAnsi="Arial"/>
                <w:sz w:val="12"/>
                <w:szCs w:val="12"/>
                <w:color w:val="183964"/>
              </w:rPr>
              <w:t>4,648</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(Gain)/loss on investment held at fair value</w:t>
            </w:r>
          </w:p>
        </w:tc>
        <w:tc>
          <w:tcPr>
            <w:tcW w:w="2440" w:type="dxa"/>
            <w:vAlign w:val="bottom"/>
          </w:tcPr>
          <w:p>
            <w:pPr>
              <w:jc w:val="right"/>
              <w:ind w:right="362"/>
              <w:spacing w:after="0"/>
              <w:rPr>
                <w:sz w:val="20"/>
                <w:szCs w:val="20"/>
                <w:color w:val="auto"/>
              </w:rPr>
            </w:pPr>
            <w:r>
              <w:rPr>
                <w:rFonts w:ascii="Arial" w:cs="Arial" w:eastAsia="Arial" w:hAnsi="Arial"/>
                <w:sz w:val="12"/>
                <w:szCs w:val="12"/>
                <w:color w:val="183964"/>
              </w:rPr>
              <w:t>4</w:t>
            </w:r>
          </w:p>
        </w:tc>
        <w:tc>
          <w:tcPr>
            <w:tcW w:w="1280" w:type="dxa"/>
            <w:vAlign w:val="bottom"/>
          </w:tcPr>
          <w:p>
            <w:pPr>
              <w:jc w:val="right"/>
              <w:ind w:right="342"/>
              <w:spacing w:after="0"/>
              <w:rPr>
                <w:sz w:val="20"/>
                <w:szCs w:val="20"/>
                <w:color w:val="auto"/>
              </w:rPr>
            </w:pPr>
            <w:r>
              <w:rPr>
                <w:rFonts w:ascii="Arial" w:cs="Arial" w:eastAsia="Arial" w:hAnsi="Arial"/>
                <w:sz w:val="12"/>
                <w:szCs w:val="12"/>
                <w:b w:val="1"/>
                <w:bCs w:val="1"/>
                <w:color w:val="auto"/>
              </w:rPr>
              <w:t>(3,679)</w:t>
            </w:r>
          </w:p>
        </w:tc>
        <w:tc>
          <w:tcPr>
            <w:tcW w:w="920" w:type="dxa"/>
            <w:vAlign w:val="bottom"/>
          </w:tcPr>
          <w:p>
            <w:pPr>
              <w:jc w:val="right"/>
              <w:spacing w:after="0"/>
              <w:rPr>
                <w:sz w:val="20"/>
                <w:szCs w:val="20"/>
                <w:color w:val="auto"/>
              </w:rPr>
            </w:pPr>
            <w:r>
              <w:rPr>
                <w:rFonts w:ascii="Arial" w:cs="Arial" w:eastAsia="Arial" w:hAnsi="Arial"/>
                <w:sz w:val="12"/>
                <w:szCs w:val="12"/>
                <w:color w:val="183964"/>
              </w:rPr>
              <w:t>(3,882)</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Realized (gain)/loss on sale of investments</w:t>
            </w:r>
          </w:p>
        </w:tc>
        <w:tc>
          <w:tcPr>
            <w:tcW w:w="2440" w:type="dxa"/>
            <w:vAlign w:val="bottom"/>
          </w:tcPr>
          <w:p>
            <w:pPr>
              <w:jc w:val="right"/>
              <w:ind w:right="362"/>
              <w:spacing w:after="0"/>
              <w:rPr>
                <w:sz w:val="20"/>
                <w:szCs w:val="20"/>
                <w:color w:val="auto"/>
              </w:rPr>
            </w:pPr>
            <w:r>
              <w:rPr>
                <w:rFonts w:ascii="Arial" w:cs="Arial" w:eastAsia="Arial" w:hAnsi="Arial"/>
                <w:sz w:val="12"/>
                <w:szCs w:val="12"/>
                <w:color w:val="183964"/>
              </w:rPr>
              <w:t>4</w:t>
            </w:r>
          </w:p>
        </w:tc>
        <w:tc>
          <w:tcPr>
            <w:tcW w:w="1280" w:type="dxa"/>
            <w:vAlign w:val="bottom"/>
          </w:tcPr>
          <w:p>
            <w:pPr>
              <w:jc w:val="right"/>
              <w:ind w:right="342"/>
              <w:spacing w:after="0"/>
              <w:rPr>
                <w:sz w:val="20"/>
                <w:szCs w:val="20"/>
                <w:color w:val="auto"/>
              </w:rPr>
            </w:pPr>
            <w:r>
              <w:rPr>
                <w:rFonts w:ascii="Arial" w:cs="Arial" w:eastAsia="Arial" w:hAnsi="Arial"/>
                <w:sz w:val="12"/>
                <w:szCs w:val="12"/>
                <w:b w:val="1"/>
                <w:bCs w:val="1"/>
                <w:color w:val="auto"/>
              </w:rPr>
              <w:t>(375)</w:t>
            </w:r>
          </w:p>
        </w:tc>
        <w:tc>
          <w:tcPr>
            <w:tcW w:w="920" w:type="dxa"/>
            <w:vAlign w:val="bottom"/>
          </w:tcPr>
          <w:p>
            <w:pPr>
              <w:jc w:val="right"/>
              <w:spacing w:after="0"/>
              <w:rPr>
                <w:sz w:val="20"/>
                <w:szCs w:val="20"/>
                <w:color w:val="auto"/>
              </w:rPr>
            </w:pPr>
            <w:r>
              <w:rPr>
                <w:rFonts w:ascii="Arial" w:cs="Arial" w:eastAsia="Arial" w:hAnsi="Arial"/>
                <w:sz w:val="12"/>
                <w:szCs w:val="12"/>
                <w:color w:val="183964"/>
              </w:rPr>
              <w:t>(151)</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Gain on dilution of ownership interest in associate</w:t>
            </w:r>
          </w:p>
        </w:tc>
        <w:tc>
          <w:tcPr>
            <w:tcW w:w="2440" w:type="dxa"/>
            <w:vAlign w:val="bottom"/>
          </w:tcPr>
          <w:p>
            <w:pPr>
              <w:jc w:val="right"/>
              <w:ind w:right="362"/>
              <w:spacing w:after="0"/>
              <w:rPr>
                <w:sz w:val="20"/>
                <w:szCs w:val="20"/>
                <w:color w:val="auto"/>
              </w:rPr>
            </w:pPr>
            <w:r>
              <w:rPr>
                <w:rFonts w:ascii="Arial" w:cs="Arial" w:eastAsia="Arial" w:hAnsi="Arial"/>
                <w:sz w:val="12"/>
                <w:szCs w:val="12"/>
                <w:color w:val="183964"/>
              </w:rPr>
              <w:t>5</w:t>
            </w:r>
          </w:p>
        </w:tc>
        <w:tc>
          <w:tcPr>
            <w:tcW w:w="1280" w:type="dxa"/>
            <w:vAlign w:val="bottom"/>
          </w:tcPr>
          <w:p>
            <w:pPr>
              <w:jc w:val="right"/>
              <w:ind w:right="342"/>
              <w:spacing w:after="0"/>
              <w:rPr>
                <w:sz w:val="20"/>
                <w:szCs w:val="20"/>
                <w:color w:val="auto"/>
              </w:rPr>
            </w:pPr>
            <w:r>
              <w:rPr>
                <w:rFonts w:ascii="Arial" w:cs="Arial" w:eastAsia="Arial" w:hAnsi="Arial"/>
                <w:sz w:val="12"/>
                <w:szCs w:val="12"/>
                <w:b w:val="1"/>
                <w:bCs w:val="1"/>
                <w:color w:val="auto"/>
              </w:rPr>
              <w:t>(708)</w:t>
            </w:r>
          </w:p>
        </w:tc>
        <w:tc>
          <w:tcPr>
            <w:tcW w:w="920" w:type="dxa"/>
            <w:vAlign w:val="bottom"/>
          </w:tcPr>
          <w:p>
            <w:pPr>
              <w:jc w:val="right"/>
              <w:ind w:right="2"/>
              <w:spacing w:after="0"/>
              <w:rPr>
                <w:sz w:val="20"/>
                <w:szCs w:val="20"/>
                <w:color w:val="auto"/>
              </w:rPr>
            </w:pPr>
            <w:r>
              <w:rPr>
                <w:rFonts w:ascii="Arial" w:cs="Arial" w:eastAsia="Arial" w:hAnsi="Arial"/>
                <w:sz w:val="12"/>
                <w:szCs w:val="12"/>
                <w:color w:val="183964"/>
              </w:rPr>
              <w:t>—</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Share of net (income)/ loss of associates accounted for using the equity method</w:t>
            </w:r>
          </w:p>
        </w:tc>
        <w:tc>
          <w:tcPr>
            <w:tcW w:w="2440" w:type="dxa"/>
            <w:vAlign w:val="bottom"/>
          </w:tcPr>
          <w:p>
            <w:pPr>
              <w:jc w:val="right"/>
              <w:ind w:right="362"/>
              <w:spacing w:after="0"/>
              <w:rPr>
                <w:sz w:val="20"/>
                <w:szCs w:val="20"/>
                <w:color w:val="auto"/>
              </w:rPr>
            </w:pPr>
            <w:r>
              <w:rPr>
                <w:rFonts w:ascii="Arial" w:cs="Arial" w:eastAsia="Arial" w:hAnsi="Arial"/>
                <w:sz w:val="12"/>
                <w:szCs w:val="12"/>
                <w:color w:val="183964"/>
              </w:rPr>
              <w:t>5</w:t>
            </w:r>
          </w:p>
        </w:tc>
        <w:tc>
          <w:tcPr>
            <w:tcW w:w="1280" w:type="dxa"/>
            <w:vAlign w:val="bottom"/>
          </w:tcPr>
          <w:p>
            <w:pPr>
              <w:jc w:val="right"/>
              <w:ind w:right="382"/>
              <w:spacing w:after="0"/>
              <w:rPr>
                <w:sz w:val="20"/>
                <w:szCs w:val="20"/>
                <w:color w:val="auto"/>
              </w:rPr>
            </w:pPr>
            <w:r>
              <w:rPr>
                <w:rFonts w:ascii="Arial" w:cs="Arial" w:eastAsia="Arial" w:hAnsi="Arial"/>
                <w:sz w:val="12"/>
                <w:szCs w:val="12"/>
                <w:b w:val="1"/>
                <w:bCs w:val="1"/>
                <w:color w:val="auto"/>
              </w:rPr>
              <w:t>3,996</w:t>
            </w:r>
          </w:p>
        </w:tc>
        <w:tc>
          <w:tcPr>
            <w:tcW w:w="920" w:type="dxa"/>
            <w:vAlign w:val="bottom"/>
          </w:tcPr>
          <w:p>
            <w:pPr>
              <w:jc w:val="right"/>
              <w:ind w:right="2"/>
              <w:spacing w:after="0"/>
              <w:rPr>
                <w:sz w:val="20"/>
                <w:szCs w:val="20"/>
                <w:color w:val="auto"/>
              </w:rPr>
            </w:pPr>
            <w:r>
              <w:rPr>
                <w:rFonts w:ascii="Arial" w:cs="Arial" w:eastAsia="Arial" w:hAnsi="Arial"/>
                <w:sz w:val="12"/>
                <w:szCs w:val="12"/>
                <w:color w:val="183964"/>
              </w:rPr>
              <w:t>3,357</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(Gain)/loss on investments in notes from associates</w:t>
            </w:r>
          </w:p>
        </w:tc>
        <w:tc>
          <w:tcPr>
            <w:tcW w:w="2440" w:type="dxa"/>
            <w:vAlign w:val="bottom"/>
          </w:tcPr>
          <w:p>
            <w:pPr>
              <w:jc w:val="right"/>
              <w:ind w:right="362"/>
              <w:spacing w:after="0"/>
              <w:rPr>
                <w:sz w:val="20"/>
                <w:szCs w:val="20"/>
                <w:color w:val="auto"/>
              </w:rPr>
            </w:pPr>
            <w:r>
              <w:rPr>
                <w:rFonts w:ascii="Arial" w:cs="Arial" w:eastAsia="Arial" w:hAnsi="Arial"/>
                <w:sz w:val="12"/>
                <w:szCs w:val="12"/>
                <w:color w:val="183964"/>
              </w:rPr>
              <w:t>6</w:t>
            </w:r>
          </w:p>
        </w:tc>
        <w:tc>
          <w:tcPr>
            <w:tcW w:w="1280" w:type="dxa"/>
            <w:vAlign w:val="bottom"/>
          </w:tcPr>
          <w:p>
            <w:pPr>
              <w:jc w:val="right"/>
              <w:ind w:right="382"/>
              <w:spacing w:after="0"/>
              <w:rPr>
                <w:sz w:val="20"/>
                <w:szCs w:val="20"/>
                <w:color w:val="auto"/>
              </w:rPr>
            </w:pPr>
            <w:r>
              <w:rPr>
                <w:rFonts w:ascii="Arial" w:cs="Arial" w:eastAsia="Arial" w:hAnsi="Arial"/>
                <w:sz w:val="12"/>
                <w:szCs w:val="12"/>
                <w:b w:val="1"/>
                <w:bCs w:val="1"/>
                <w:color w:val="auto"/>
              </w:rPr>
              <w:t>3,726</w:t>
            </w:r>
          </w:p>
        </w:tc>
        <w:tc>
          <w:tcPr>
            <w:tcW w:w="920" w:type="dxa"/>
            <w:vAlign w:val="bottom"/>
          </w:tcPr>
          <w:p>
            <w:pPr>
              <w:jc w:val="right"/>
              <w:spacing w:after="0"/>
              <w:rPr>
                <w:sz w:val="20"/>
                <w:szCs w:val="20"/>
                <w:color w:val="auto"/>
              </w:rPr>
            </w:pPr>
            <w:r>
              <w:rPr>
                <w:rFonts w:ascii="Arial" w:cs="Arial" w:eastAsia="Arial" w:hAnsi="Arial"/>
                <w:sz w:val="12"/>
                <w:szCs w:val="12"/>
                <w:color w:val="183964"/>
              </w:rPr>
              <w:t>(11,612)</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(Gain)/loss on disposal of assets</w:t>
            </w:r>
          </w:p>
        </w:tc>
        <w:tc>
          <w:tcPr>
            <w:tcW w:w="2440" w:type="dxa"/>
            <w:vAlign w:val="bottom"/>
          </w:tcPr>
          <w:p>
            <w:pPr>
              <w:spacing w:after="0"/>
              <w:rPr>
                <w:sz w:val="16"/>
                <w:szCs w:val="16"/>
                <w:color w:val="auto"/>
              </w:rPr>
            </w:pPr>
          </w:p>
        </w:tc>
        <w:tc>
          <w:tcPr>
            <w:tcW w:w="1280" w:type="dxa"/>
            <w:vAlign w:val="bottom"/>
          </w:tcPr>
          <w:p>
            <w:pPr>
              <w:jc w:val="right"/>
              <w:ind w:right="342"/>
              <w:spacing w:after="0"/>
              <w:rPr>
                <w:sz w:val="20"/>
                <w:szCs w:val="20"/>
                <w:color w:val="auto"/>
              </w:rPr>
            </w:pPr>
            <w:r>
              <w:rPr>
                <w:rFonts w:ascii="Arial" w:cs="Arial" w:eastAsia="Arial" w:hAnsi="Arial"/>
                <w:sz w:val="12"/>
                <w:szCs w:val="12"/>
                <w:b w:val="1"/>
                <w:bCs w:val="1"/>
                <w:color w:val="auto"/>
              </w:rPr>
              <w:t>(94)</w:t>
            </w:r>
          </w:p>
        </w:tc>
        <w:tc>
          <w:tcPr>
            <w:tcW w:w="920" w:type="dxa"/>
            <w:vAlign w:val="bottom"/>
          </w:tcPr>
          <w:p>
            <w:pPr>
              <w:jc w:val="right"/>
              <w:spacing w:after="0"/>
              <w:rPr>
                <w:sz w:val="20"/>
                <w:szCs w:val="20"/>
                <w:color w:val="auto"/>
              </w:rPr>
            </w:pPr>
            <w:r>
              <w:rPr>
                <w:rFonts w:ascii="Arial" w:cs="Arial" w:eastAsia="Arial" w:hAnsi="Arial"/>
                <w:sz w:val="12"/>
                <w:szCs w:val="12"/>
                <w:color w:val="183964"/>
              </w:rPr>
              <w:t>(23)</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Impairment of fixed assets</w:t>
            </w:r>
          </w:p>
        </w:tc>
        <w:tc>
          <w:tcPr>
            <w:tcW w:w="2440" w:type="dxa"/>
            <w:vAlign w:val="bottom"/>
          </w:tcPr>
          <w:p>
            <w:pPr>
              <w:spacing w:after="0"/>
              <w:rPr>
                <w:sz w:val="16"/>
                <w:szCs w:val="16"/>
                <w:color w:val="auto"/>
              </w:rPr>
            </w:pPr>
          </w:p>
        </w:tc>
        <w:tc>
          <w:tcPr>
            <w:tcW w:w="1280" w:type="dxa"/>
            <w:vAlign w:val="bottom"/>
          </w:tcPr>
          <w:p>
            <w:pPr>
              <w:jc w:val="right"/>
              <w:ind w:right="382"/>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ind w:right="2"/>
              <w:spacing w:after="0"/>
              <w:rPr>
                <w:sz w:val="20"/>
                <w:szCs w:val="20"/>
                <w:color w:val="auto"/>
              </w:rPr>
            </w:pPr>
            <w:r>
              <w:rPr>
                <w:rFonts w:ascii="Arial" w:cs="Arial" w:eastAsia="Arial" w:hAnsi="Arial"/>
                <w:sz w:val="12"/>
                <w:szCs w:val="12"/>
                <w:color w:val="183964"/>
              </w:rPr>
              <w:t>45</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Income taxes expense (benefit)</w:t>
            </w:r>
          </w:p>
        </w:tc>
        <w:tc>
          <w:tcPr>
            <w:tcW w:w="2440" w:type="dxa"/>
            <w:vAlign w:val="bottom"/>
          </w:tcPr>
          <w:p>
            <w:pPr>
              <w:jc w:val="right"/>
              <w:ind w:right="362"/>
              <w:spacing w:after="0"/>
              <w:rPr>
                <w:sz w:val="20"/>
                <w:szCs w:val="20"/>
                <w:color w:val="auto"/>
              </w:rPr>
            </w:pPr>
            <w:r>
              <w:rPr>
                <w:rFonts w:ascii="Arial" w:cs="Arial" w:eastAsia="Arial" w:hAnsi="Arial"/>
                <w:sz w:val="12"/>
                <w:szCs w:val="12"/>
                <w:color w:val="183964"/>
              </w:rPr>
              <w:t>18</w:t>
            </w:r>
          </w:p>
        </w:tc>
        <w:tc>
          <w:tcPr>
            <w:tcW w:w="1280" w:type="dxa"/>
            <w:vAlign w:val="bottom"/>
          </w:tcPr>
          <w:p>
            <w:pPr>
              <w:jc w:val="right"/>
              <w:ind w:right="382"/>
              <w:spacing w:after="0"/>
              <w:rPr>
                <w:sz w:val="20"/>
                <w:szCs w:val="20"/>
                <w:color w:val="auto"/>
              </w:rPr>
            </w:pPr>
            <w:r>
              <w:rPr>
                <w:rFonts w:ascii="Arial" w:cs="Arial" w:eastAsia="Arial" w:hAnsi="Arial"/>
                <w:sz w:val="12"/>
                <w:szCs w:val="12"/>
                <w:b w:val="1"/>
                <w:bCs w:val="1"/>
                <w:color w:val="auto"/>
              </w:rPr>
              <w:t>923</w:t>
            </w:r>
          </w:p>
        </w:tc>
        <w:tc>
          <w:tcPr>
            <w:tcW w:w="920" w:type="dxa"/>
            <w:vAlign w:val="bottom"/>
          </w:tcPr>
          <w:p>
            <w:pPr>
              <w:jc w:val="right"/>
              <w:spacing w:after="0"/>
              <w:rPr>
                <w:sz w:val="20"/>
                <w:szCs w:val="20"/>
                <w:color w:val="auto"/>
              </w:rPr>
            </w:pPr>
            <w:r>
              <w:rPr>
                <w:rFonts w:ascii="Arial" w:cs="Arial" w:eastAsia="Arial" w:hAnsi="Arial"/>
                <w:sz w:val="12"/>
                <w:szCs w:val="12"/>
                <w:color w:val="183964"/>
              </w:rPr>
              <w:t>(6,147)</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Finance (income)/costs, net</w:t>
            </w:r>
          </w:p>
        </w:tc>
        <w:tc>
          <w:tcPr>
            <w:tcW w:w="2440" w:type="dxa"/>
            <w:vAlign w:val="bottom"/>
          </w:tcPr>
          <w:p>
            <w:pPr>
              <w:jc w:val="right"/>
              <w:ind w:right="362"/>
              <w:spacing w:after="0"/>
              <w:rPr>
                <w:sz w:val="20"/>
                <w:szCs w:val="20"/>
                <w:color w:val="auto"/>
              </w:rPr>
            </w:pPr>
            <w:r>
              <w:rPr>
                <w:rFonts w:ascii="Arial" w:cs="Arial" w:eastAsia="Arial" w:hAnsi="Arial"/>
                <w:sz w:val="12"/>
                <w:szCs w:val="12"/>
                <w:color w:val="183964"/>
              </w:rPr>
              <w:t>8</w:t>
            </w:r>
          </w:p>
        </w:tc>
        <w:tc>
          <w:tcPr>
            <w:tcW w:w="1280" w:type="dxa"/>
            <w:vAlign w:val="bottom"/>
          </w:tcPr>
          <w:p>
            <w:pPr>
              <w:jc w:val="right"/>
              <w:ind w:right="342"/>
              <w:spacing w:after="0"/>
              <w:rPr>
                <w:sz w:val="20"/>
                <w:szCs w:val="20"/>
                <w:color w:val="auto"/>
              </w:rPr>
            </w:pPr>
            <w:r>
              <w:rPr>
                <w:rFonts w:ascii="Arial" w:cs="Arial" w:eastAsia="Arial" w:hAnsi="Arial"/>
                <w:sz w:val="12"/>
                <w:szCs w:val="12"/>
                <w:b w:val="1"/>
                <w:bCs w:val="1"/>
                <w:color w:val="auto"/>
              </w:rPr>
              <w:t>(6,363)</w:t>
            </w:r>
          </w:p>
        </w:tc>
        <w:tc>
          <w:tcPr>
            <w:tcW w:w="920" w:type="dxa"/>
            <w:vAlign w:val="bottom"/>
          </w:tcPr>
          <w:p>
            <w:pPr>
              <w:jc w:val="right"/>
              <w:ind w:right="2"/>
              <w:spacing w:after="0"/>
              <w:rPr>
                <w:sz w:val="20"/>
                <w:szCs w:val="20"/>
                <w:color w:val="auto"/>
              </w:rPr>
            </w:pPr>
            <w:r>
              <w:rPr>
                <w:rFonts w:ascii="Arial" w:cs="Arial" w:eastAsia="Arial" w:hAnsi="Arial"/>
                <w:sz w:val="12"/>
                <w:szCs w:val="12"/>
                <w:color w:val="183964"/>
              </w:rPr>
              <w:t>1,468</w:t>
            </w:r>
          </w:p>
        </w:tc>
      </w:tr>
      <w:tr>
        <w:trPr>
          <w:trHeight w:val="183"/>
        </w:trPr>
        <w:tc>
          <w:tcPr>
            <w:tcW w:w="6580" w:type="dxa"/>
            <w:vAlign w:val="bottom"/>
          </w:tcPr>
          <w:p>
            <w:pPr>
              <w:ind w:left="20"/>
              <w:spacing w:after="0"/>
              <w:rPr>
                <w:sz w:val="20"/>
                <w:szCs w:val="20"/>
                <w:color w:val="auto"/>
              </w:rPr>
            </w:pPr>
            <w:r>
              <w:rPr>
                <w:rFonts w:ascii="Arial" w:cs="Arial" w:eastAsia="Arial" w:hAnsi="Arial"/>
                <w:sz w:val="12"/>
                <w:szCs w:val="12"/>
                <w:color w:val="auto"/>
              </w:rPr>
              <w:t>Changes in operating assets and liabilities:</w:t>
            </w:r>
          </w:p>
        </w:tc>
        <w:tc>
          <w:tcPr>
            <w:tcW w:w="2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5"/>
        </w:trPr>
        <w:tc>
          <w:tcPr>
            <w:tcW w:w="6580" w:type="dxa"/>
            <w:vAlign w:val="bottom"/>
          </w:tcPr>
          <w:p>
            <w:pPr>
              <w:ind w:left="20"/>
              <w:spacing w:after="0"/>
              <w:rPr>
                <w:sz w:val="20"/>
                <w:szCs w:val="20"/>
                <w:color w:val="auto"/>
              </w:rPr>
            </w:pPr>
            <w:r>
              <w:rPr>
                <w:rFonts w:ascii="Arial" w:cs="Arial" w:eastAsia="Arial" w:hAnsi="Arial"/>
                <w:sz w:val="12"/>
                <w:szCs w:val="12"/>
                <w:color w:val="auto"/>
              </w:rPr>
              <w:t>Trade and other receivables</w:t>
            </w:r>
          </w:p>
        </w:tc>
        <w:tc>
          <w:tcPr>
            <w:tcW w:w="2440" w:type="dxa"/>
            <w:vAlign w:val="bottom"/>
          </w:tcPr>
          <w:p>
            <w:pPr>
              <w:spacing w:after="0"/>
              <w:rPr>
                <w:sz w:val="16"/>
                <w:szCs w:val="16"/>
                <w:color w:val="auto"/>
              </w:rPr>
            </w:pPr>
          </w:p>
        </w:tc>
        <w:tc>
          <w:tcPr>
            <w:tcW w:w="1280" w:type="dxa"/>
            <w:vAlign w:val="bottom"/>
          </w:tcPr>
          <w:p>
            <w:pPr>
              <w:jc w:val="right"/>
              <w:ind w:right="342"/>
              <w:spacing w:after="0"/>
              <w:rPr>
                <w:sz w:val="20"/>
                <w:szCs w:val="20"/>
                <w:color w:val="auto"/>
              </w:rPr>
            </w:pPr>
            <w:r>
              <w:rPr>
                <w:rFonts w:ascii="Arial" w:cs="Arial" w:eastAsia="Arial" w:hAnsi="Arial"/>
                <w:sz w:val="12"/>
                <w:szCs w:val="12"/>
                <w:b w:val="1"/>
                <w:bCs w:val="1"/>
                <w:color w:val="auto"/>
              </w:rPr>
              <w:t>(913)</w:t>
            </w:r>
          </w:p>
        </w:tc>
        <w:tc>
          <w:tcPr>
            <w:tcW w:w="920" w:type="dxa"/>
            <w:vAlign w:val="bottom"/>
          </w:tcPr>
          <w:p>
            <w:pPr>
              <w:jc w:val="right"/>
              <w:ind w:right="2"/>
              <w:spacing w:after="0"/>
              <w:rPr>
                <w:sz w:val="20"/>
                <w:szCs w:val="20"/>
                <w:color w:val="auto"/>
              </w:rPr>
            </w:pPr>
            <w:r>
              <w:rPr>
                <w:rFonts w:ascii="Arial" w:cs="Arial" w:eastAsia="Arial" w:hAnsi="Arial"/>
                <w:sz w:val="12"/>
                <w:szCs w:val="12"/>
                <w:color w:val="183964"/>
              </w:rPr>
              <w:t>320</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Prepaid expenses and other financial assets</w:t>
            </w:r>
          </w:p>
        </w:tc>
        <w:tc>
          <w:tcPr>
            <w:tcW w:w="2440" w:type="dxa"/>
            <w:vAlign w:val="bottom"/>
          </w:tcPr>
          <w:p>
            <w:pPr>
              <w:spacing w:after="0"/>
              <w:rPr>
                <w:sz w:val="16"/>
                <w:szCs w:val="16"/>
                <w:color w:val="auto"/>
              </w:rPr>
            </w:pPr>
          </w:p>
        </w:tc>
        <w:tc>
          <w:tcPr>
            <w:tcW w:w="1280" w:type="dxa"/>
            <w:vAlign w:val="bottom"/>
          </w:tcPr>
          <w:p>
            <w:pPr>
              <w:jc w:val="right"/>
              <w:ind w:right="382"/>
              <w:spacing w:after="0"/>
              <w:rPr>
                <w:sz w:val="20"/>
                <w:szCs w:val="20"/>
                <w:color w:val="auto"/>
              </w:rPr>
            </w:pPr>
            <w:r>
              <w:rPr>
                <w:rFonts w:ascii="Arial" w:cs="Arial" w:eastAsia="Arial" w:hAnsi="Arial"/>
                <w:sz w:val="12"/>
                <w:szCs w:val="12"/>
                <w:b w:val="1"/>
                <w:bCs w:val="1"/>
                <w:color w:val="auto"/>
              </w:rPr>
              <w:t>609</w:t>
            </w:r>
          </w:p>
        </w:tc>
        <w:tc>
          <w:tcPr>
            <w:tcW w:w="920" w:type="dxa"/>
            <w:vAlign w:val="bottom"/>
          </w:tcPr>
          <w:p>
            <w:pPr>
              <w:jc w:val="right"/>
              <w:spacing w:after="0"/>
              <w:rPr>
                <w:sz w:val="20"/>
                <w:szCs w:val="20"/>
                <w:color w:val="auto"/>
              </w:rPr>
            </w:pPr>
            <w:r>
              <w:rPr>
                <w:rFonts w:ascii="Arial" w:cs="Arial" w:eastAsia="Arial" w:hAnsi="Arial"/>
                <w:sz w:val="12"/>
                <w:szCs w:val="12"/>
                <w:color w:val="183964"/>
              </w:rPr>
              <w:t>(394)</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Trade and other payables</w:t>
            </w:r>
          </w:p>
        </w:tc>
        <w:tc>
          <w:tcPr>
            <w:tcW w:w="2440" w:type="dxa"/>
            <w:vAlign w:val="bottom"/>
          </w:tcPr>
          <w:p>
            <w:pPr>
              <w:jc w:val="right"/>
              <w:ind w:right="362"/>
              <w:spacing w:after="0"/>
              <w:rPr>
                <w:sz w:val="20"/>
                <w:szCs w:val="20"/>
                <w:color w:val="auto"/>
              </w:rPr>
            </w:pPr>
            <w:r>
              <w:rPr>
                <w:rFonts w:ascii="Arial" w:cs="Arial" w:eastAsia="Arial" w:hAnsi="Arial"/>
                <w:sz w:val="12"/>
                <w:szCs w:val="12"/>
                <w:color w:val="183964"/>
              </w:rPr>
              <w:t>15</w:t>
            </w:r>
          </w:p>
        </w:tc>
        <w:tc>
          <w:tcPr>
            <w:tcW w:w="1280" w:type="dxa"/>
            <w:vAlign w:val="bottom"/>
          </w:tcPr>
          <w:p>
            <w:pPr>
              <w:jc w:val="right"/>
              <w:ind w:right="342"/>
              <w:spacing w:after="0"/>
              <w:rPr>
                <w:sz w:val="20"/>
                <w:szCs w:val="20"/>
                <w:color w:val="auto"/>
              </w:rPr>
            </w:pPr>
            <w:r>
              <w:rPr>
                <w:rFonts w:ascii="Arial" w:cs="Arial" w:eastAsia="Arial" w:hAnsi="Arial"/>
                <w:sz w:val="12"/>
                <w:szCs w:val="12"/>
                <w:b w:val="1"/>
                <w:bCs w:val="1"/>
                <w:color w:val="auto"/>
              </w:rPr>
              <w:t>(6,184)</w:t>
            </w:r>
          </w:p>
        </w:tc>
        <w:tc>
          <w:tcPr>
            <w:tcW w:w="920" w:type="dxa"/>
            <w:vAlign w:val="bottom"/>
          </w:tcPr>
          <w:p>
            <w:pPr>
              <w:jc w:val="right"/>
              <w:spacing w:after="0"/>
              <w:rPr>
                <w:sz w:val="20"/>
                <w:szCs w:val="20"/>
                <w:color w:val="auto"/>
              </w:rPr>
            </w:pPr>
            <w:r>
              <w:rPr>
                <w:rFonts w:ascii="Arial" w:cs="Arial" w:eastAsia="Arial" w:hAnsi="Arial"/>
                <w:sz w:val="12"/>
                <w:szCs w:val="12"/>
                <w:color w:val="183964"/>
              </w:rPr>
              <w:t>(16,883)</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Income taxes paid</w:t>
            </w:r>
          </w:p>
        </w:tc>
        <w:tc>
          <w:tcPr>
            <w:tcW w:w="2440" w:type="dxa"/>
            <w:vAlign w:val="bottom"/>
          </w:tcPr>
          <w:p>
            <w:pPr>
              <w:spacing w:after="0"/>
              <w:rPr>
                <w:sz w:val="16"/>
                <w:szCs w:val="16"/>
                <w:color w:val="auto"/>
              </w:rPr>
            </w:pPr>
          </w:p>
        </w:tc>
        <w:tc>
          <w:tcPr>
            <w:tcW w:w="1280" w:type="dxa"/>
            <w:vAlign w:val="bottom"/>
          </w:tcPr>
          <w:p>
            <w:pPr>
              <w:jc w:val="right"/>
              <w:ind w:right="342"/>
              <w:spacing w:after="0"/>
              <w:rPr>
                <w:sz w:val="20"/>
                <w:szCs w:val="20"/>
                <w:color w:val="auto"/>
              </w:rPr>
            </w:pPr>
            <w:r>
              <w:rPr>
                <w:rFonts w:ascii="Arial" w:cs="Arial" w:eastAsia="Arial" w:hAnsi="Arial"/>
                <w:sz w:val="12"/>
                <w:szCs w:val="12"/>
                <w:b w:val="1"/>
                <w:bCs w:val="1"/>
                <w:color w:val="auto"/>
              </w:rPr>
              <w:t>(5,325)</w:t>
            </w:r>
          </w:p>
        </w:tc>
        <w:tc>
          <w:tcPr>
            <w:tcW w:w="920" w:type="dxa"/>
            <w:vAlign w:val="bottom"/>
          </w:tcPr>
          <w:p>
            <w:pPr>
              <w:jc w:val="right"/>
              <w:spacing w:after="0"/>
              <w:rPr>
                <w:sz w:val="20"/>
                <w:szCs w:val="20"/>
                <w:color w:val="auto"/>
              </w:rPr>
            </w:pPr>
            <w:r>
              <w:rPr>
                <w:rFonts w:ascii="Arial" w:cs="Arial" w:eastAsia="Arial" w:hAnsi="Arial"/>
                <w:sz w:val="12"/>
                <w:szCs w:val="12"/>
                <w:color w:val="183964"/>
              </w:rPr>
              <w:t>(15,213)</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Interest received</w:t>
            </w:r>
          </w:p>
        </w:tc>
        <w:tc>
          <w:tcPr>
            <w:tcW w:w="2440" w:type="dxa"/>
            <w:vAlign w:val="bottom"/>
          </w:tcPr>
          <w:p>
            <w:pPr>
              <w:spacing w:after="0"/>
              <w:rPr>
                <w:sz w:val="16"/>
                <w:szCs w:val="16"/>
                <w:color w:val="auto"/>
              </w:rPr>
            </w:pPr>
          </w:p>
        </w:tc>
        <w:tc>
          <w:tcPr>
            <w:tcW w:w="1280" w:type="dxa"/>
            <w:vAlign w:val="bottom"/>
          </w:tcPr>
          <w:p>
            <w:pPr>
              <w:jc w:val="right"/>
              <w:ind w:right="382"/>
              <w:spacing w:after="0"/>
              <w:rPr>
                <w:sz w:val="20"/>
                <w:szCs w:val="20"/>
                <w:color w:val="auto"/>
              </w:rPr>
            </w:pPr>
            <w:r>
              <w:rPr>
                <w:rFonts w:ascii="Arial" w:cs="Arial" w:eastAsia="Arial" w:hAnsi="Arial"/>
                <w:sz w:val="12"/>
                <w:szCs w:val="12"/>
                <w:b w:val="1"/>
                <w:bCs w:val="1"/>
                <w:color w:val="auto"/>
              </w:rPr>
              <w:t>7,677</w:t>
            </w:r>
          </w:p>
        </w:tc>
        <w:tc>
          <w:tcPr>
            <w:tcW w:w="920" w:type="dxa"/>
            <w:vAlign w:val="bottom"/>
          </w:tcPr>
          <w:p>
            <w:pPr>
              <w:jc w:val="right"/>
              <w:ind w:right="2"/>
              <w:spacing w:after="0"/>
              <w:rPr>
                <w:sz w:val="20"/>
                <w:szCs w:val="20"/>
                <w:color w:val="auto"/>
              </w:rPr>
            </w:pPr>
            <w:r>
              <w:rPr>
                <w:rFonts w:ascii="Arial" w:cs="Arial" w:eastAsia="Arial" w:hAnsi="Arial"/>
                <w:sz w:val="12"/>
                <w:szCs w:val="12"/>
                <w:color w:val="183964"/>
              </w:rPr>
              <w:t>12,196</w:t>
            </w:r>
          </w:p>
        </w:tc>
      </w:tr>
      <w:tr>
        <w:trPr>
          <w:trHeight w:val="195"/>
        </w:trPr>
        <w:tc>
          <w:tcPr>
            <w:tcW w:w="6580" w:type="dxa"/>
            <w:vAlign w:val="bottom"/>
            <w:tcBorders>
              <w:bottom w:val="single" w:sz="8" w:color="001544"/>
            </w:tcBorders>
          </w:tcPr>
          <w:p>
            <w:pPr>
              <w:ind w:left="20"/>
              <w:spacing w:after="0"/>
              <w:rPr>
                <w:sz w:val="20"/>
                <w:szCs w:val="20"/>
                <w:color w:val="auto"/>
              </w:rPr>
            </w:pPr>
            <w:r>
              <w:rPr>
                <w:rFonts w:ascii="Arial" w:cs="Arial" w:eastAsia="Arial" w:hAnsi="Arial"/>
                <w:sz w:val="12"/>
                <w:szCs w:val="12"/>
                <w:color w:val="auto"/>
              </w:rPr>
              <w:t>Interest paid</w:t>
            </w:r>
          </w:p>
        </w:tc>
        <w:tc>
          <w:tcPr>
            <w:tcW w:w="2440" w:type="dxa"/>
            <w:vAlign w:val="bottom"/>
            <w:tcBorders>
              <w:bottom w:val="single" w:sz="8" w:color="001544"/>
            </w:tcBorders>
          </w:tcPr>
          <w:p>
            <w:pPr>
              <w:spacing w:after="0"/>
              <w:rPr>
                <w:sz w:val="16"/>
                <w:szCs w:val="16"/>
                <w:color w:val="auto"/>
              </w:rPr>
            </w:pPr>
          </w:p>
        </w:tc>
        <w:tc>
          <w:tcPr>
            <w:tcW w:w="1280" w:type="dxa"/>
            <w:vAlign w:val="bottom"/>
            <w:tcBorders>
              <w:bottom w:val="single" w:sz="8" w:color="001544"/>
            </w:tcBorders>
          </w:tcPr>
          <w:p>
            <w:pPr>
              <w:jc w:val="right"/>
              <w:ind w:right="342"/>
              <w:spacing w:after="0"/>
              <w:rPr>
                <w:sz w:val="20"/>
                <w:szCs w:val="20"/>
                <w:color w:val="auto"/>
              </w:rPr>
            </w:pPr>
            <w:r>
              <w:rPr>
                <w:rFonts w:ascii="Arial" w:cs="Arial" w:eastAsia="Arial" w:hAnsi="Arial"/>
                <w:sz w:val="12"/>
                <w:szCs w:val="12"/>
                <w:b w:val="1"/>
                <w:bCs w:val="1"/>
                <w:color w:val="auto"/>
              </w:rPr>
              <w:t>(876)</w:t>
            </w:r>
          </w:p>
        </w:tc>
        <w:tc>
          <w:tcPr>
            <w:tcW w:w="920" w:type="dxa"/>
            <w:vAlign w:val="bottom"/>
            <w:tcBorders>
              <w:bottom w:val="single" w:sz="8" w:color="001544"/>
            </w:tcBorders>
          </w:tcPr>
          <w:p>
            <w:pPr>
              <w:jc w:val="right"/>
              <w:spacing w:after="0"/>
              <w:rPr>
                <w:sz w:val="20"/>
                <w:szCs w:val="20"/>
                <w:color w:val="auto"/>
              </w:rPr>
            </w:pPr>
            <w:r>
              <w:rPr>
                <w:rFonts w:ascii="Arial" w:cs="Arial" w:eastAsia="Arial" w:hAnsi="Arial"/>
                <w:sz w:val="12"/>
                <w:szCs w:val="12"/>
                <w:color w:val="183964"/>
              </w:rPr>
              <w:t>(675)</w:t>
            </w:r>
          </w:p>
        </w:tc>
      </w:tr>
      <w:tr>
        <w:trPr>
          <w:trHeight w:val="183"/>
        </w:trPr>
        <w:tc>
          <w:tcPr>
            <w:tcW w:w="6580" w:type="dxa"/>
            <w:vAlign w:val="bottom"/>
            <w:tcBorders>
              <w:bottom w:val="single" w:sz="8" w:color="001544"/>
            </w:tcBorders>
          </w:tcPr>
          <w:p>
            <w:pPr>
              <w:ind w:left="20"/>
              <w:spacing w:after="0"/>
              <w:rPr>
                <w:sz w:val="20"/>
                <w:szCs w:val="20"/>
                <w:color w:val="auto"/>
              </w:rPr>
            </w:pPr>
            <w:r>
              <w:rPr>
                <w:rFonts w:ascii="Arial" w:cs="Arial" w:eastAsia="Arial" w:hAnsi="Arial"/>
                <w:sz w:val="12"/>
                <w:szCs w:val="12"/>
                <w:b w:val="1"/>
                <w:bCs w:val="1"/>
                <w:color w:val="auto"/>
              </w:rPr>
              <w:t>Net cash provided by (used in) operating activities</w:t>
            </w:r>
          </w:p>
        </w:tc>
        <w:tc>
          <w:tcPr>
            <w:tcW w:w="2440" w:type="dxa"/>
            <w:vAlign w:val="bottom"/>
            <w:tcBorders>
              <w:bottom w:val="single" w:sz="8" w:color="001544"/>
            </w:tcBorders>
          </w:tcPr>
          <w:p>
            <w:pPr>
              <w:spacing w:after="0"/>
              <w:rPr>
                <w:sz w:val="15"/>
                <w:szCs w:val="15"/>
                <w:color w:val="auto"/>
              </w:rPr>
            </w:pPr>
          </w:p>
        </w:tc>
        <w:tc>
          <w:tcPr>
            <w:tcW w:w="1280" w:type="dxa"/>
            <w:vAlign w:val="bottom"/>
            <w:tcBorders>
              <w:bottom w:val="single" w:sz="8" w:color="001544"/>
            </w:tcBorders>
          </w:tcPr>
          <w:p>
            <w:pPr>
              <w:jc w:val="right"/>
              <w:ind w:right="342"/>
              <w:spacing w:after="0"/>
              <w:rPr>
                <w:sz w:val="20"/>
                <w:szCs w:val="20"/>
                <w:color w:val="auto"/>
              </w:rPr>
            </w:pPr>
            <w:r>
              <w:rPr>
                <w:rFonts w:ascii="Arial" w:cs="Arial" w:eastAsia="Arial" w:hAnsi="Arial"/>
                <w:sz w:val="12"/>
                <w:szCs w:val="12"/>
                <w:b w:val="1"/>
                <w:bCs w:val="1"/>
                <w:color w:val="auto"/>
              </w:rPr>
              <w:t>(45,942)</w:t>
            </w:r>
          </w:p>
        </w:tc>
        <w:tc>
          <w:tcPr>
            <w:tcW w:w="920" w:type="dxa"/>
            <w:vAlign w:val="bottom"/>
            <w:tcBorders>
              <w:bottom w:val="single" w:sz="8" w:color="001544"/>
            </w:tcBorders>
          </w:tcPr>
          <w:p>
            <w:pPr>
              <w:jc w:val="right"/>
              <w:spacing w:after="0"/>
              <w:rPr>
                <w:sz w:val="20"/>
                <w:szCs w:val="20"/>
                <w:color w:val="auto"/>
              </w:rPr>
            </w:pPr>
            <w:r>
              <w:rPr>
                <w:rFonts w:ascii="Arial" w:cs="Arial" w:eastAsia="Arial" w:hAnsi="Arial"/>
                <w:sz w:val="12"/>
                <w:szCs w:val="12"/>
                <w:color w:val="183964"/>
              </w:rPr>
              <w:t>(80,014)</w:t>
            </w:r>
          </w:p>
        </w:tc>
      </w:tr>
      <w:tr>
        <w:trPr>
          <w:trHeight w:val="170"/>
        </w:trPr>
        <w:tc>
          <w:tcPr>
            <w:tcW w:w="6580" w:type="dxa"/>
            <w:vAlign w:val="bottom"/>
          </w:tcPr>
          <w:p>
            <w:pPr>
              <w:ind w:left="20"/>
              <w:spacing w:after="0"/>
              <w:rPr>
                <w:sz w:val="20"/>
                <w:szCs w:val="20"/>
                <w:color w:val="auto"/>
              </w:rPr>
            </w:pPr>
            <w:r>
              <w:rPr>
                <w:rFonts w:ascii="Arial" w:cs="Arial" w:eastAsia="Arial" w:hAnsi="Arial"/>
                <w:sz w:val="12"/>
                <w:szCs w:val="12"/>
                <w:color w:val="auto"/>
              </w:rPr>
              <w:t>Cash flows from investing activities:</w:t>
            </w:r>
          </w:p>
        </w:tc>
        <w:tc>
          <w:tcPr>
            <w:tcW w:w="2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5"/>
        </w:trPr>
        <w:tc>
          <w:tcPr>
            <w:tcW w:w="6580" w:type="dxa"/>
            <w:vAlign w:val="bottom"/>
          </w:tcPr>
          <w:p>
            <w:pPr>
              <w:ind w:left="20"/>
              <w:spacing w:after="0"/>
              <w:rPr>
                <w:sz w:val="20"/>
                <w:szCs w:val="20"/>
                <w:color w:val="auto"/>
              </w:rPr>
            </w:pPr>
            <w:r>
              <w:rPr>
                <w:rFonts w:ascii="Arial" w:cs="Arial" w:eastAsia="Arial" w:hAnsi="Arial"/>
                <w:sz w:val="12"/>
                <w:szCs w:val="12"/>
                <w:color w:val="auto"/>
              </w:rPr>
              <w:t>Proceeds from sale of property and equipment</w:t>
            </w:r>
          </w:p>
        </w:tc>
        <w:tc>
          <w:tcPr>
            <w:tcW w:w="2440" w:type="dxa"/>
            <w:vAlign w:val="bottom"/>
          </w:tcPr>
          <w:p>
            <w:pPr>
              <w:spacing w:after="0"/>
              <w:rPr>
                <w:sz w:val="16"/>
                <w:szCs w:val="16"/>
                <w:color w:val="auto"/>
              </w:rPr>
            </w:pPr>
          </w:p>
        </w:tc>
        <w:tc>
          <w:tcPr>
            <w:tcW w:w="1280" w:type="dxa"/>
            <w:vAlign w:val="bottom"/>
          </w:tcPr>
          <w:p>
            <w:pPr>
              <w:jc w:val="right"/>
              <w:ind w:right="382"/>
              <w:spacing w:after="0"/>
              <w:rPr>
                <w:sz w:val="20"/>
                <w:szCs w:val="20"/>
                <w:color w:val="auto"/>
              </w:rPr>
            </w:pPr>
            <w:r>
              <w:rPr>
                <w:rFonts w:ascii="Arial" w:cs="Arial" w:eastAsia="Arial" w:hAnsi="Arial"/>
                <w:sz w:val="12"/>
                <w:szCs w:val="12"/>
                <w:b w:val="1"/>
                <w:bCs w:val="1"/>
                <w:color w:val="auto"/>
              </w:rPr>
              <w:t>166</w:t>
            </w:r>
          </w:p>
        </w:tc>
        <w:tc>
          <w:tcPr>
            <w:tcW w:w="920" w:type="dxa"/>
            <w:vAlign w:val="bottom"/>
          </w:tcPr>
          <w:p>
            <w:pPr>
              <w:jc w:val="right"/>
              <w:ind w:right="2"/>
              <w:spacing w:after="0"/>
              <w:rPr>
                <w:sz w:val="20"/>
                <w:szCs w:val="20"/>
                <w:color w:val="auto"/>
              </w:rPr>
            </w:pPr>
            <w:r>
              <w:rPr>
                <w:rFonts w:ascii="Arial" w:cs="Arial" w:eastAsia="Arial" w:hAnsi="Arial"/>
                <w:sz w:val="12"/>
                <w:szCs w:val="12"/>
                <w:color w:val="183964"/>
              </w:rPr>
              <w:t>188</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Sale of investments held at fair value</w:t>
            </w:r>
          </w:p>
        </w:tc>
        <w:tc>
          <w:tcPr>
            <w:tcW w:w="2440" w:type="dxa"/>
            <w:vAlign w:val="bottom"/>
          </w:tcPr>
          <w:p>
            <w:pPr>
              <w:jc w:val="right"/>
              <w:ind w:right="362"/>
              <w:spacing w:after="0"/>
              <w:rPr>
                <w:sz w:val="20"/>
                <w:szCs w:val="20"/>
                <w:color w:val="auto"/>
              </w:rPr>
            </w:pPr>
            <w:r>
              <w:rPr>
                <w:rFonts w:ascii="Arial" w:cs="Arial" w:eastAsia="Arial" w:hAnsi="Arial"/>
                <w:sz w:val="12"/>
                <w:szCs w:val="12"/>
                <w:color w:val="183964"/>
              </w:rPr>
              <w:t>4</w:t>
            </w:r>
          </w:p>
        </w:tc>
        <w:tc>
          <w:tcPr>
            <w:tcW w:w="1280" w:type="dxa"/>
            <w:vAlign w:val="bottom"/>
          </w:tcPr>
          <w:p>
            <w:pPr>
              <w:jc w:val="right"/>
              <w:ind w:right="382"/>
              <w:spacing w:after="0"/>
              <w:rPr>
                <w:sz w:val="20"/>
                <w:szCs w:val="20"/>
                <w:color w:val="auto"/>
              </w:rPr>
            </w:pPr>
            <w:r>
              <w:rPr>
                <w:rFonts w:ascii="Arial" w:cs="Arial" w:eastAsia="Arial" w:hAnsi="Arial"/>
                <w:sz w:val="12"/>
                <w:szCs w:val="12"/>
                <w:b w:val="1"/>
                <w:bCs w:val="1"/>
                <w:color w:val="auto"/>
              </w:rPr>
              <w:t>2,753</w:t>
            </w:r>
          </w:p>
        </w:tc>
        <w:tc>
          <w:tcPr>
            <w:tcW w:w="920" w:type="dxa"/>
            <w:vAlign w:val="bottom"/>
          </w:tcPr>
          <w:p>
            <w:pPr>
              <w:jc w:val="right"/>
              <w:ind w:right="2"/>
              <w:spacing w:after="0"/>
              <w:rPr>
                <w:sz w:val="20"/>
                <w:szCs w:val="20"/>
                <w:color w:val="auto"/>
              </w:rPr>
            </w:pPr>
            <w:r>
              <w:rPr>
                <w:rFonts w:ascii="Arial" w:cs="Arial" w:eastAsia="Arial" w:hAnsi="Arial"/>
                <w:sz w:val="12"/>
                <w:szCs w:val="12"/>
                <w:color w:val="183964"/>
              </w:rPr>
              <w:t>292,672</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Repayment of short-term note from associate</w:t>
            </w:r>
          </w:p>
        </w:tc>
        <w:tc>
          <w:tcPr>
            <w:tcW w:w="2440" w:type="dxa"/>
            <w:vAlign w:val="bottom"/>
          </w:tcPr>
          <w:p>
            <w:pPr>
              <w:spacing w:after="0"/>
              <w:rPr>
                <w:sz w:val="16"/>
                <w:szCs w:val="16"/>
                <w:color w:val="auto"/>
              </w:rPr>
            </w:pPr>
          </w:p>
        </w:tc>
        <w:tc>
          <w:tcPr>
            <w:tcW w:w="1280" w:type="dxa"/>
            <w:vAlign w:val="bottom"/>
          </w:tcPr>
          <w:p>
            <w:pPr>
              <w:jc w:val="right"/>
              <w:ind w:right="382"/>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ind w:right="2"/>
              <w:spacing w:after="0"/>
              <w:rPr>
                <w:sz w:val="20"/>
                <w:szCs w:val="20"/>
                <w:color w:val="auto"/>
              </w:rPr>
            </w:pPr>
            <w:r>
              <w:rPr>
                <w:rFonts w:ascii="Arial" w:cs="Arial" w:eastAsia="Arial" w:hAnsi="Arial"/>
                <w:sz w:val="12"/>
                <w:szCs w:val="12"/>
                <w:color w:val="183964"/>
              </w:rPr>
              <w:t>660</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Short-term note to associate</w:t>
            </w:r>
          </w:p>
        </w:tc>
        <w:tc>
          <w:tcPr>
            <w:tcW w:w="2440" w:type="dxa"/>
            <w:vAlign w:val="bottom"/>
          </w:tcPr>
          <w:p>
            <w:pPr>
              <w:spacing w:after="0"/>
              <w:rPr>
                <w:sz w:val="16"/>
                <w:szCs w:val="16"/>
                <w:color w:val="auto"/>
              </w:rPr>
            </w:pPr>
          </w:p>
        </w:tc>
        <w:tc>
          <w:tcPr>
            <w:tcW w:w="1280" w:type="dxa"/>
            <w:vAlign w:val="bottom"/>
          </w:tcPr>
          <w:p>
            <w:pPr>
              <w:jc w:val="right"/>
              <w:ind w:right="382"/>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183964"/>
              </w:rPr>
              <w:t>(660)</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Purchases of short-term investments</w:t>
            </w:r>
          </w:p>
        </w:tc>
        <w:tc>
          <w:tcPr>
            <w:tcW w:w="2440" w:type="dxa"/>
            <w:vAlign w:val="bottom"/>
          </w:tcPr>
          <w:p>
            <w:pPr>
              <w:spacing w:after="0"/>
              <w:rPr>
                <w:sz w:val="16"/>
                <w:szCs w:val="16"/>
                <w:color w:val="auto"/>
              </w:rPr>
            </w:pPr>
          </w:p>
        </w:tc>
        <w:tc>
          <w:tcPr>
            <w:tcW w:w="1280" w:type="dxa"/>
            <w:vAlign w:val="bottom"/>
          </w:tcPr>
          <w:p>
            <w:pPr>
              <w:jc w:val="right"/>
              <w:ind w:right="342"/>
              <w:spacing w:after="0"/>
              <w:rPr>
                <w:sz w:val="20"/>
                <w:szCs w:val="20"/>
                <w:color w:val="auto"/>
              </w:rPr>
            </w:pPr>
            <w:r>
              <w:rPr>
                <w:rFonts w:ascii="Arial" w:cs="Arial" w:eastAsia="Arial" w:hAnsi="Arial"/>
                <w:sz w:val="12"/>
                <w:szCs w:val="12"/>
                <w:b w:val="1"/>
                <w:bCs w:val="1"/>
                <w:color w:val="auto"/>
              </w:rPr>
              <w:t>(59,275)</w:t>
            </w:r>
          </w:p>
        </w:tc>
        <w:tc>
          <w:tcPr>
            <w:tcW w:w="920" w:type="dxa"/>
            <w:vAlign w:val="bottom"/>
          </w:tcPr>
          <w:p>
            <w:pPr>
              <w:jc w:val="right"/>
              <w:spacing w:after="0"/>
              <w:rPr>
                <w:sz w:val="20"/>
                <w:szCs w:val="20"/>
                <w:color w:val="auto"/>
              </w:rPr>
            </w:pPr>
            <w:r>
              <w:rPr>
                <w:rFonts w:ascii="Arial" w:cs="Arial" w:eastAsia="Arial" w:hAnsi="Arial"/>
                <w:sz w:val="12"/>
                <w:szCs w:val="12"/>
                <w:color w:val="183964"/>
              </w:rPr>
              <w:t>(213,035)</w:t>
            </w:r>
          </w:p>
        </w:tc>
      </w:tr>
      <w:tr>
        <w:trPr>
          <w:trHeight w:val="195"/>
        </w:trPr>
        <w:tc>
          <w:tcPr>
            <w:tcW w:w="6580" w:type="dxa"/>
            <w:vAlign w:val="bottom"/>
            <w:tcBorders>
              <w:bottom w:val="single" w:sz="8" w:color="001544"/>
            </w:tcBorders>
          </w:tcPr>
          <w:p>
            <w:pPr>
              <w:ind w:left="20"/>
              <w:spacing w:after="0"/>
              <w:rPr>
                <w:sz w:val="20"/>
                <w:szCs w:val="20"/>
                <w:color w:val="auto"/>
              </w:rPr>
            </w:pPr>
            <w:r>
              <w:rPr>
                <w:rFonts w:ascii="Arial" w:cs="Arial" w:eastAsia="Arial" w:hAnsi="Arial"/>
                <w:sz w:val="12"/>
                <w:szCs w:val="12"/>
                <w:color w:val="auto"/>
              </w:rPr>
              <w:t>Proceeds from maturity of short-term investments</w:t>
            </w:r>
          </w:p>
        </w:tc>
        <w:tc>
          <w:tcPr>
            <w:tcW w:w="2440" w:type="dxa"/>
            <w:vAlign w:val="bottom"/>
            <w:tcBorders>
              <w:bottom w:val="single" w:sz="8" w:color="001544"/>
            </w:tcBorders>
          </w:tcPr>
          <w:p>
            <w:pPr>
              <w:spacing w:after="0"/>
              <w:rPr>
                <w:sz w:val="16"/>
                <w:szCs w:val="16"/>
                <w:color w:val="auto"/>
              </w:rPr>
            </w:pPr>
          </w:p>
        </w:tc>
        <w:tc>
          <w:tcPr>
            <w:tcW w:w="1280" w:type="dxa"/>
            <w:vAlign w:val="bottom"/>
            <w:tcBorders>
              <w:bottom w:val="single" w:sz="8" w:color="001544"/>
            </w:tcBorders>
          </w:tcPr>
          <w:p>
            <w:pPr>
              <w:jc w:val="right"/>
              <w:ind w:right="382"/>
              <w:spacing w:after="0"/>
              <w:rPr>
                <w:sz w:val="20"/>
                <w:szCs w:val="20"/>
                <w:color w:val="auto"/>
              </w:rPr>
            </w:pPr>
            <w:r>
              <w:rPr>
                <w:rFonts w:ascii="Arial" w:cs="Arial" w:eastAsia="Arial" w:hAnsi="Arial"/>
                <w:sz w:val="12"/>
                <w:szCs w:val="12"/>
                <w:b w:val="1"/>
                <w:bCs w:val="1"/>
                <w:color w:val="auto"/>
              </w:rPr>
              <w:t>86,035</w:t>
            </w:r>
          </w:p>
        </w:tc>
        <w:tc>
          <w:tcPr>
            <w:tcW w:w="920" w:type="dxa"/>
            <w:vAlign w:val="bottom"/>
            <w:tcBorders>
              <w:bottom w:val="single" w:sz="8" w:color="001544"/>
            </w:tcBorders>
          </w:tcPr>
          <w:p>
            <w:pPr>
              <w:jc w:val="right"/>
              <w:ind w:right="2"/>
              <w:spacing w:after="0"/>
              <w:rPr>
                <w:sz w:val="20"/>
                <w:szCs w:val="20"/>
                <w:color w:val="auto"/>
              </w:rPr>
            </w:pPr>
            <w:r>
              <w:rPr>
                <w:rFonts w:ascii="Arial" w:cs="Arial" w:eastAsia="Arial" w:hAnsi="Arial"/>
                <w:sz w:val="12"/>
                <w:szCs w:val="12"/>
                <w:color w:val="183964"/>
              </w:rPr>
              <w:t>156,687</w:t>
            </w:r>
          </w:p>
        </w:tc>
      </w:tr>
      <w:tr>
        <w:trPr>
          <w:trHeight w:val="183"/>
        </w:trPr>
        <w:tc>
          <w:tcPr>
            <w:tcW w:w="6580" w:type="dxa"/>
            <w:vAlign w:val="bottom"/>
            <w:tcBorders>
              <w:bottom w:val="single" w:sz="8" w:color="001544"/>
            </w:tcBorders>
          </w:tcPr>
          <w:p>
            <w:pPr>
              <w:ind w:left="20"/>
              <w:spacing w:after="0"/>
              <w:rPr>
                <w:sz w:val="20"/>
                <w:szCs w:val="20"/>
                <w:color w:val="auto"/>
              </w:rPr>
            </w:pPr>
            <w:r>
              <w:rPr>
                <w:rFonts w:ascii="Arial" w:cs="Arial" w:eastAsia="Arial" w:hAnsi="Arial"/>
                <w:sz w:val="12"/>
                <w:szCs w:val="12"/>
                <w:b w:val="1"/>
                <w:bCs w:val="1"/>
                <w:color w:val="auto"/>
              </w:rPr>
              <w:t>Net cash provided by (used in) investing activities</w:t>
            </w:r>
          </w:p>
        </w:tc>
        <w:tc>
          <w:tcPr>
            <w:tcW w:w="2440" w:type="dxa"/>
            <w:vAlign w:val="bottom"/>
            <w:tcBorders>
              <w:bottom w:val="single" w:sz="8" w:color="001544"/>
            </w:tcBorders>
          </w:tcPr>
          <w:p>
            <w:pPr>
              <w:spacing w:after="0"/>
              <w:rPr>
                <w:sz w:val="15"/>
                <w:szCs w:val="15"/>
                <w:color w:val="auto"/>
              </w:rPr>
            </w:pPr>
          </w:p>
        </w:tc>
        <w:tc>
          <w:tcPr>
            <w:tcW w:w="1280" w:type="dxa"/>
            <w:vAlign w:val="bottom"/>
            <w:tcBorders>
              <w:bottom w:val="single" w:sz="8" w:color="001544"/>
            </w:tcBorders>
          </w:tcPr>
          <w:p>
            <w:pPr>
              <w:jc w:val="right"/>
              <w:ind w:right="382"/>
              <w:spacing w:after="0"/>
              <w:rPr>
                <w:sz w:val="20"/>
                <w:szCs w:val="20"/>
                <w:color w:val="auto"/>
              </w:rPr>
            </w:pPr>
            <w:r>
              <w:rPr>
                <w:rFonts w:ascii="Arial" w:cs="Arial" w:eastAsia="Arial" w:hAnsi="Arial"/>
                <w:sz w:val="12"/>
                <w:szCs w:val="12"/>
                <w:b w:val="1"/>
                <w:bCs w:val="1"/>
                <w:color w:val="auto"/>
              </w:rPr>
              <w:t>29,679</w:t>
            </w:r>
          </w:p>
        </w:tc>
        <w:tc>
          <w:tcPr>
            <w:tcW w:w="920" w:type="dxa"/>
            <w:vAlign w:val="bottom"/>
            <w:tcBorders>
              <w:bottom w:val="single" w:sz="8" w:color="001544"/>
            </w:tcBorders>
          </w:tcPr>
          <w:p>
            <w:pPr>
              <w:jc w:val="right"/>
              <w:ind w:right="2"/>
              <w:spacing w:after="0"/>
              <w:rPr>
                <w:sz w:val="20"/>
                <w:szCs w:val="20"/>
                <w:color w:val="auto"/>
              </w:rPr>
            </w:pPr>
            <w:r>
              <w:rPr>
                <w:rFonts w:ascii="Arial" w:cs="Arial" w:eastAsia="Arial" w:hAnsi="Arial"/>
                <w:sz w:val="12"/>
                <w:szCs w:val="12"/>
                <w:color w:val="183964"/>
              </w:rPr>
              <w:t>236,512</w:t>
            </w:r>
          </w:p>
        </w:tc>
      </w:tr>
      <w:tr>
        <w:trPr>
          <w:trHeight w:val="170"/>
        </w:trPr>
        <w:tc>
          <w:tcPr>
            <w:tcW w:w="6580" w:type="dxa"/>
            <w:vAlign w:val="bottom"/>
          </w:tcPr>
          <w:p>
            <w:pPr>
              <w:ind w:left="20"/>
              <w:spacing w:after="0"/>
              <w:rPr>
                <w:sz w:val="20"/>
                <w:szCs w:val="20"/>
                <w:color w:val="auto"/>
              </w:rPr>
            </w:pPr>
            <w:r>
              <w:rPr>
                <w:rFonts w:ascii="Arial" w:cs="Arial" w:eastAsia="Arial" w:hAnsi="Arial"/>
                <w:sz w:val="12"/>
                <w:szCs w:val="12"/>
                <w:color w:val="auto"/>
              </w:rPr>
              <w:t>Cash flows from financing activities:</w:t>
            </w:r>
          </w:p>
        </w:tc>
        <w:tc>
          <w:tcPr>
            <w:tcW w:w="2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5"/>
        </w:trPr>
        <w:tc>
          <w:tcPr>
            <w:tcW w:w="6580" w:type="dxa"/>
            <w:vAlign w:val="bottom"/>
          </w:tcPr>
          <w:p>
            <w:pPr>
              <w:ind w:left="20"/>
              <w:spacing w:after="0"/>
              <w:rPr>
                <w:sz w:val="20"/>
                <w:szCs w:val="20"/>
                <w:color w:val="auto"/>
              </w:rPr>
            </w:pPr>
            <w:r>
              <w:rPr>
                <w:rFonts w:ascii="Arial" w:cs="Arial" w:eastAsia="Arial" w:hAnsi="Arial"/>
                <w:sz w:val="12"/>
                <w:szCs w:val="12"/>
                <w:color w:val="auto"/>
              </w:rPr>
              <w:t>Issuance of subsidiary preferred shares</w:t>
            </w:r>
          </w:p>
        </w:tc>
        <w:tc>
          <w:tcPr>
            <w:tcW w:w="2440" w:type="dxa"/>
            <w:vAlign w:val="bottom"/>
          </w:tcPr>
          <w:p>
            <w:pPr>
              <w:jc w:val="right"/>
              <w:ind w:right="362"/>
              <w:spacing w:after="0"/>
              <w:rPr>
                <w:sz w:val="20"/>
                <w:szCs w:val="20"/>
                <w:color w:val="auto"/>
              </w:rPr>
            </w:pPr>
            <w:r>
              <w:rPr>
                <w:rFonts w:ascii="Arial" w:cs="Arial" w:eastAsia="Arial" w:hAnsi="Arial"/>
                <w:sz w:val="12"/>
                <w:szCs w:val="12"/>
                <w:color w:val="183964"/>
              </w:rPr>
              <w:t>11</w:t>
            </w:r>
          </w:p>
        </w:tc>
        <w:tc>
          <w:tcPr>
            <w:tcW w:w="1280" w:type="dxa"/>
            <w:vAlign w:val="bottom"/>
          </w:tcPr>
          <w:p>
            <w:pPr>
              <w:jc w:val="right"/>
              <w:ind w:right="382"/>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ind w:right="2"/>
              <w:spacing w:after="0"/>
              <w:rPr>
                <w:sz w:val="20"/>
                <w:szCs w:val="20"/>
                <w:color w:val="auto"/>
              </w:rPr>
            </w:pPr>
            <w:r>
              <w:rPr>
                <w:rFonts w:ascii="Arial" w:cs="Arial" w:eastAsia="Arial" w:hAnsi="Arial"/>
                <w:sz w:val="12"/>
                <w:szCs w:val="12"/>
                <w:color w:val="183964"/>
              </w:rPr>
              <w:t>68,100</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Payment of lease liability</w:t>
            </w:r>
          </w:p>
        </w:tc>
        <w:tc>
          <w:tcPr>
            <w:tcW w:w="2440" w:type="dxa"/>
            <w:vAlign w:val="bottom"/>
          </w:tcPr>
          <w:p>
            <w:pPr>
              <w:spacing w:after="0"/>
              <w:rPr>
                <w:sz w:val="16"/>
                <w:szCs w:val="16"/>
                <w:color w:val="auto"/>
              </w:rPr>
            </w:pPr>
          </w:p>
        </w:tc>
        <w:tc>
          <w:tcPr>
            <w:tcW w:w="1280" w:type="dxa"/>
            <w:vAlign w:val="bottom"/>
          </w:tcPr>
          <w:p>
            <w:pPr>
              <w:jc w:val="right"/>
              <w:ind w:right="342"/>
              <w:spacing w:after="0"/>
              <w:rPr>
                <w:sz w:val="20"/>
                <w:szCs w:val="20"/>
                <w:color w:val="auto"/>
              </w:rPr>
            </w:pPr>
            <w:r>
              <w:rPr>
                <w:rFonts w:ascii="Arial" w:cs="Arial" w:eastAsia="Arial" w:hAnsi="Arial"/>
                <w:sz w:val="12"/>
                <w:szCs w:val="12"/>
                <w:b w:val="1"/>
                <w:bCs w:val="1"/>
                <w:color w:val="auto"/>
              </w:rPr>
              <w:t>(1,827)</w:t>
            </w:r>
          </w:p>
        </w:tc>
        <w:tc>
          <w:tcPr>
            <w:tcW w:w="920" w:type="dxa"/>
            <w:vAlign w:val="bottom"/>
          </w:tcPr>
          <w:p>
            <w:pPr>
              <w:jc w:val="right"/>
              <w:spacing w:after="0"/>
              <w:rPr>
                <w:sz w:val="20"/>
                <w:szCs w:val="20"/>
                <w:color w:val="auto"/>
              </w:rPr>
            </w:pPr>
            <w:r>
              <w:rPr>
                <w:rFonts w:ascii="Arial" w:cs="Arial" w:eastAsia="Arial" w:hAnsi="Arial"/>
                <w:sz w:val="12"/>
                <w:szCs w:val="12"/>
                <w:color w:val="183964"/>
              </w:rPr>
              <w:t>(1,648)</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Exercise of stock options</w:t>
            </w:r>
          </w:p>
        </w:tc>
        <w:tc>
          <w:tcPr>
            <w:tcW w:w="2440" w:type="dxa"/>
            <w:vAlign w:val="bottom"/>
          </w:tcPr>
          <w:p>
            <w:pPr>
              <w:spacing w:after="0"/>
              <w:rPr>
                <w:sz w:val="16"/>
                <w:szCs w:val="16"/>
                <w:color w:val="auto"/>
              </w:rPr>
            </w:pPr>
          </w:p>
        </w:tc>
        <w:tc>
          <w:tcPr>
            <w:tcW w:w="1280" w:type="dxa"/>
            <w:vAlign w:val="bottom"/>
          </w:tcPr>
          <w:p>
            <w:pPr>
              <w:jc w:val="right"/>
              <w:ind w:right="382"/>
              <w:spacing w:after="0"/>
              <w:rPr>
                <w:sz w:val="20"/>
                <w:szCs w:val="20"/>
                <w:color w:val="auto"/>
              </w:rPr>
            </w:pPr>
            <w:r>
              <w:rPr>
                <w:rFonts w:ascii="Arial" w:cs="Arial" w:eastAsia="Arial" w:hAnsi="Arial"/>
                <w:sz w:val="12"/>
                <w:szCs w:val="12"/>
                <w:b w:val="1"/>
                <w:bCs w:val="1"/>
                <w:color w:val="auto"/>
              </w:rPr>
              <w:t>106</w:t>
            </w:r>
          </w:p>
        </w:tc>
        <w:tc>
          <w:tcPr>
            <w:tcW w:w="920" w:type="dxa"/>
            <w:vAlign w:val="bottom"/>
          </w:tcPr>
          <w:p>
            <w:pPr>
              <w:jc w:val="right"/>
              <w:ind w:right="2"/>
              <w:spacing w:after="0"/>
              <w:rPr>
                <w:sz w:val="20"/>
                <w:szCs w:val="20"/>
                <w:color w:val="auto"/>
              </w:rPr>
            </w:pPr>
            <w:r>
              <w:rPr>
                <w:rFonts w:ascii="Arial" w:cs="Arial" w:eastAsia="Arial" w:hAnsi="Arial"/>
                <w:sz w:val="12"/>
                <w:szCs w:val="12"/>
                <w:color w:val="183964"/>
              </w:rPr>
              <w:t>895</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Repurchase of ordinary shares from Tender Offer, including associated costs</w:t>
            </w:r>
          </w:p>
        </w:tc>
        <w:tc>
          <w:tcPr>
            <w:tcW w:w="2440" w:type="dxa"/>
            <w:vAlign w:val="bottom"/>
          </w:tcPr>
          <w:p>
            <w:pPr>
              <w:jc w:val="right"/>
              <w:ind w:right="362"/>
              <w:spacing w:after="0"/>
              <w:rPr>
                <w:sz w:val="20"/>
                <w:szCs w:val="20"/>
                <w:color w:val="auto"/>
              </w:rPr>
            </w:pPr>
            <w:r>
              <w:rPr>
                <w:rFonts w:ascii="Arial" w:cs="Arial" w:eastAsia="Arial" w:hAnsi="Arial"/>
                <w:sz w:val="12"/>
                <w:szCs w:val="12"/>
                <w:color w:val="183964"/>
              </w:rPr>
              <w:t>10</w:t>
            </w:r>
          </w:p>
        </w:tc>
        <w:tc>
          <w:tcPr>
            <w:tcW w:w="1280" w:type="dxa"/>
            <w:vAlign w:val="bottom"/>
          </w:tcPr>
          <w:p>
            <w:pPr>
              <w:jc w:val="right"/>
              <w:ind w:right="342"/>
              <w:spacing w:after="0"/>
              <w:rPr>
                <w:sz w:val="20"/>
                <w:szCs w:val="20"/>
                <w:color w:val="auto"/>
              </w:rPr>
            </w:pPr>
            <w:r>
              <w:rPr>
                <w:rFonts w:ascii="Arial" w:cs="Arial" w:eastAsia="Arial" w:hAnsi="Arial"/>
                <w:sz w:val="12"/>
                <w:szCs w:val="12"/>
                <w:b w:val="1"/>
                <w:bCs w:val="1"/>
                <w:color w:val="auto"/>
              </w:rPr>
              <w:t>(2,053)</w:t>
            </w:r>
          </w:p>
        </w:tc>
        <w:tc>
          <w:tcPr>
            <w:tcW w:w="920" w:type="dxa"/>
            <w:vAlign w:val="bottom"/>
          </w:tcPr>
          <w:p>
            <w:pPr>
              <w:jc w:val="right"/>
              <w:spacing w:after="0"/>
              <w:rPr>
                <w:sz w:val="20"/>
                <w:szCs w:val="20"/>
                <w:color w:val="auto"/>
              </w:rPr>
            </w:pPr>
            <w:r>
              <w:rPr>
                <w:rFonts w:ascii="Arial" w:cs="Arial" w:eastAsia="Arial" w:hAnsi="Arial"/>
                <w:sz w:val="12"/>
                <w:szCs w:val="12"/>
                <w:color w:val="183964"/>
              </w:rPr>
              <w:t>(101,629)</w:t>
            </w:r>
          </w:p>
        </w:tc>
      </w:tr>
      <w:tr>
        <w:trPr>
          <w:trHeight w:val="195"/>
        </w:trPr>
        <w:tc>
          <w:tcPr>
            <w:tcW w:w="6580" w:type="dxa"/>
            <w:vAlign w:val="bottom"/>
            <w:tcBorders>
              <w:bottom w:val="single" w:sz="8" w:color="001544"/>
            </w:tcBorders>
          </w:tcPr>
          <w:p>
            <w:pPr>
              <w:ind w:left="20"/>
              <w:spacing w:after="0"/>
              <w:rPr>
                <w:sz w:val="20"/>
                <w:szCs w:val="20"/>
                <w:color w:val="auto"/>
              </w:rPr>
            </w:pPr>
            <w:r>
              <w:rPr>
                <w:rFonts w:ascii="Arial" w:cs="Arial" w:eastAsia="Arial" w:hAnsi="Arial"/>
                <w:sz w:val="12"/>
                <w:szCs w:val="12"/>
                <w:color w:val="auto"/>
              </w:rPr>
              <w:t>Purchase of treasury stock</w:t>
            </w:r>
          </w:p>
        </w:tc>
        <w:tc>
          <w:tcPr>
            <w:tcW w:w="2440" w:type="dxa"/>
            <w:vAlign w:val="bottom"/>
            <w:tcBorders>
              <w:bottom w:val="single" w:sz="8" w:color="001544"/>
            </w:tcBorders>
          </w:tcPr>
          <w:p>
            <w:pPr>
              <w:jc w:val="right"/>
              <w:ind w:right="362"/>
              <w:spacing w:after="0"/>
              <w:rPr>
                <w:sz w:val="20"/>
                <w:szCs w:val="20"/>
                <w:color w:val="auto"/>
              </w:rPr>
            </w:pPr>
            <w:r>
              <w:rPr>
                <w:rFonts w:ascii="Arial" w:cs="Arial" w:eastAsia="Arial" w:hAnsi="Arial"/>
                <w:sz w:val="12"/>
                <w:szCs w:val="12"/>
                <w:color w:val="183964"/>
              </w:rPr>
              <w:t>10</w:t>
            </w:r>
          </w:p>
        </w:tc>
        <w:tc>
          <w:tcPr>
            <w:tcW w:w="1280" w:type="dxa"/>
            <w:vAlign w:val="bottom"/>
            <w:tcBorders>
              <w:bottom w:val="single" w:sz="8" w:color="001544"/>
            </w:tcBorders>
          </w:tcPr>
          <w:p>
            <w:pPr>
              <w:jc w:val="right"/>
              <w:ind w:right="382"/>
              <w:spacing w:after="0"/>
              <w:rPr>
                <w:sz w:val="20"/>
                <w:szCs w:val="20"/>
                <w:color w:val="auto"/>
              </w:rPr>
            </w:pPr>
            <w:r>
              <w:rPr>
                <w:rFonts w:ascii="Arial" w:cs="Arial" w:eastAsia="Arial" w:hAnsi="Arial"/>
                <w:sz w:val="12"/>
                <w:szCs w:val="12"/>
                <w:b w:val="1"/>
                <w:bCs w:val="1"/>
                <w:color w:val="auto"/>
              </w:rPr>
              <w:t>—</w:t>
            </w:r>
          </w:p>
        </w:tc>
        <w:tc>
          <w:tcPr>
            <w:tcW w:w="920" w:type="dxa"/>
            <w:vAlign w:val="bottom"/>
            <w:tcBorders>
              <w:bottom w:val="single" w:sz="8" w:color="001544"/>
            </w:tcBorders>
          </w:tcPr>
          <w:p>
            <w:pPr>
              <w:jc w:val="right"/>
              <w:spacing w:after="0"/>
              <w:rPr>
                <w:sz w:val="20"/>
                <w:szCs w:val="20"/>
                <w:color w:val="auto"/>
              </w:rPr>
            </w:pPr>
            <w:r>
              <w:rPr>
                <w:rFonts w:ascii="Arial" w:cs="Arial" w:eastAsia="Arial" w:hAnsi="Arial"/>
                <w:sz w:val="12"/>
                <w:szCs w:val="12"/>
                <w:color w:val="183964"/>
              </w:rPr>
              <w:t>(4,819)</w:t>
            </w:r>
          </w:p>
        </w:tc>
      </w:tr>
      <w:tr>
        <w:trPr>
          <w:trHeight w:val="183"/>
        </w:trPr>
        <w:tc>
          <w:tcPr>
            <w:tcW w:w="6580" w:type="dxa"/>
            <w:vAlign w:val="bottom"/>
            <w:tcBorders>
              <w:bottom w:val="single" w:sz="8" w:color="001544"/>
            </w:tcBorders>
          </w:tcPr>
          <w:p>
            <w:pPr>
              <w:ind w:left="20"/>
              <w:spacing w:after="0"/>
              <w:rPr>
                <w:sz w:val="20"/>
                <w:szCs w:val="20"/>
                <w:color w:val="auto"/>
              </w:rPr>
            </w:pPr>
            <w:r>
              <w:rPr>
                <w:rFonts w:ascii="Arial" w:cs="Arial" w:eastAsia="Arial" w:hAnsi="Arial"/>
                <w:sz w:val="12"/>
                <w:szCs w:val="12"/>
                <w:b w:val="1"/>
                <w:bCs w:val="1"/>
                <w:color w:val="auto"/>
              </w:rPr>
              <w:t>Net cash provided by (used in) financing activities</w:t>
            </w:r>
          </w:p>
        </w:tc>
        <w:tc>
          <w:tcPr>
            <w:tcW w:w="2440" w:type="dxa"/>
            <w:vAlign w:val="bottom"/>
            <w:tcBorders>
              <w:bottom w:val="single" w:sz="8" w:color="001544"/>
            </w:tcBorders>
          </w:tcPr>
          <w:p>
            <w:pPr>
              <w:spacing w:after="0"/>
              <w:rPr>
                <w:sz w:val="15"/>
                <w:szCs w:val="15"/>
                <w:color w:val="auto"/>
              </w:rPr>
            </w:pPr>
          </w:p>
        </w:tc>
        <w:tc>
          <w:tcPr>
            <w:tcW w:w="1280" w:type="dxa"/>
            <w:vAlign w:val="bottom"/>
            <w:tcBorders>
              <w:bottom w:val="single" w:sz="8" w:color="001544"/>
            </w:tcBorders>
          </w:tcPr>
          <w:p>
            <w:pPr>
              <w:jc w:val="right"/>
              <w:ind w:right="342"/>
              <w:spacing w:after="0"/>
              <w:rPr>
                <w:sz w:val="20"/>
                <w:szCs w:val="20"/>
                <w:color w:val="auto"/>
              </w:rPr>
            </w:pPr>
            <w:r>
              <w:rPr>
                <w:rFonts w:ascii="Arial" w:cs="Arial" w:eastAsia="Arial" w:hAnsi="Arial"/>
                <w:sz w:val="12"/>
                <w:szCs w:val="12"/>
                <w:b w:val="1"/>
                <w:bCs w:val="1"/>
                <w:color w:val="auto"/>
              </w:rPr>
              <w:t>(3,775)</w:t>
            </w:r>
          </w:p>
        </w:tc>
        <w:tc>
          <w:tcPr>
            <w:tcW w:w="920" w:type="dxa"/>
            <w:vAlign w:val="bottom"/>
            <w:tcBorders>
              <w:bottom w:val="single" w:sz="8" w:color="001544"/>
            </w:tcBorders>
          </w:tcPr>
          <w:p>
            <w:pPr>
              <w:jc w:val="right"/>
              <w:spacing w:after="0"/>
              <w:rPr>
                <w:sz w:val="20"/>
                <w:szCs w:val="20"/>
                <w:color w:val="auto"/>
              </w:rPr>
            </w:pPr>
            <w:r>
              <w:rPr>
                <w:rFonts w:ascii="Arial" w:cs="Arial" w:eastAsia="Arial" w:hAnsi="Arial"/>
                <w:sz w:val="12"/>
                <w:szCs w:val="12"/>
                <w:color w:val="183964"/>
              </w:rPr>
              <w:t>(39,101)</w:t>
            </w:r>
          </w:p>
        </w:tc>
      </w:tr>
      <w:tr>
        <w:trPr>
          <w:trHeight w:val="177"/>
        </w:trPr>
        <w:tc>
          <w:tcPr>
            <w:tcW w:w="6580" w:type="dxa"/>
            <w:vAlign w:val="bottom"/>
          </w:tcPr>
          <w:p>
            <w:pPr>
              <w:ind w:left="20"/>
              <w:spacing w:after="0"/>
              <w:rPr>
                <w:sz w:val="20"/>
                <w:szCs w:val="20"/>
                <w:color w:val="auto"/>
              </w:rPr>
            </w:pPr>
            <w:r>
              <w:rPr>
                <w:rFonts w:ascii="Arial" w:cs="Arial" w:eastAsia="Arial" w:hAnsi="Arial"/>
                <w:sz w:val="12"/>
                <w:szCs w:val="12"/>
                <w:color w:val="auto"/>
              </w:rPr>
              <w:t>Net increase (decrease) in cash and cash equivalents</w:t>
            </w:r>
          </w:p>
        </w:tc>
        <w:tc>
          <w:tcPr>
            <w:tcW w:w="2440" w:type="dxa"/>
            <w:vAlign w:val="bottom"/>
          </w:tcPr>
          <w:p>
            <w:pPr>
              <w:spacing w:after="0"/>
              <w:rPr>
                <w:sz w:val="15"/>
                <w:szCs w:val="15"/>
                <w:color w:val="auto"/>
              </w:rPr>
            </w:pPr>
          </w:p>
        </w:tc>
        <w:tc>
          <w:tcPr>
            <w:tcW w:w="1280" w:type="dxa"/>
            <w:vAlign w:val="bottom"/>
          </w:tcPr>
          <w:p>
            <w:pPr>
              <w:jc w:val="right"/>
              <w:ind w:right="342"/>
              <w:spacing w:after="0"/>
              <w:rPr>
                <w:sz w:val="20"/>
                <w:szCs w:val="20"/>
                <w:color w:val="auto"/>
              </w:rPr>
            </w:pPr>
            <w:r>
              <w:rPr>
                <w:rFonts w:ascii="Arial" w:cs="Arial" w:eastAsia="Arial" w:hAnsi="Arial"/>
                <w:sz w:val="12"/>
                <w:szCs w:val="12"/>
                <w:b w:val="1"/>
                <w:bCs w:val="1"/>
                <w:color w:val="auto"/>
              </w:rPr>
              <w:t>(20,037)</w:t>
            </w:r>
          </w:p>
        </w:tc>
        <w:tc>
          <w:tcPr>
            <w:tcW w:w="920" w:type="dxa"/>
            <w:vAlign w:val="bottom"/>
          </w:tcPr>
          <w:p>
            <w:pPr>
              <w:jc w:val="right"/>
              <w:ind w:right="2"/>
              <w:spacing w:after="0"/>
              <w:rPr>
                <w:sz w:val="20"/>
                <w:szCs w:val="20"/>
                <w:color w:val="auto"/>
              </w:rPr>
            </w:pPr>
            <w:r>
              <w:rPr>
                <w:rFonts w:ascii="Arial" w:cs="Arial" w:eastAsia="Arial" w:hAnsi="Arial"/>
                <w:sz w:val="12"/>
                <w:szCs w:val="12"/>
                <w:color w:val="183964"/>
              </w:rPr>
              <w:t>117,397</w:t>
            </w:r>
          </w:p>
        </w:tc>
      </w:tr>
      <w:tr>
        <w:trPr>
          <w:trHeight w:val="195"/>
        </w:trPr>
        <w:tc>
          <w:tcPr>
            <w:tcW w:w="6580" w:type="dxa"/>
            <w:vAlign w:val="bottom"/>
            <w:tcBorders>
              <w:bottom w:val="single" w:sz="8" w:color="001544"/>
            </w:tcBorders>
          </w:tcPr>
          <w:p>
            <w:pPr>
              <w:ind w:left="20"/>
              <w:spacing w:after="0"/>
              <w:rPr>
                <w:sz w:val="20"/>
                <w:szCs w:val="20"/>
                <w:color w:val="auto"/>
              </w:rPr>
            </w:pPr>
            <w:r>
              <w:rPr>
                <w:rFonts w:ascii="Arial" w:cs="Arial" w:eastAsia="Arial" w:hAnsi="Arial"/>
                <w:sz w:val="12"/>
                <w:szCs w:val="12"/>
                <w:color w:val="auto"/>
              </w:rPr>
              <w:t>Cash and cash equivalents at beginning of year</w:t>
            </w:r>
          </w:p>
        </w:tc>
        <w:tc>
          <w:tcPr>
            <w:tcW w:w="2440" w:type="dxa"/>
            <w:vAlign w:val="bottom"/>
            <w:tcBorders>
              <w:bottom w:val="single" w:sz="8" w:color="001544"/>
            </w:tcBorders>
          </w:tcPr>
          <w:p>
            <w:pPr>
              <w:spacing w:after="0"/>
              <w:rPr>
                <w:sz w:val="16"/>
                <w:szCs w:val="16"/>
                <w:color w:val="auto"/>
              </w:rPr>
            </w:pPr>
          </w:p>
        </w:tc>
        <w:tc>
          <w:tcPr>
            <w:tcW w:w="1280" w:type="dxa"/>
            <w:vAlign w:val="bottom"/>
            <w:tcBorders>
              <w:bottom w:val="single" w:sz="8" w:color="001544"/>
            </w:tcBorders>
          </w:tcPr>
          <w:p>
            <w:pPr>
              <w:jc w:val="right"/>
              <w:ind w:right="382"/>
              <w:spacing w:after="0"/>
              <w:rPr>
                <w:sz w:val="20"/>
                <w:szCs w:val="20"/>
                <w:color w:val="auto"/>
              </w:rPr>
            </w:pPr>
            <w:r>
              <w:rPr>
                <w:rFonts w:ascii="Arial" w:cs="Arial" w:eastAsia="Arial" w:hAnsi="Arial"/>
                <w:sz w:val="12"/>
                <w:szCs w:val="12"/>
                <w:b w:val="1"/>
                <w:bCs w:val="1"/>
                <w:color w:val="auto"/>
              </w:rPr>
              <w:t>280,641</w:t>
            </w:r>
          </w:p>
        </w:tc>
        <w:tc>
          <w:tcPr>
            <w:tcW w:w="920" w:type="dxa"/>
            <w:vAlign w:val="bottom"/>
            <w:tcBorders>
              <w:bottom w:val="single" w:sz="8" w:color="001544"/>
            </w:tcBorders>
          </w:tcPr>
          <w:p>
            <w:pPr>
              <w:jc w:val="right"/>
              <w:ind w:right="2"/>
              <w:spacing w:after="0"/>
              <w:rPr>
                <w:sz w:val="20"/>
                <w:szCs w:val="20"/>
                <w:color w:val="auto"/>
              </w:rPr>
            </w:pPr>
            <w:r>
              <w:rPr>
                <w:rFonts w:ascii="Arial" w:cs="Arial" w:eastAsia="Arial" w:hAnsi="Arial"/>
                <w:sz w:val="12"/>
                <w:szCs w:val="12"/>
                <w:color w:val="183964"/>
              </w:rPr>
              <w:t>191,081</w:t>
            </w:r>
          </w:p>
        </w:tc>
      </w:tr>
      <w:tr>
        <w:trPr>
          <w:trHeight w:val="183"/>
        </w:trPr>
        <w:tc>
          <w:tcPr>
            <w:tcW w:w="6580" w:type="dxa"/>
            <w:vAlign w:val="bottom"/>
            <w:tcBorders>
              <w:bottom w:val="single" w:sz="8" w:color="001544"/>
            </w:tcBorders>
          </w:tcPr>
          <w:p>
            <w:pPr>
              <w:ind w:left="20"/>
              <w:spacing w:after="0"/>
              <w:rPr>
                <w:sz w:val="20"/>
                <w:szCs w:val="20"/>
                <w:color w:val="auto"/>
              </w:rPr>
            </w:pPr>
            <w:r>
              <w:rPr>
                <w:rFonts w:ascii="Arial" w:cs="Arial" w:eastAsia="Arial" w:hAnsi="Arial"/>
                <w:sz w:val="12"/>
                <w:szCs w:val="12"/>
                <w:b w:val="1"/>
                <w:bCs w:val="1"/>
                <w:color w:val="auto"/>
              </w:rPr>
              <w:t>Cash and cash equivalents at end of period</w:t>
            </w:r>
          </w:p>
        </w:tc>
        <w:tc>
          <w:tcPr>
            <w:tcW w:w="2440" w:type="dxa"/>
            <w:vAlign w:val="bottom"/>
            <w:tcBorders>
              <w:bottom w:val="single" w:sz="8" w:color="001544"/>
            </w:tcBorders>
          </w:tcPr>
          <w:p>
            <w:pPr>
              <w:spacing w:after="0"/>
              <w:rPr>
                <w:sz w:val="15"/>
                <w:szCs w:val="15"/>
                <w:color w:val="auto"/>
              </w:rPr>
            </w:pPr>
          </w:p>
        </w:tc>
        <w:tc>
          <w:tcPr>
            <w:tcW w:w="1280" w:type="dxa"/>
            <w:vAlign w:val="bottom"/>
            <w:tcBorders>
              <w:bottom w:val="single" w:sz="8" w:color="001544"/>
            </w:tcBorders>
          </w:tcPr>
          <w:p>
            <w:pPr>
              <w:jc w:val="right"/>
              <w:ind w:right="382"/>
              <w:spacing w:after="0"/>
              <w:rPr>
                <w:sz w:val="20"/>
                <w:szCs w:val="20"/>
                <w:color w:val="auto"/>
              </w:rPr>
            </w:pPr>
            <w:r>
              <w:rPr>
                <w:rFonts w:ascii="Arial" w:cs="Arial" w:eastAsia="Arial" w:hAnsi="Arial"/>
                <w:sz w:val="12"/>
                <w:szCs w:val="12"/>
                <w:b w:val="1"/>
                <w:bCs w:val="1"/>
                <w:color w:val="auto"/>
              </w:rPr>
              <w:t>260,604</w:t>
            </w:r>
          </w:p>
        </w:tc>
        <w:tc>
          <w:tcPr>
            <w:tcW w:w="920" w:type="dxa"/>
            <w:vAlign w:val="bottom"/>
            <w:tcBorders>
              <w:bottom w:val="single" w:sz="8" w:color="001544"/>
            </w:tcBorders>
          </w:tcPr>
          <w:p>
            <w:pPr>
              <w:jc w:val="right"/>
              <w:ind w:right="2"/>
              <w:spacing w:after="0"/>
              <w:rPr>
                <w:sz w:val="20"/>
                <w:szCs w:val="20"/>
                <w:color w:val="auto"/>
              </w:rPr>
            </w:pPr>
            <w:r>
              <w:rPr>
                <w:rFonts w:ascii="Arial" w:cs="Arial" w:eastAsia="Arial" w:hAnsi="Arial"/>
                <w:sz w:val="12"/>
                <w:szCs w:val="12"/>
                <w:color w:val="183964"/>
              </w:rPr>
              <w:t>308,478</w:t>
            </w:r>
          </w:p>
        </w:tc>
      </w:tr>
      <w:tr>
        <w:trPr>
          <w:trHeight w:val="176"/>
        </w:trPr>
        <w:tc>
          <w:tcPr>
            <w:tcW w:w="6580" w:type="dxa"/>
            <w:vAlign w:val="bottom"/>
          </w:tcPr>
          <w:p>
            <w:pPr>
              <w:ind w:left="20"/>
              <w:spacing w:after="0"/>
              <w:rPr>
                <w:sz w:val="20"/>
                <w:szCs w:val="20"/>
                <w:color w:val="auto"/>
              </w:rPr>
            </w:pPr>
            <w:r>
              <w:rPr>
                <w:rFonts w:ascii="Arial" w:cs="Arial" w:eastAsia="Arial" w:hAnsi="Arial"/>
                <w:sz w:val="12"/>
                <w:szCs w:val="12"/>
                <w:b w:val="1"/>
                <w:bCs w:val="1"/>
                <w:color w:val="auto"/>
              </w:rPr>
              <w:t>Supplemental disclosure of non-cash investment and financing activities:</w:t>
            </w:r>
          </w:p>
        </w:tc>
        <w:tc>
          <w:tcPr>
            <w:tcW w:w="2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Cost associated with Tender Offer not yet paid in cash</w:t>
            </w:r>
          </w:p>
        </w:tc>
        <w:tc>
          <w:tcPr>
            <w:tcW w:w="2440" w:type="dxa"/>
            <w:vAlign w:val="bottom"/>
          </w:tcPr>
          <w:p>
            <w:pPr>
              <w:spacing w:after="0"/>
              <w:rPr>
                <w:sz w:val="16"/>
                <w:szCs w:val="16"/>
                <w:color w:val="auto"/>
              </w:rPr>
            </w:pPr>
          </w:p>
        </w:tc>
        <w:tc>
          <w:tcPr>
            <w:tcW w:w="1280" w:type="dxa"/>
            <w:vAlign w:val="bottom"/>
          </w:tcPr>
          <w:p>
            <w:pPr>
              <w:jc w:val="right"/>
              <w:ind w:right="382"/>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ind w:right="2"/>
              <w:spacing w:after="0"/>
              <w:rPr>
                <w:sz w:val="20"/>
                <w:szCs w:val="20"/>
                <w:color w:val="auto"/>
              </w:rPr>
            </w:pPr>
            <w:r>
              <w:rPr>
                <w:rFonts w:ascii="Arial" w:cs="Arial" w:eastAsia="Arial" w:hAnsi="Arial"/>
                <w:sz w:val="12"/>
                <w:szCs w:val="12"/>
                <w:color w:val="183964"/>
              </w:rPr>
              <w:t>2,929</w:t>
            </w:r>
          </w:p>
        </w:tc>
      </w:tr>
      <w:tr>
        <w:trPr>
          <w:trHeight w:val="189"/>
        </w:trPr>
        <w:tc>
          <w:tcPr>
            <w:tcW w:w="6580" w:type="dxa"/>
            <w:vAlign w:val="bottom"/>
          </w:tcPr>
          <w:p>
            <w:pPr>
              <w:ind w:left="20"/>
              <w:spacing w:after="0"/>
              <w:rPr>
                <w:sz w:val="20"/>
                <w:szCs w:val="20"/>
                <w:color w:val="auto"/>
              </w:rPr>
            </w:pPr>
            <w:r>
              <w:rPr>
                <w:rFonts w:ascii="Arial" w:cs="Arial" w:eastAsia="Arial" w:hAnsi="Arial"/>
                <w:sz w:val="12"/>
                <w:szCs w:val="12"/>
                <w:color w:val="auto"/>
              </w:rPr>
              <w:t>Settlement of restricted stock units through issuance of equity</w:t>
            </w:r>
          </w:p>
        </w:tc>
        <w:tc>
          <w:tcPr>
            <w:tcW w:w="2440" w:type="dxa"/>
            <w:vAlign w:val="bottom"/>
          </w:tcPr>
          <w:p>
            <w:pPr>
              <w:spacing w:after="0"/>
              <w:rPr>
                <w:sz w:val="16"/>
                <w:szCs w:val="16"/>
                <w:color w:val="auto"/>
              </w:rPr>
            </w:pPr>
          </w:p>
        </w:tc>
        <w:tc>
          <w:tcPr>
            <w:tcW w:w="1280" w:type="dxa"/>
            <w:vAlign w:val="bottom"/>
          </w:tcPr>
          <w:p>
            <w:pPr>
              <w:jc w:val="right"/>
              <w:ind w:right="382"/>
              <w:spacing w:after="0"/>
              <w:rPr>
                <w:sz w:val="20"/>
                <w:szCs w:val="20"/>
                <w:color w:val="auto"/>
              </w:rPr>
            </w:pPr>
            <w:r>
              <w:rPr>
                <w:rFonts w:ascii="Arial" w:cs="Arial" w:eastAsia="Arial" w:hAnsi="Arial"/>
                <w:sz w:val="12"/>
                <w:szCs w:val="12"/>
                <w:b w:val="1"/>
                <w:bCs w:val="1"/>
                <w:color w:val="auto"/>
              </w:rPr>
              <w:t>1,404</w:t>
            </w:r>
          </w:p>
        </w:tc>
        <w:tc>
          <w:tcPr>
            <w:tcW w:w="920" w:type="dxa"/>
            <w:vAlign w:val="bottom"/>
          </w:tcPr>
          <w:p>
            <w:pPr>
              <w:jc w:val="right"/>
              <w:ind w:right="2"/>
              <w:spacing w:after="0"/>
              <w:rPr>
                <w:sz w:val="20"/>
                <w:szCs w:val="20"/>
                <w:color w:val="auto"/>
              </w:rPr>
            </w:pPr>
            <w:r>
              <w:rPr>
                <w:rFonts w:ascii="Arial" w:cs="Arial" w:eastAsia="Arial" w:hAnsi="Arial"/>
                <w:sz w:val="12"/>
                <w:szCs w:val="12"/>
                <w:color w:val="183964"/>
              </w:rPr>
              <w:t>1,301</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financial statements.</w:t>
      </w:r>
    </w:p>
    <w:p>
      <w:pPr>
        <w:sectPr>
          <w:pgSz w:w="11900" w:h="16838" w:orient="portrait"/>
          <w:cols w:equalWidth="0" w:num="1">
            <w:col w:w="11220"/>
          </w:cols>
          <w:pgMar w:left="320" w:top="1235" w:right="359" w:bottom="1440" w:gutter="0" w:footer="0" w:header="0"/>
        </w:sectPr>
      </w:pPr>
    </w:p>
    <w:bookmarkStart w:id="25" w:name="page26"/>
    <w:bookmarkEnd w:id="25"/>
    <w:p>
      <w:pPr>
        <w:spacing w:after="0"/>
        <w:rPr>
          <w:sz w:val="20"/>
          <w:szCs w:val="20"/>
          <w:color w:val="auto"/>
        </w:rPr>
      </w:pPr>
      <w:r>
        <w:rPr>
          <w:rFonts w:ascii="Arial" w:cs="Arial" w:eastAsia="Arial" w:hAnsi="Arial"/>
          <w:sz w:val="31"/>
          <w:szCs w:val="31"/>
          <w:b w:val="1"/>
          <w:bCs w:val="1"/>
          <w:color w:val="183964"/>
        </w:rPr>
        <w:t>Notes to the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b w:val="1"/>
          <w:bCs w:val="1"/>
          <w:color w:val="183964"/>
        </w:rPr>
        <w:t>(Amounts in thousands, except share and per share data, or exercise price and conversion price)</w:t>
      </w:r>
    </w:p>
    <w:p>
      <w:pPr>
        <w:spacing w:after="0" w:line="350"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5"/>
          <w:szCs w:val="15"/>
          <w:b w:val="1"/>
          <w:bCs w:val="1"/>
          <w:color w:val="183964"/>
        </w:rPr>
      </w:pPr>
      <w:r>
        <w:rPr>
          <w:rFonts w:ascii="Arial" w:cs="Arial" w:eastAsia="Arial" w:hAnsi="Arial"/>
          <w:sz w:val="15"/>
          <w:szCs w:val="15"/>
          <w:b w:val="1"/>
          <w:bCs w:val="1"/>
          <w:color w:val="183964"/>
        </w:rPr>
        <w:t>General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183964"/>
        </w:rPr>
        <w:t>Description of Business</w:t>
      </w:r>
    </w:p>
    <w:p>
      <w:pPr>
        <w:spacing w:after="0" w:line="17" w:lineRule="exact"/>
        <w:rPr>
          <w:sz w:val="20"/>
          <w:szCs w:val="20"/>
          <w:color w:val="auto"/>
        </w:rPr>
      </w:pPr>
    </w:p>
    <w:p>
      <w:pPr>
        <w:jc w:val="both"/>
        <w:ind w:right="100"/>
        <w:spacing w:after="0" w:line="244" w:lineRule="auto"/>
        <w:rPr>
          <w:sz w:val="20"/>
          <w:szCs w:val="20"/>
          <w:color w:val="auto"/>
        </w:rPr>
      </w:pPr>
      <w:r>
        <w:rPr>
          <w:rFonts w:ascii="Arial" w:cs="Arial" w:eastAsia="Arial" w:hAnsi="Arial"/>
          <w:sz w:val="15"/>
          <w:szCs w:val="15"/>
          <w:color w:val="auto"/>
        </w:rPr>
        <w:t>PureTech Health plc (the “Parent”) is a public hub-and-spoke biotherapeutics company dedicated to giving life to science and transforming innovation into value. It is incorporated, domiciled and registered in the United Kingdom (“UK”). The registered number is 09582467 and the registered address is 13th Floor, One Angel Court, London, EC2R 7HJ, United Kingdom.</w:t>
      </w:r>
    </w:p>
    <w:p>
      <w:pPr>
        <w:ind w:right="320"/>
        <w:spacing w:after="0" w:line="263" w:lineRule="auto"/>
        <w:rPr>
          <w:sz w:val="20"/>
          <w:szCs w:val="20"/>
          <w:color w:val="auto"/>
        </w:rPr>
      </w:pPr>
      <w:r>
        <w:rPr>
          <w:rFonts w:ascii="Arial" w:cs="Arial" w:eastAsia="Arial" w:hAnsi="Arial"/>
          <w:sz w:val="15"/>
          <w:szCs w:val="15"/>
          <w:color w:val="auto"/>
        </w:rPr>
        <w:t>The Parent and its subsidiaries are together referred to as the “Group”. The interim consolidated financial statements of the Group (the "Condensed Consolidated Financial Statements" or the “Interim Financial Statements”) consolidate those of the Parent and its subsidiaries.</w:t>
      </w:r>
    </w:p>
    <w:p>
      <w:pPr>
        <w:spacing w:after="0" w:line="53" w:lineRule="exact"/>
        <w:rPr>
          <w:sz w:val="20"/>
          <w:szCs w:val="20"/>
          <w:color w:val="auto"/>
        </w:rPr>
      </w:pPr>
    </w:p>
    <w:p>
      <w:pPr>
        <w:ind w:right="540"/>
        <w:spacing w:after="0" w:line="301" w:lineRule="auto"/>
        <w:rPr>
          <w:sz w:val="20"/>
          <w:szCs w:val="20"/>
          <w:color w:val="auto"/>
        </w:rPr>
      </w:pPr>
      <w:r>
        <w:rPr>
          <w:rFonts w:ascii="Arial" w:cs="Arial" w:eastAsia="Arial" w:hAnsi="Arial"/>
          <w:sz w:val="15"/>
          <w:szCs w:val="15"/>
          <w:color w:val="auto"/>
        </w:rPr>
        <w:t>The accounting policies are consistent with those of the previous financial year and corresponding interim reporting period, except for the adoption of new and amended IFRS Accounting Standards as set out below in Note 2. New Standards and Interpretations.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183964"/>
        </w:rPr>
        <w:t>Basis of accounting</w:t>
      </w:r>
    </w:p>
    <w:p>
      <w:pPr>
        <w:spacing w:after="0" w:line="28"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These Interim Financial Statements have been prepared in accordance with International Accounting Standards (IAS) 34 Interim Financial Reporting as adopted for use in the UK and also comply fully with IAS 34 as issued by the International Accounting Standards Board ("IASB"). The Interim Financial Statements should be read in conjunction with the Group’s Consolidated Financial Statements as of and for the year ended December 31, 2024. The Interim Financial Statements do not include all the information required for a complete set of financial statements in accordance with International Financial Reporting Standards ("IFRS"). However, selected explanatory notes are included to explain events and transactions that are significant to an understanding of the changes in the Group’s financial position and performance since the last annual consolidated financial statements included in the Annual Report and Accounts for the year ended December 31, 2024, which was prepared in accordance with UK-adopted International Financial Reporting Standards, and also, complied fully with International Financial Reporting Standards as issued by the IASB. Certain amounts in the Condensed Consolidated Financial Statements and accompanying notes may not add due to rounding. All percentages have been calculated using unrounded amounts.</w:t>
      </w:r>
    </w:p>
    <w:p>
      <w:pPr>
        <w:spacing w:after="0" w:line="61" w:lineRule="exact"/>
        <w:rPr>
          <w:sz w:val="20"/>
          <w:szCs w:val="20"/>
          <w:color w:val="auto"/>
        </w:rPr>
      </w:pPr>
    </w:p>
    <w:p>
      <w:pPr>
        <w:ind w:right="560"/>
        <w:spacing w:after="0" w:line="283" w:lineRule="auto"/>
        <w:rPr>
          <w:sz w:val="20"/>
          <w:szCs w:val="20"/>
          <w:color w:val="auto"/>
        </w:rPr>
      </w:pPr>
      <w:r>
        <w:rPr>
          <w:rFonts w:ascii="Arial" w:cs="Arial" w:eastAsia="Arial" w:hAnsi="Arial"/>
          <w:sz w:val="15"/>
          <w:szCs w:val="15"/>
          <w:color w:val="auto"/>
        </w:rPr>
        <w:t>These Condensed Consolidated Financial Statements do not comprise statutory accounts within the meaning of Section 435 of the Companies Act 2006. The comparative figures for the six months ended June 30, 2024 are not the Group’s statutory accounts for that financial year.</w:t>
      </w:r>
    </w:p>
    <w:p>
      <w:pPr>
        <w:spacing w:after="0" w:line="52"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The unaudited Condensed Consolidated Financial Statements reflect all adjustments of a normal recurring nature that are necessary for a fair statement of the results for the interim periods presented. Interim results are not necessarily indicative of results for a full year.</w:t>
      </w:r>
    </w:p>
    <w:p>
      <w:pPr>
        <w:spacing w:after="0" w:line="52" w:lineRule="exact"/>
        <w:rPr>
          <w:sz w:val="20"/>
          <w:szCs w:val="20"/>
          <w:color w:val="auto"/>
        </w:rPr>
      </w:pPr>
    </w:p>
    <w:p>
      <w:pPr>
        <w:ind w:right="100"/>
        <w:spacing w:after="0" w:line="260" w:lineRule="auto"/>
        <w:rPr>
          <w:sz w:val="20"/>
          <w:szCs w:val="20"/>
          <w:color w:val="auto"/>
        </w:rPr>
      </w:pPr>
      <w:r>
        <w:rPr>
          <w:rFonts w:ascii="Arial" w:cs="Arial" w:eastAsia="Arial" w:hAnsi="Arial"/>
          <w:sz w:val="15"/>
          <w:szCs w:val="15"/>
          <w:color w:val="auto"/>
        </w:rPr>
        <w:t>As of June 30, 2025, the Group had cash and cash equivalents of $260,604 and short term investments of $59,303. Considering the Group’s financial position as of June 30, 2025 and its principal risks and opportunities, a going concern analysis has been prepared for at least the twelve-month period from the date of signing the Condensed Consolidated Financial Statements ("the going concern period") utilizing realistic scenarios and applying a severe but plausible downside scenario. Even under the downside scenario, the analysis demonstrates the Group continues to maintain sufficient liquidity headroom and continues to comply with all financial obligations. Therefore, the Board of Directors ("Directors") believes the Group is adequately resourced to continue in operational existence for at least the twelve-month period from the date of signing the Condensed Consolidated Financial Statements. Accordingly, the Directors considered it appropriate to adopt the going concern basis of accounting in preparing the Condensed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These Condensed Consolidated Financial Statements were authorized for issue by the Company’s Board of Directors on August 28, 2025.</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183964"/>
        </w:rPr>
        <w:t>Material Accounting policies</w:t>
      </w:r>
    </w:p>
    <w:p>
      <w:pPr>
        <w:spacing w:after="0" w:line="17" w:lineRule="exact"/>
        <w:rPr>
          <w:sz w:val="20"/>
          <w:szCs w:val="20"/>
          <w:color w:val="auto"/>
        </w:rPr>
      </w:pPr>
    </w:p>
    <w:p>
      <w:pPr>
        <w:jc w:val="both"/>
        <w:ind w:right="400"/>
        <w:spacing w:after="0" w:line="272" w:lineRule="auto"/>
        <w:rPr>
          <w:sz w:val="20"/>
          <w:szCs w:val="20"/>
          <w:color w:val="auto"/>
        </w:rPr>
      </w:pPr>
      <w:r>
        <w:rPr>
          <w:rFonts w:ascii="Arial" w:cs="Arial" w:eastAsia="Arial" w:hAnsi="Arial"/>
          <w:sz w:val="15"/>
          <w:szCs w:val="15"/>
          <w:color w:val="auto"/>
        </w:rPr>
        <w:t>There have been no significant changes in the Group’s accounting policies from those disclosed in our Consolidated Financial Statements as of and for the year ended December 31, 2024. The significant accounting policies used for half-year financial reporting are disclosed in Note 1. Material Accounting Policies of the accompanying notes to the Consolidated Financial Statements included in our 2024 Annual Report and Accounts.</w:t>
      </w:r>
    </w:p>
    <w:p>
      <w:pPr>
        <w:sectPr>
          <w:pgSz w:w="11900" w:h="16838" w:orient="portrait"/>
          <w:cols w:equalWidth="0" w:num="1">
            <w:col w:w="11220"/>
          </w:cols>
          <w:pgMar w:left="320" w:top="1235" w:right="359" w:bottom="1440" w:gutter="0" w:footer="0" w:header="0"/>
        </w:sectPr>
      </w:pPr>
    </w:p>
    <w:bookmarkStart w:id="26" w:name="page27"/>
    <w:bookmarkEnd w:id="26"/>
    <w:p>
      <w:pPr>
        <w:ind w:left="300" w:hanging="292"/>
        <w:spacing w:after="0"/>
        <w:tabs>
          <w:tab w:leader="none" w:pos="300" w:val="left"/>
        </w:tabs>
        <w:numPr>
          <w:ilvl w:val="0"/>
          <w:numId w:val="16"/>
        </w:numPr>
        <w:rPr>
          <w:rFonts w:ascii="Arial" w:cs="Arial" w:eastAsia="Arial" w:hAnsi="Arial"/>
          <w:sz w:val="15"/>
          <w:szCs w:val="15"/>
          <w:b w:val="1"/>
          <w:bCs w:val="1"/>
          <w:color w:val="183964"/>
        </w:rPr>
      </w:pPr>
      <w:r>
        <w:rPr>
          <w:rFonts w:ascii="Arial" w:cs="Arial" w:eastAsia="Arial" w:hAnsi="Arial"/>
          <w:sz w:val="15"/>
          <w:szCs w:val="15"/>
          <w:b w:val="1"/>
          <w:bCs w:val="1"/>
          <w:color w:val="183964"/>
        </w:rPr>
        <w:t>New Standards and Interpretations</w:t>
      </w:r>
    </w:p>
    <w:p>
      <w:pPr>
        <w:spacing w:after="0" w:line="100"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color w:val="auto"/>
        </w:rPr>
        <w:t xml:space="preserve">The Group has applied the IFRS Interpretations Committee ("Committee")'s agenda decision published by the International Accounting Standards Board in July 2024, for the first time for its interim reporting period ended June 30, 2025. This Committee agenda decision clarifies certain requirements for disclosure of revenue and expenses for reporting segments under IFRS 8, </w:t>
      </w:r>
      <w:r>
        <w:rPr>
          <w:rFonts w:ascii="Arial" w:cs="Arial" w:eastAsia="Arial" w:hAnsi="Arial"/>
          <w:sz w:val="15"/>
          <w:szCs w:val="15"/>
          <w:i w:val="1"/>
          <w:iCs w:val="1"/>
          <w:color w:val="auto"/>
        </w:rPr>
        <w:t>Operating Segments</w:t>
      </w:r>
      <w:r>
        <w:rPr>
          <w:rFonts w:ascii="Arial" w:cs="Arial" w:eastAsia="Arial" w:hAnsi="Arial"/>
          <w:sz w:val="15"/>
          <w:szCs w:val="15"/>
          <w:color w:val="auto"/>
        </w:rPr>
        <w:t>. The adoption of this Committee agenda decision did not have any impact on the amounts recognized or disclosed in prior and current periods.</w:t>
      </w:r>
    </w:p>
    <w:p>
      <w:pPr>
        <w:spacing w:after="0" w:line="50" w:lineRule="exact"/>
        <w:rPr>
          <w:sz w:val="20"/>
          <w:szCs w:val="20"/>
          <w:color w:val="auto"/>
        </w:rPr>
      </w:pPr>
    </w:p>
    <w:p>
      <w:pPr>
        <w:ind w:right="140"/>
        <w:spacing w:after="0" w:line="263" w:lineRule="auto"/>
        <w:rPr>
          <w:sz w:val="20"/>
          <w:szCs w:val="20"/>
          <w:color w:val="auto"/>
        </w:rPr>
      </w:pPr>
      <w:r>
        <w:rPr>
          <w:rFonts w:ascii="Arial" w:cs="Arial" w:eastAsia="Arial" w:hAnsi="Arial"/>
          <w:sz w:val="15"/>
          <w:szCs w:val="15"/>
          <w:color w:val="auto"/>
        </w:rPr>
        <w:t xml:space="preserve">In April 2024, IFRS 18, </w:t>
      </w:r>
      <w:r>
        <w:rPr>
          <w:rFonts w:ascii="Arial" w:cs="Arial" w:eastAsia="Arial" w:hAnsi="Arial"/>
          <w:sz w:val="15"/>
          <w:szCs w:val="15"/>
          <w:i w:val="1"/>
          <w:iCs w:val="1"/>
          <w:color w:val="auto"/>
        </w:rPr>
        <w:t>Presentation and Disclosure in Financial Statements</w:t>
      </w:r>
      <w:r>
        <w:rPr>
          <w:rFonts w:ascii="Arial" w:cs="Arial" w:eastAsia="Arial" w:hAnsi="Arial"/>
          <w:sz w:val="15"/>
          <w:szCs w:val="15"/>
          <w:color w:val="auto"/>
        </w:rPr>
        <w:t xml:space="preserve"> was issued to achieve comparability of the financial performance of similar entities. The standard, which replaces IAS 1 </w:t>
      </w:r>
      <w:r>
        <w:rPr>
          <w:rFonts w:ascii="Arial" w:cs="Arial" w:eastAsia="Arial" w:hAnsi="Arial"/>
          <w:sz w:val="15"/>
          <w:szCs w:val="15"/>
          <w:i w:val="1"/>
          <w:iCs w:val="1"/>
          <w:color w:val="auto"/>
        </w:rPr>
        <w:t>Presentation of Financial Statements</w:t>
      </w:r>
      <w:r>
        <w:rPr>
          <w:rFonts w:ascii="Arial" w:cs="Arial" w:eastAsia="Arial" w:hAnsi="Arial"/>
          <w:sz w:val="15"/>
          <w:szCs w:val="15"/>
          <w:color w:val="auto"/>
        </w:rPr>
        <w:t>, impacts the presentation of primary financial statements and notes, including the statement of earnings where companies will be required to present separate categories of income and expense for operating, investing, and financing activities with prescribed subtotals for each new category. The standard will also require management-defined performance measures to be explained and included in a separate note within the consolidated financial statements. The standard is effective for annual reporting periods beginning on or after January 1, 2027, including interim financial statements, and requires retrospective application. The Group is currently assessing the impact of the new standard.</w:t>
      </w:r>
    </w:p>
    <w:p>
      <w:pPr>
        <w:spacing w:after="0" w:line="54"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 xml:space="preserve">In May 2024, Amendments to IFRS 9 and IFRS 7, </w:t>
      </w:r>
      <w:r>
        <w:rPr>
          <w:rFonts w:ascii="Arial" w:cs="Arial" w:eastAsia="Arial" w:hAnsi="Arial"/>
          <w:sz w:val="15"/>
          <w:szCs w:val="15"/>
          <w:i w:val="1"/>
          <w:iCs w:val="1"/>
          <w:color w:val="auto"/>
        </w:rPr>
        <w:t>Targeted Improvements to Financial Instruments Standards,</w:t>
      </w:r>
      <w:r>
        <w:rPr>
          <w:rFonts w:ascii="Arial" w:cs="Arial" w:eastAsia="Arial" w:hAnsi="Arial"/>
          <w:sz w:val="15"/>
          <w:szCs w:val="15"/>
          <w:color w:val="auto"/>
        </w:rPr>
        <w:t xml:space="preserve"> was issued to clarify the date of recognition and derecognition of some financial assets and liabilities, with a new exception for some financial liabilities settled through an electronic cash transfer system; clarify and add further guidance for assessing whether a financial asset meets the solely payments of principal and interest (SPPI) criterion; add new disclosures for certain instruments with contractual terms that can change cash flows (such as some instruments with features linked to the achievement of environment, social and governance (ESG) targets); and update the disclosures for equity instruments designated at fair value through other comprehensive income (FVOCI). The standard is effective for annual reporting periods beginning on or after January 1, 2026, including interim financial statements, and requires prospective application. The Group is currently assessing the impact of the new standard.</w:t>
      </w:r>
    </w:p>
    <w:p>
      <w:pPr>
        <w:spacing w:after="0" w:line="54" w:lineRule="exact"/>
        <w:rPr>
          <w:sz w:val="20"/>
          <w:szCs w:val="20"/>
          <w:color w:val="auto"/>
        </w:rPr>
      </w:pPr>
    </w:p>
    <w:p>
      <w:pPr>
        <w:ind w:right="220"/>
        <w:spacing w:after="0" w:line="261" w:lineRule="auto"/>
        <w:rPr>
          <w:sz w:val="20"/>
          <w:szCs w:val="20"/>
          <w:color w:val="auto"/>
        </w:rPr>
      </w:pPr>
      <w:r>
        <w:rPr>
          <w:rFonts w:ascii="Arial" w:cs="Arial" w:eastAsia="Arial" w:hAnsi="Arial"/>
          <w:sz w:val="15"/>
          <w:szCs w:val="15"/>
          <w:color w:val="auto"/>
        </w:rPr>
        <w:t xml:space="preserve">On July 18, 2024, IASB issued five standards as a result of IASB’s annual improvements project. IASB uses the annual improvements process to make necessary, but non-urgent, amendments to IFRS Accounting Standards that will not be included as part of another major project. The amended standards are: IFRS 1 – </w:t>
      </w:r>
      <w:r>
        <w:rPr>
          <w:rFonts w:ascii="Arial" w:cs="Arial" w:eastAsia="Arial" w:hAnsi="Arial"/>
          <w:sz w:val="15"/>
          <w:szCs w:val="15"/>
          <w:i w:val="1"/>
          <w:iCs w:val="1"/>
          <w:color w:val="auto"/>
        </w:rPr>
        <w:t>First-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time Adoption of International Financial Reporting Standards</w:t>
      </w:r>
      <w:r>
        <w:rPr>
          <w:rFonts w:ascii="Arial" w:cs="Arial" w:eastAsia="Arial" w:hAnsi="Arial"/>
          <w:sz w:val="15"/>
          <w:szCs w:val="15"/>
          <w:color w:val="auto"/>
        </w:rPr>
        <w:t>, IFRS 7 and its accompanying Guidance on implementing IFRS 7, IFRS 9, IFRS 10 –</w:t>
      </w:r>
      <w:r>
        <w:rPr>
          <w:rFonts w:ascii="Arial" w:cs="Arial" w:eastAsia="Arial" w:hAnsi="Arial"/>
          <w:sz w:val="15"/>
          <w:szCs w:val="15"/>
          <w:i w:val="1"/>
          <w:iCs w:val="1"/>
          <w:color w:val="auto"/>
        </w:rPr>
        <w:t xml:space="preserve"> Consolidated</w:t>
      </w:r>
    </w:p>
    <w:p>
      <w:pPr>
        <w:spacing w:after="0" w:line="17" w:lineRule="exact"/>
        <w:rPr>
          <w:sz w:val="20"/>
          <w:szCs w:val="20"/>
          <w:color w:val="auto"/>
        </w:rPr>
      </w:pPr>
    </w:p>
    <w:p>
      <w:pPr>
        <w:ind w:right="240"/>
        <w:spacing w:after="0" w:line="267" w:lineRule="auto"/>
        <w:rPr>
          <w:sz w:val="20"/>
          <w:szCs w:val="20"/>
          <w:color w:val="auto"/>
        </w:rPr>
      </w:pPr>
      <w:r>
        <w:rPr>
          <w:rFonts w:ascii="Arial" w:cs="Arial" w:eastAsia="Arial" w:hAnsi="Arial"/>
          <w:sz w:val="15"/>
          <w:szCs w:val="15"/>
          <w:i w:val="1"/>
          <w:iCs w:val="1"/>
          <w:color w:val="auto"/>
        </w:rPr>
        <w:t xml:space="preserve">Financial Statements </w:t>
      </w:r>
      <w:r>
        <w:rPr>
          <w:rFonts w:ascii="Arial" w:cs="Arial" w:eastAsia="Arial" w:hAnsi="Arial"/>
          <w:sz w:val="15"/>
          <w:szCs w:val="15"/>
          <w:color w:val="auto"/>
        </w:rPr>
        <w:t>and IAS 7 –</w:t>
      </w:r>
      <w:r>
        <w:rPr>
          <w:rFonts w:ascii="Arial" w:cs="Arial" w:eastAsia="Arial" w:hAnsi="Arial"/>
          <w:sz w:val="15"/>
          <w:szCs w:val="15"/>
          <w:i w:val="1"/>
          <w:iCs w:val="1"/>
          <w:color w:val="auto"/>
        </w:rPr>
        <w:t xml:space="preserve"> Statement of Cash Flows. </w:t>
      </w:r>
      <w:r>
        <w:rPr>
          <w:rFonts w:ascii="Arial" w:cs="Arial" w:eastAsia="Arial" w:hAnsi="Arial"/>
          <w:sz w:val="15"/>
          <w:szCs w:val="15"/>
          <w:color w:val="auto"/>
        </w:rPr>
        <w:t>The effective date for adoption of these amendments is annual reporting periods beginning on or after</w:t>
      </w:r>
      <w:r>
        <w:rPr>
          <w:rFonts w:ascii="Arial" w:cs="Arial" w:eastAsia="Arial" w:hAnsi="Arial"/>
          <w:sz w:val="15"/>
          <w:szCs w:val="15"/>
          <w:i w:val="1"/>
          <w:iCs w:val="1"/>
          <w:color w:val="auto"/>
        </w:rPr>
        <w:t xml:space="preserve"> </w:t>
      </w:r>
      <w:r>
        <w:rPr>
          <w:rFonts w:ascii="Arial" w:cs="Arial" w:eastAsia="Arial" w:hAnsi="Arial"/>
          <w:sz w:val="15"/>
          <w:szCs w:val="15"/>
          <w:color w:val="auto"/>
        </w:rPr>
        <w:t>January 1, 2026, and early adoption is permitted. The Group is currently evaluating the potential impact from these amendments.</w:t>
      </w:r>
    </w:p>
    <w:p>
      <w:pPr>
        <w:spacing w:after="0" w:line="64" w:lineRule="exact"/>
        <w:rPr>
          <w:sz w:val="20"/>
          <w:szCs w:val="20"/>
          <w:color w:val="auto"/>
        </w:rPr>
      </w:pPr>
    </w:p>
    <w:p>
      <w:pPr>
        <w:ind w:right="420"/>
        <w:spacing w:after="0" w:line="273" w:lineRule="auto"/>
        <w:rPr>
          <w:sz w:val="20"/>
          <w:szCs w:val="20"/>
          <w:color w:val="auto"/>
        </w:rPr>
      </w:pPr>
      <w:r>
        <w:rPr>
          <w:rFonts w:ascii="Arial" w:cs="Arial" w:eastAsia="Arial" w:hAnsi="Arial"/>
          <w:sz w:val="15"/>
          <w:szCs w:val="15"/>
          <w:color w:val="auto"/>
        </w:rPr>
        <w:t>Certain other new accounting standards, interpretations, and amendments to existing standards have been published that are effective for annual periods commencing on or after January 1, 2026 and have not been early adopted by the Group in preparing the Condensed Consolidated Financial Statements. These standards, amendments or interpretations are not expected to have a material impact on the Group in the prior and current periods.</w:t>
      </w:r>
    </w:p>
    <w:p>
      <w:pPr>
        <w:spacing w:after="0" w:line="138"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15"/>
          <w:szCs w:val="15"/>
          <w:b w:val="1"/>
          <w:bCs w:val="1"/>
          <w:color w:val="183964"/>
        </w:rPr>
      </w:pPr>
      <w:r>
        <w:rPr>
          <w:rFonts w:ascii="Arial" w:cs="Arial" w:eastAsia="Arial" w:hAnsi="Arial"/>
          <w:sz w:val="15"/>
          <w:szCs w:val="15"/>
          <w:b w:val="1"/>
          <w:bCs w:val="1"/>
          <w:color w:val="183964"/>
        </w:rPr>
        <w:t>Segment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183964"/>
        </w:rPr>
        <w:t>Basis for Segmentation</w:t>
      </w:r>
    </w:p>
    <w:p>
      <w:pPr>
        <w:spacing w:after="0" w:line="17" w:lineRule="exact"/>
        <w:rPr>
          <w:sz w:val="20"/>
          <w:szCs w:val="20"/>
          <w:color w:val="auto"/>
        </w:rPr>
      </w:pPr>
    </w:p>
    <w:p>
      <w:pPr>
        <w:ind w:right="60"/>
        <w:spacing w:after="0" w:line="260" w:lineRule="auto"/>
        <w:rPr>
          <w:sz w:val="20"/>
          <w:szCs w:val="20"/>
          <w:color w:val="auto"/>
        </w:rPr>
      </w:pPr>
      <w:r>
        <w:rPr>
          <w:rFonts w:ascii="Arial" w:cs="Arial" w:eastAsia="Arial" w:hAnsi="Arial"/>
          <w:sz w:val="15"/>
          <w:szCs w:val="15"/>
          <w:color w:val="auto"/>
        </w:rPr>
        <w:t>The Directors are the Group’s chief operating decision-makers. The Group’s operating segments are determined based on the financial information provided to the Board of Directors periodically for the purposes of allocating resources and assessing performance. The Group has determined each of its Wholly-Owned Programs represents an operating segment and the Group has aggregated each of these operating segments into one reportable segment, the Wholly-Owned Programs segment. Each of the Group’s Controlled Founded Entities represents an operating segment. The Group aggregates each Controlled Founded Entity operating segment into one reportable segment, the Controlled Founded Entities segment. The aggregation is based on the high level of operational and financial similarities of the operating segments. For the Group’s entities that do not meet the definition of an operating segment, the Group presents this information in the Parent Company and Other column in its segment footnote to reconcile the information in this footnote to the Condensed Consolidated Financial Statements. Substantially all of the Group’s revenue and profit generating activities are generated within the United States and, accordingly, no geographical disclosures are provided.</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Following is the description of the Group's reportable segments: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183964"/>
        </w:rPr>
        <w:t>Wholly-Owned Programs</w:t>
      </w:r>
    </w:p>
    <w:p>
      <w:pPr>
        <w:spacing w:after="0" w:line="28"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color w:val="auto"/>
        </w:rPr>
        <w:t>The Wholly-Owned Programs segment is advancing Wholly-Owned Programs, which are focused on treatments for patients with devastating diseases. The Wholly-Owned Programs segment is comprised of the technologies that are wholly-owned and will be advanced through with either the Group's funding or non-dilutive sources of financing. The operational management of the Wholly-Owned Programs segment is conducted by the PureTech Health team, which is responsible for the strategy, business development and research and development.</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183964"/>
        </w:rPr>
        <w:t>Controlled Founded Entities</w:t>
      </w:r>
    </w:p>
    <w:p>
      <w:pPr>
        <w:spacing w:after="0" w:line="17" w:lineRule="exact"/>
        <w:rPr>
          <w:sz w:val="20"/>
          <w:szCs w:val="20"/>
          <w:color w:val="auto"/>
        </w:rPr>
      </w:pPr>
    </w:p>
    <w:p>
      <w:pPr>
        <w:ind w:right="280"/>
        <w:spacing w:after="0" w:line="263" w:lineRule="auto"/>
        <w:rPr>
          <w:sz w:val="20"/>
          <w:szCs w:val="20"/>
          <w:color w:val="auto"/>
        </w:rPr>
      </w:pPr>
      <w:r>
        <w:rPr>
          <w:rFonts w:ascii="Arial" w:cs="Arial" w:eastAsia="Arial" w:hAnsi="Arial"/>
          <w:sz w:val="15"/>
          <w:szCs w:val="15"/>
          <w:color w:val="auto"/>
        </w:rPr>
        <w:t>The Controlled Founded Entities segment is comprised of the Group’s consolidated operational subsidiaries as of June 30, 2025 that either have, or have plans to hire, independent management teams, and currently have already raised third-party dilutive capital. These subsidiaries have active research and development programs, and have an equity or debt investment partner, who will provide additional industry knowledge and access to networks, as well as additional funding to continue the pursued growth of the entity.</w:t>
      </w:r>
    </w:p>
    <w:p>
      <w:pPr>
        <w:spacing w:after="0" w:line="53"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The Group’s entities that were determined not to meet the definition of an operating segment are included in the Parent Company and Other column to reconcile the information in this footnote to the Condensed Consolidated Financial Statements. This column captures activities not directly attributable to the Group's operating segments and includes the activities of the Parent, corporate support functions, certain research and development support functions that are not directly attributable to a strategic business segment as well as the elimination of intercompany transactions. This column also captures the operating results</w:t>
      </w:r>
    </w:p>
    <w:p>
      <w:pPr>
        <w:sectPr>
          <w:pgSz w:w="11900" w:h="16838" w:orient="portrait"/>
          <w:cols w:equalWidth="0" w:num="1">
            <w:col w:w="11220"/>
          </w:cols>
          <w:pgMar w:left="320" w:top="1241" w:right="359" w:bottom="1440" w:gutter="0" w:footer="0" w:header="0"/>
        </w:sectPr>
      </w:pPr>
    </w:p>
    <w:bookmarkStart w:id="27" w:name="page28"/>
    <w:bookmarkEnd w:id="27"/>
    <w:p>
      <w:pPr>
        <w:ind w:right="40"/>
        <w:spacing w:after="0" w:line="263" w:lineRule="auto"/>
        <w:rPr>
          <w:sz w:val="20"/>
          <w:szCs w:val="20"/>
          <w:color w:val="auto"/>
        </w:rPr>
      </w:pPr>
      <w:r>
        <w:rPr>
          <w:rFonts w:ascii="Arial" w:cs="Arial" w:eastAsia="Arial" w:hAnsi="Arial"/>
          <w:sz w:val="15"/>
          <w:szCs w:val="15"/>
          <w:color w:val="auto"/>
        </w:rPr>
        <w:t>for the deconsolidated entities through the date of deconsolidation (e.g. Seaport in 2024), and accounting for the Group's holdings in Founded Entities for which control has been lost, which primarily represent: the activity associated with deconsolidating an entity when the Group no longer controls the entity, the gain or loss on the Group's investments accounted for at fair value (e.g. the Group's ownership stakes in Seaport, Vedanta, and Sonde) and the Group's net income or loss of associates accounted for using the equity method.</w:t>
      </w:r>
    </w:p>
    <w:p>
      <w:pPr>
        <w:spacing w:after="0" w:line="67" w:lineRule="exact"/>
        <w:rPr>
          <w:sz w:val="20"/>
          <w:szCs w:val="20"/>
          <w:color w:val="auto"/>
        </w:rPr>
      </w:pPr>
    </w:p>
    <w:p>
      <w:pPr>
        <w:ind w:right="80"/>
        <w:spacing w:after="0" w:line="284" w:lineRule="auto"/>
        <w:rPr>
          <w:sz w:val="20"/>
          <w:szCs w:val="20"/>
          <w:color w:val="auto"/>
        </w:rPr>
      </w:pPr>
      <w:r>
        <w:rPr>
          <w:rFonts w:ascii="Arial" w:cs="Arial" w:eastAsia="Arial" w:hAnsi="Arial"/>
          <w:sz w:val="15"/>
          <w:szCs w:val="15"/>
          <w:color w:val="auto"/>
        </w:rPr>
        <w:t>The term "Founded Entities" refers to entities which the Group incorporated and announced the incorporation as a Founded Entity externally. It includes certain of the Group’s wholly-owned subsidiaries which have been announced by the Group as Founded Entities, Controlled Founded Entities and deconsolidated Founded Entities.</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In 2024, the Group launched two new Founded Entities (Seaport Therapeutics "Seaport" and Gallop Oncology "Gallop") to advance certain programs from the Wholly-Owned Programs segment. The financial results of Gallop were included in the Wholly-Owned Programs segment for both periods presented. Seaport was deconsolidated on October 18, 2024 upon the completion of its Series B preferred share financing. The financial results of Seaport through the date of deconsolidation are included within the Parent Company and Other column as of June 30, 2024. Seaport incurred direct research and development expenses for clinical programs of $2,375 for the six months ended June 30, 2024.</w:t>
      </w:r>
    </w:p>
    <w:p>
      <w:pPr>
        <w:spacing w:after="0" w:line="67" w:lineRule="exact"/>
        <w:rPr>
          <w:sz w:val="20"/>
          <w:szCs w:val="20"/>
          <w:color w:val="auto"/>
        </w:rPr>
      </w:pPr>
    </w:p>
    <w:p>
      <w:pPr>
        <w:ind w:right="260"/>
        <w:spacing w:after="0" w:line="283" w:lineRule="auto"/>
        <w:rPr>
          <w:sz w:val="20"/>
          <w:szCs w:val="20"/>
          <w:color w:val="auto"/>
        </w:rPr>
      </w:pPr>
      <w:r>
        <w:rPr>
          <w:rFonts w:ascii="Arial" w:cs="Arial" w:eastAsia="Arial" w:hAnsi="Arial"/>
          <w:sz w:val="15"/>
          <w:szCs w:val="15"/>
          <w:color w:val="auto"/>
        </w:rPr>
        <w:t>The Group’s Board of Directors reviews segment performance and allocates resources based upon revenue, operating loss as well as the funds available for each segment. The Board of Directors does not review any other information for purposes of assessing segment performance or allocating resources.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80" w:type="dxa"/>
            <w:vAlign w:val="bottom"/>
            <w:gridSpan w:val="2"/>
          </w:tcPr>
          <w:p>
            <w:pPr>
              <w:jc w:val="center"/>
              <w:ind w:right="146"/>
              <w:spacing w:after="0"/>
              <w:rPr>
                <w:sz w:val="20"/>
                <w:szCs w:val="20"/>
                <w:color w:val="auto"/>
              </w:rPr>
            </w:pPr>
            <w:r>
              <w:rPr>
                <w:rFonts w:ascii="Arial" w:cs="Arial" w:eastAsia="Arial" w:hAnsi="Arial"/>
                <w:sz w:val="13"/>
                <w:szCs w:val="13"/>
                <w:b w:val="1"/>
                <w:bCs w:val="1"/>
                <w:color w:val="auto"/>
                <w:w w:val="97"/>
              </w:rPr>
              <w:t>For the six months ended June 30, 2025</w:t>
            </w:r>
          </w:p>
        </w:tc>
        <w:tc>
          <w:tcPr>
            <w:tcW w:w="1080" w:type="dxa"/>
            <w:vAlign w:val="bottom"/>
          </w:tcPr>
          <w:p>
            <w:pPr>
              <w:spacing w:after="0"/>
              <w:rPr>
                <w:sz w:val="14"/>
                <w:szCs w:val="14"/>
                <w:color w:val="auto"/>
              </w:rPr>
            </w:pPr>
          </w:p>
        </w:tc>
      </w:tr>
      <w:tr>
        <w:trPr>
          <w:trHeight w:val="22"/>
        </w:trPr>
        <w:tc>
          <w:tcPr>
            <w:tcW w:w="6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1"/>
        </w:trPr>
        <w:tc>
          <w:tcPr>
            <w:tcW w:w="60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Wholly-Owned</w:t>
            </w:r>
          </w:p>
        </w:tc>
        <w:tc>
          <w:tcPr>
            <w:tcW w:w="2780" w:type="dxa"/>
            <w:vAlign w:val="bottom"/>
            <w:gridSpan w:val="2"/>
          </w:tcPr>
          <w:p>
            <w:pPr>
              <w:jc w:val="center"/>
              <w:ind w:right="126"/>
              <w:spacing w:after="0"/>
              <w:rPr>
                <w:sz w:val="20"/>
                <w:szCs w:val="20"/>
                <w:color w:val="auto"/>
              </w:rPr>
            </w:pPr>
            <w:r>
              <w:rPr>
                <w:rFonts w:ascii="Arial" w:cs="Arial" w:eastAsia="Arial" w:hAnsi="Arial"/>
                <w:sz w:val="13"/>
                <w:szCs w:val="13"/>
                <w:b w:val="1"/>
                <w:bCs w:val="1"/>
                <w:color w:val="auto"/>
                <w:w w:val="97"/>
              </w:rPr>
              <w:t>Controlled Founded Parent Company and</w:t>
            </w:r>
          </w:p>
        </w:tc>
        <w:tc>
          <w:tcPr>
            <w:tcW w:w="1080" w:type="dxa"/>
            <w:vAlign w:val="bottom"/>
          </w:tcPr>
          <w:p>
            <w:pPr>
              <w:spacing w:after="0"/>
              <w:rPr>
                <w:sz w:val="13"/>
                <w:szCs w:val="13"/>
                <w:color w:val="auto"/>
              </w:rPr>
            </w:pPr>
          </w:p>
        </w:tc>
      </w:tr>
      <w:tr>
        <w:trPr>
          <w:trHeight w:val="149"/>
        </w:trPr>
        <w:tc>
          <w:tcPr>
            <w:tcW w:w="60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Programs</w:t>
            </w:r>
          </w:p>
        </w:tc>
        <w:tc>
          <w:tcPr>
            <w:tcW w:w="1900" w:type="dxa"/>
            <w:vAlign w:val="bottom"/>
          </w:tcPr>
          <w:p>
            <w:pPr>
              <w:jc w:val="right"/>
              <w:ind w:right="588"/>
              <w:spacing w:after="0"/>
              <w:rPr>
                <w:sz w:val="20"/>
                <w:szCs w:val="20"/>
                <w:color w:val="auto"/>
              </w:rPr>
            </w:pPr>
            <w:r>
              <w:rPr>
                <w:rFonts w:ascii="Arial" w:cs="Arial" w:eastAsia="Arial" w:hAnsi="Arial"/>
                <w:sz w:val="13"/>
                <w:szCs w:val="13"/>
                <w:b w:val="1"/>
                <w:bCs w:val="1"/>
                <w:color w:val="auto"/>
              </w:rPr>
              <w:t>Entities</w:t>
            </w:r>
          </w:p>
        </w:tc>
        <w:tc>
          <w:tcPr>
            <w:tcW w:w="880" w:type="dxa"/>
            <w:vAlign w:val="bottom"/>
          </w:tcPr>
          <w:p>
            <w:pPr>
              <w:jc w:val="right"/>
              <w:ind w:right="166"/>
              <w:spacing w:after="0"/>
              <w:rPr>
                <w:sz w:val="20"/>
                <w:szCs w:val="20"/>
                <w:color w:val="auto"/>
              </w:rPr>
            </w:pPr>
            <w:r>
              <w:rPr>
                <w:rFonts w:ascii="Arial" w:cs="Arial" w:eastAsia="Arial" w:hAnsi="Arial"/>
                <w:sz w:val="13"/>
                <w:szCs w:val="13"/>
                <w:b w:val="1"/>
                <w:bCs w:val="1"/>
                <w:color w:val="auto"/>
              </w:rPr>
              <w:t>Other</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Consolidated</w:t>
            </w:r>
          </w:p>
        </w:tc>
      </w:tr>
      <w:tr>
        <w:trPr>
          <w:trHeight w:val="185"/>
        </w:trPr>
        <w:tc>
          <w:tcPr>
            <w:tcW w:w="60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900" w:type="dxa"/>
            <w:vAlign w:val="bottom"/>
          </w:tcPr>
          <w:p>
            <w:pPr>
              <w:jc w:val="right"/>
              <w:ind w:right="588"/>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166"/>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22"/>
        </w:trPr>
        <w:tc>
          <w:tcPr>
            <w:tcW w:w="60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1"/>
        </w:trPr>
        <w:tc>
          <w:tcPr>
            <w:tcW w:w="6020" w:type="dxa"/>
            <w:vAlign w:val="bottom"/>
          </w:tcPr>
          <w:p>
            <w:pPr>
              <w:ind w:left="20"/>
              <w:spacing w:after="0"/>
              <w:rPr>
                <w:sz w:val="20"/>
                <w:szCs w:val="20"/>
                <w:color w:val="auto"/>
              </w:rPr>
            </w:pPr>
            <w:r>
              <w:rPr>
                <w:rFonts w:ascii="Arial" w:cs="Arial" w:eastAsia="Arial" w:hAnsi="Arial"/>
                <w:sz w:val="15"/>
                <w:szCs w:val="15"/>
                <w:color w:val="auto"/>
              </w:rPr>
              <w:t>Contract revenue</w:t>
            </w:r>
          </w:p>
        </w:tc>
        <w:tc>
          <w:tcPr>
            <w:tcW w:w="13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900" w:type="dxa"/>
            <w:vAlign w:val="bottom"/>
          </w:tcPr>
          <w:p>
            <w:pPr>
              <w:jc w:val="right"/>
              <w:ind w:right="628"/>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226"/>
              <w:spacing w:after="0"/>
              <w:rPr>
                <w:sz w:val="20"/>
                <w:szCs w:val="20"/>
                <w:color w:val="auto"/>
              </w:rPr>
            </w:pPr>
            <w:r>
              <w:rPr>
                <w:rFonts w:ascii="Arial" w:cs="Arial" w:eastAsia="Arial" w:hAnsi="Arial"/>
                <w:sz w:val="15"/>
                <w:szCs w:val="15"/>
                <w:b w:val="1"/>
                <w:bCs w:val="1"/>
                <w:color w:val="auto"/>
              </w:rPr>
              <w:t>1,851</w:t>
            </w:r>
          </w:p>
        </w:tc>
        <w:tc>
          <w:tcPr>
            <w:tcW w:w="1080" w:type="dxa"/>
            <w:vAlign w:val="bottom"/>
          </w:tcPr>
          <w:p>
            <w:pPr>
              <w:jc w:val="right"/>
              <w:ind w:right="5"/>
              <w:spacing w:after="0"/>
              <w:rPr>
                <w:sz w:val="20"/>
                <w:szCs w:val="20"/>
                <w:color w:val="auto"/>
              </w:rPr>
            </w:pPr>
            <w:r>
              <w:rPr>
                <w:rFonts w:ascii="Arial" w:cs="Arial" w:eastAsia="Arial" w:hAnsi="Arial"/>
                <w:sz w:val="15"/>
                <w:szCs w:val="15"/>
                <w:b w:val="1"/>
                <w:bCs w:val="1"/>
                <w:color w:val="auto"/>
              </w:rPr>
              <w:t>1,851</w:t>
            </w:r>
          </w:p>
        </w:tc>
      </w:tr>
      <w:tr>
        <w:trPr>
          <w:trHeight w:val="25"/>
        </w:trPr>
        <w:tc>
          <w:tcPr>
            <w:tcW w:w="6020" w:type="dxa"/>
            <w:vAlign w:val="bottom"/>
            <w:tcBorders>
              <w:bottom w:val="single" w:sz="8" w:color="183964"/>
            </w:tcBorders>
          </w:tcPr>
          <w:p>
            <w:pPr>
              <w:spacing w:after="0"/>
              <w:rPr>
                <w:sz w:val="2"/>
                <w:szCs w:val="2"/>
                <w:color w:val="auto"/>
              </w:rPr>
            </w:pPr>
          </w:p>
        </w:tc>
        <w:tc>
          <w:tcPr>
            <w:tcW w:w="1340" w:type="dxa"/>
            <w:vAlign w:val="bottom"/>
            <w:tcBorders>
              <w:bottom w:val="single" w:sz="8" w:color="183964"/>
            </w:tcBorders>
          </w:tcPr>
          <w:p>
            <w:pPr>
              <w:spacing w:after="0"/>
              <w:rPr>
                <w:sz w:val="2"/>
                <w:szCs w:val="2"/>
                <w:color w:val="auto"/>
              </w:rPr>
            </w:pPr>
          </w:p>
        </w:tc>
        <w:tc>
          <w:tcPr>
            <w:tcW w:w="19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1080" w:type="dxa"/>
            <w:vAlign w:val="bottom"/>
            <w:tcBorders>
              <w:bottom w:val="single" w:sz="8" w:color="183964"/>
            </w:tcBorders>
          </w:tcPr>
          <w:p>
            <w:pPr>
              <w:spacing w:after="0"/>
              <w:rPr>
                <w:sz w:val="2"/>
                <w:szCs w:val="2"/>
                <w:color w:val="auto"/>
              </w:rPr>
            </w:pPr>
          </w:p>
        </w:tc>
      </w:tr>
      <w:tr>
        <w:trPr>
          <w:trHeight w:val="212"/>
        </w:trPr>
        <w:tc>
          <w:tcPr>
            <w:tcW w:w="6020" w:type="dxa"/>
            <w:vAlign w:val="bottom"/>
          </w:tcPr>
          <w:p>
            <w:pPr>
              <w:ind w:left="20"/>
              <w:spacing w:after="0"/>
              <w:rPr>
                <w:sz w:val="20"/>
                <w:szCs w:val="20"/>
                <w:color w:val="auto"/>
              </w:rPr>
            </w:pPr>
            <w:r>
              <w:rPr>
                <w:rFonts w:ascii="Arial" w:cs="Arial" w:eastAsia="Arial" w:hAnsi="Arial"/>
                <w:sz w:val="15"/>
                <w:szCs w:val="15"/>
                <w:b w:val="1"/>
                <w:bCs w:val="1"/>
                <w:color w:val="auto"/>
              </w:rPr>
              <w:t>Total revenue</w:t>
            </w:r>
          </w:p>
        </w:tc>
        <w:tc>
          <w:tcPr>
            <w:tcW w:w="13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900" w:type="dxa"/>
            <w:vAlign w:val="bottom"/>
          </w:tcPr>
          <w:p>
            <w:pPr>
              <w:jc w:val="right"/>
              <w:ind w:right="628"/>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226"/>
              <w:spacing w:after="0"/>
              <w:rPr>
                <w:sz w:val="20"/>
                <w:szCs w:val="20"/>
                <w:color w:val="auto"/>
              </w:rPr>
            </w:pPr>
            <w:r>
              <w:rPr>
                <w:rFonts w:ascii="Arial" w:cs="Arial" w:eastAsia="Arial" w:hAnsi="Arial"/>
                <w:sz w:val="15"/>
                <w:szCs w:val="15"/>
                <w:b w:val="1"/>
                <w:bCs w:val="1"/>
                <w:color w:val="auto"/>
              </w:rPr>
              <w:t>1,851</w:t>
            </w:r>
          </w:p>
        </w:tc>
        <w:tc>
          <w:tcPr>
            <w:tcW w:w="1080" w:type="dxa"/>
            <w:vAlign w:val="bottom"/>
          </w:tcPr>
          <w:p>
            <w:pPr>
              <w:jc w:val="right"/>
              <w:ind w:right="5"/>
              <w:spacing w:after="0"/>
              <w:rPr>
                <w:sz w:val="20"/>
                <w:szCs w:val="20"/>
                <w:color w:val="auto"/>
              </w:rPr>
            </w:pPr>
            <w:r>
              <w:rPr>
                <w:rFonts w:ascii="Arial" w:cs="Arial" w:eastAsia="Arial" w:hAnsi="Arial"/>
                <w:sz w:val="15"/>
                <w:szCs w:val="15"/>
                <w:b w:val="1"/>
                <w:bCs w:val="1"/>
                <w:color w:val="auto"/>
              </w:rPr>
              <w:t>1,851</w:t>
            </w:r>
          </w:p>
        </w:tc>
      </w:tr>
      <w:tr>
        <w:trPr>
          <w:trHeight w:val="25"/>
        </w:trPr>
        <w:tc>
          <w:tcPr>
            <w:tcW w:w="6020" w:type="dxa"/>
            <w:vAlign w:val="bottom"/>
            <w:tcBorders>
              <w:bottom w:val="single" w:sz="8" w:color="183964"/>
            </w:tcBorders>
          </w:tcPr>
          <w:p>
            <w:pPr>
              <w:spacing w:after="0"/>
              <w:rPr>
                <w:sz w:val="2"/>
                <w:szCs w:val="2"/>
                <w:color w:val="auto"/>
              </w:rPr>
            </w:pPr>
          </w:p>
        </w:tc>
        <w:tc>
          <w:tcPr>
            <w:tcW w:w="1340" w:type="dxa"/>
            <w:vAlign w:val="bottom"/>
            <w:tcBorders>
              <w:bottom w:val="single" w:sz="8" w:color="183964"/>
            </w:tcBorders>
          </w:tcPr>
          <w:p>
            <w:pPr>
              <w:spacing w:after="0"/>
              <w:rPr>
                <w:sz w:val="2"/>
                <w:szCs w:val="2"/>
                <w:color w:val="auto"/>
              </w:rPr>
            </w:pPr>
          </w:p>
        </w:tc>
        <w:tc>
          <w:tcPr>
            <w:tcW w:w="19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1080" w:type="dxa"/>
            <w:vAlign w:val="bottom"/>
            <w:tcBorders>
              <w:bottom w:val="single" w:sz="8" w:color="183964"/>
            </w:tcBorders>
          </w:tcPr>
          <w:p>
            <w:pPr>
              <w:spacing w:after="0"/>
              <w:rPr>
                <w:sz w:val="2"/>
                <w:szCs w:val="2"/>
                <w:color w:val="auto"/>
              </w:rPr>
            </w:pPr>
          </w:p>
        </w:tc>
      </w:tr>
      <w:tr>
        <w:trPr>
          <w:trHeight w:val="212"/>
        </w:trPr>
        <w:tc>
          <w:tcPr>
            <w:tcW w:w="6020" w:type="dxa"/>
            <w:vAlign w:val="bottom"/>
          </w:tcPr>
          <w:p>
            <w:pPr>
              <w:ind w:left="20"/>
              <w:spacing w:after="0"/>
              <w:rPr>
                <w:sz w:val="20"/>
                <w:szCs w:val="20"/>
                <w:color w:val="auto"/>
              </w:rPr>
            </w:pPr>
            <w:r>
              <w:rPr>
                <w:rFonts w:ascii="Arial" w:cs="Arial" w:eastAsia="Arial" w:hAnsi="Arial"/>
                <w:sz w:val="15"/>
                <w:szCs w:val="15"/>
                <w:color w:val="auto"/>
              </w:rPr>
              <w:t>General and administrative expenses</w:t>
            </w: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(4,526)</w:t>
            </w:r>
          </w:p>
        </w:tc>
        <w:tc>
          <w:tcPr>
            <w:tcW w:w="1900" w:type="dxa"/>
            <w:vAlign w:val="bottom"/>
          </w:tcPr>
          <w:p>
            <w:pPr>
              <w:jc w:val="right"/>
              <w:ind w:right="588"/>
              <w:spacing w:after="0"/>
              <w:rPr>
                <w:sz w:val="20"/>
                <w:szCs w:val="20"/>
                <w:color w:val="auto"/>
              </w:rPr>
            </w:pPr>
            <w:r>
              <w:rPr>
                <w:rFonts w:ascii="Arial" w:cs="Arial" w:eastAsia="Arial" w:hAnsi="Arial"/>
                <w:sz w:val="15"/>
                <w:szCs w:val="15"/>
                <w:b w:val="1"/>
                <w:bCs w:val="1"/>
                <w:color w:val="auto"/>
              </w:rPr>
              <w:t>(75)</w:t>
            </w:r>
          </w:p>
        </w:tc>
        <w:tc>
          <w:tcPr>
            <w:tcW w:w="880" w:type="dxa"/>
            <w:vAlign w:val="bottom"/>
          </w:tcPr>
          <w:p>
            <w:pPr>
              <w:jc w:val="right"/>
              <w:ind w:right="166"/>
              <w:spacing w:after="0"/>
              <w:rPr>
                <w:sz w:val="20"/>
                <w:szCs w:val="20"/>
                <w:color w:val="auto"/>
              </w:rPr>
            </w:pPr>
            <w:r>
              <w:rPr>
                <w:rFonts w:ascii="Arial" w:cs="Arial" w:eastAsia="Arial" w:hAnsi="Arial"/>
                <w:sz w:val="15"/>
                <w:szCs w:val="15"/>
                <w:b w:val="1"/>
                <w:bCs w:val="1"/>
                <w:color w:val="auto"/>
              </w:rPr>
              <w:t>(20,281)</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(24,883)</w:t>
            </w:r>
          </w:p>
        </w:tc>
      </w:tr>
      <w:tr>
        <w:trPr>
          <w:trHeight w:val="243"/>
        </w:trPr>
        <w:tc>
          <w:tcPr>
            <w:tcW w:w="6020" w:type="dxa"/>
            <w:vAlign w:val="bottom"/>
          </w:tcPr>
          <w:p>
            <w:pPr>
              <w:ind w:left="20"/>
              <w:spacing w:after="0"/>
              <w:rPr>
                <w:sz w:val="20"/>
                <w:szCs w:val="20"/>
                <w:color w:val="auto"/>
              </w:rPr>
            </w:pPr>
            <w:r>
              <w:rPr>
                <w:rFonts w:ascii="Arial" w:cs="Arial" w:eastAsia="Arial" w:hAnsi="Arial"/>
                <w:sz w:val="15"/>
                <w:szCs w:val="15"/>
                <w:color w:val="auto"/>
              </w:rPr>
              <w:t>Research and development expenses</w:t>
            </w: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(24,559)</w:t>
            </w:r>
          </w:p>
        </w:tc>
        <w:tc>
          <w:tcPr>
            <w:tcW w:w="1900" w:type="dxa"/>
            <w:vAlign w:val="bottom"/>
          </w:tcPr>
          <w:p>
            <w:pPr>
              <w:jc w:val="right"/>
              <w:ind w:right="588"/>
              <w:spacing w:after="0"/>
              <w:rPr>
                <w:sz w:val="20"/>
                <w:szCs w:val="20"/>
                <w:color w:val="auto"/>
              </w:rPr>
            </w:pPr>
            <w:r>
              <w:rPr>
                <w:rFonts w:ascii="Arial" w:cs="Arial" w:eastAsia="Arial" w:hAnsi="Arial"/>
                <w:sz w:val="15"/>
                <w:szCs w:val="15"/>
                <w:b w:val="1"/>
                <w:bCs w:val="1"/>
                <w:color w:val="auto"/>
              </w:rPr>
              <w:t>(392)</w:t>
            </w:r>
          </w:p>
        </w:tc>
        <w:tc>
          <w:tcPr>
            <w:tcW w:w="880" w:type="dxa"/>
            <w:vAlign w:val="bottom"/>
          </w:tcPr>
          <w:p>
            <w:pPr>
              <w:jc w:val="right"/>
              <w:ind w:right="226"/>
              <w:spacing w:after="0"/>
              <w:rPr>
                <w:sz w:val="20"/>
                <w:szCs w:val="20"/>
                <w:color w:val="auto"/>
              </w:rPr>
            </w:pPr>
            <w:r>
              <w:rPr>
                <w:rFonts w:ascii="Arial" w:cs="Arial" w:eastAsia="Arial" w:hAnsi="Arial"/>
                <w:sz w:val="15"/>
                <w:szCs w:val="15"/>
                <w:b w:val="1"/>
                <w:bCs w:val="1"/>
                <w:color w:val="auto"/>
              </w:rPr>
              <w:t>52</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(24,900)</w:t>
            </w:r>
          </w:p>
        </w:tc>
      </w:tr>
      <w:tr>
        <w:trPr>
          <w:trHeight w:val="25"/>
        </w:trPr>
        <w:tc>
          <w:tcPr>
            <w:tcW w:w="6020" w:type="dxa"/>
            <w:vAlign w:val="bottom"/>
            <w:tcBorders>
              <w:bottom w:val="single" w:sz="8" w:color="183964"/>
            </w:tcBorders>
          </w:tcPr>
          <w:p>
            <w:pPr>
              <w:spacing w:after="0"/>
              <w:rPr>
                <w:sz w:val="2"/>
                <w:szCs w:val="2"/>
                <w:color w:val="auto"/>
              </w:rPr>
            </w:pPr>
          </w:p>
        </w:tc>
        <w:tc>
          <w:tcPr>
            <w:tcW w:w="1340" w:type="dxa"/>
            <w:vAlign w:val="bottom"/>
            <w:tcBorders>
              <w:bottom w:val="single" w:sz="8" w:color="183964"/>
            </w:tcBorders>
          </w:tcPr>
          <w:p>
            <w:pPr>
              <w:spacing w:after="0"/>
              <w:rPr>
                <w:sz w:val="2"/>
                <w:szCs w:val="2"/>
                <w:color w:val="auto"/>
              </w:rPr>
            </w:pPr>
          </w:p>
        </w:tc>
        <w:tc>
          <w:tcPr>
            <w:tcW w:w="19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1080" w:type="dxa"/>
            <w:vAlign w:val="bottom"/>
            <w:tcBorders>
              <w:bottom w:val="single" w:sz="8" w:color="183964"/>
            </w:tcBorders>
          </w:tcPr>
          <w:p>
            <w:pPr>
              <w:spacing w:after="0"/>
              <w:rPr>
                <w:sz w:val="2"/>
                <w:szCs w:val="2"/>
                <w:color w:val="auto"/>
              </w:rPr>
            </w:pPr>
          </w:p>
        </w:tc>
      </w:tr>
      <w:tr>
        <w:trPr>
          <w:trHeight w:val="211"/>
        </w:trPr>
        <w:tc>
          <w:tcPr>
            <w:tcW w:w="6020" w:type="dxa"/>
            <w:vAlign w:val="bottom"/>
          </w:tcPr>
          <w:p>
            <w:pPr>
              <w:ind w:left="20"/>
              <w:spacing w:after="0"/>
              <w:rPr>
                <w:sz w:val="20"/>
                <w:szCs w:val="20"/>
                <w:color w:val="auto"/>
              </w:rPr>
            </w:pPr>
            <w:r>
              <w:rPr>
                <w:rFonts w:ascii="Arial" w:cs="Arial" w:eastAsia="Arial" w:hAnsi="Arial"/>
                <w:sz w:val="15"/>
                <w:szCs w:val="15"/>
                <w:b w:val="1"/>
                <w:bCs w:val="1"/>
                <w:color w:val="auto"/>
              </w:rPr>
              <w:t>Total operating expense</w:t>
            </w: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(29,085)</w:t>
            </w:r>
          </w:p>
        </w:tc>
        <w:tc>
          <w:tcPr>
            <w:tcW w:w="1900" w:type="dxa"/>
            <w:vAlign w:val="bottom"/>
          </w:tcPr>
          <w:p>
            <w:pPr>
              <w:jc w:val="right"/>
              <w:ind w:right="588"/>
              <w:spacing w:after="0"/>
              <w:rPr>
                <w:sz w:val="20"/>
                <w:szCs w:val="20"/>
                <w:color w:val="auto"/>
              </w:rPr>
            </w:pPr>
            <w:r>
              <w:rPr>
                <w:rFonts w:ascii="Arial" w:cs="Arial" w:eastAsia="Arial" w:hAnsi="Arial"/>
                <w:sz w:val="15"/>
                <w:szCs w:val="15"/>
                <w:b w:val="1"/>
                <w:bCs w:val="1"/>
                <w:color w:val="auto"/>
              </w:rPr>
              <w:t>(467)</w:t>
            </w:r>
          </w:p>
        </w:tc>
        <w:tc>
          <w:tcPr>
            <w:tcW w:w="880" w:type="dxa"/>
            <w:vAlign w:val="bottom"/>
          </w:tcPr>
          <w:p>
            <w:pPr>
              <w:jc w:val="right"/>
              <w:ind w:right="166"/>
              <w:spacing w:after="0"/>
              <w:rPr>
                <w:sz w:val="20"/>
                <w:szCs w:val="20"/>
                <w:color w:val="auto"/>
              </w:rPr>
            </w:pPr>
            <w:r>
              <w:rPr>
                <w:rFonts w:ascii="Arial" w:cs="Arial" w:eastAsia="Arial" w:hAnsi="Arial"/>
                <w:sz w:val="15"/>
                <w:szCs w:val="15"/>
                <w:b w:val="1"/>
                <w:bCs w:val="1"/>
                <w:color w:val="auto"/>
              </w:rPr>
              <w:t>(20,230)</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(49,782)</w:t>
            </w:r>
          </w:p>
        </w:tc>
      </w:tr>
      <w:tr>
        <w:trPr>
          <w:trHeight w:val="25"/>
        </w:trPr>
        <w:tc>
          <w:tcPr>
            <w:tcW w:w="6020" w:type="dxa"/>
            <w:vAlign w:val="bottom"/>
            <w:tcBorders>
              <w:bottom w:val="single" w:sz="8" w:color="183964"/>
            </w:tcBorders>
          </w:tcPr>
          <w:p>
            <w:pPr>
              <w:spacing w:after="0"/>
              <w:rPr>
                <w:sz w:val="2"/>
                <w:szCs w:val="2"/>
                <w:color w:val="auto"/>
              </w:rPr>
            </w:pPr>
          </w:p>
        </w:tc>
        <w:tc>
          <w:tcPr>
            <w:tcW w:w="1340" w:type="dxa"/>
            <w:vAlign w:val="bottom"/>
            <w:tcBorders>
              <w:bottom w:val="single" w:sz="8" w:color="183964"/>
            </w:tcBorders>
          </w:tcPr>
          <w:p>
            <w:pPr>
              <w:spacing w:after="0"/>
              <w:rPr>
                <w:sz w:val="2"/>
                <w:szCs w:val="2"/>
                <w:color w:val="auto"/>
              </w:rPr>
            </w:pPr>
          </w:p>
        </w:tc>
        <w:tc>
          <w:tcPr>
            <w:tcW w:w="19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1080" w:type="dxa"/>
            <w:vAlign w:val="bottom"/>
            <w:tcBorders>
              <w:bottom w:val="single" w:sz="8" w:color="183964"/>
            </w:tcBorders>
          </w:tcPr>
          <w:p>
            <w:pPr>
              <w:spacing w:after="0"/>
              <w:rPr>
                <w:sz w:val="2"/>
                <w:szCs w:val="2"/>
                <w:color w:val="auto"/>
              </w:rPr>
            </w:pPr>
          </w:p>
        </w:tc>
      </w:tr>
      <w:tr>
        <w:trPr>
          <w:trHeight w:val="212"/>
        </w:trPr>
        <w:tc>
          <w:tcPr>
            <w:tcW w:w="6020" w:type="dxa"/>
            <w:vAlign w:val="bottom"/>
          </w:tcPr>
          <w:p>
            <w:pPr>
              <w:ind w:left="20"/>
              <w:spacing w:after="0"/>
              <w:rPr>
                <w:sz w:val="20"/>
                <w:szCs w:val="20"/>
                <w:color w:val="auto"/>
              </w:rPr>
            </w:pPr>
            <w:r>
              <w:rPr>
                <w:rFonts w:ascii="Arial" w:cs="Arial" w:eastAsia="Arial" w:hAnsi="Arial"/>
                <w:sz w:val="15"/>
                <w:szCs w:val="15"/>
                <w:b w:val="1"/>
                <w:bCs w:val="1"/>
                <w:color w:val="auto"/>
              </w:rPr>
              <w:t>Operating income/(loss)</w:t>
            </w: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(29,085)</w:t>
            </w:r>
          </w:p>
        </w:tc>
        <w:tc>
          <w:tcPr>
            <w:tcW w:w="1900" w:type="dxa"/>
            <w:vAlign w:val="bottom"/>
          </w:tcPr>
          <w:p>
            <w:pPr>
              <w:jc w:val="right"/>
              <w:ind w:right="588"/>
              <w:spacing w:after="0"/>
              <w:rPr>
                <w:sz w:val="20"/>
                <w:szCs w:val="20"/>
                <w:color w:val="auto"/>
              </w:rPr>
            </w:pPr>
            <w:r>
              <w:rPr>
                <w:rFonts w:ascii="Arial" w:cs="Arial" w:eastAsia="Arial" w:hAnsi="Arial"/>
                <w:sz w:val="15"/>
                <w:szCs w:val="15"/>
                <w:b w:val="1"/>
                <w:bCs w:val="1"/>
                <w:color w:val="auto"/>
              </w:rPr>
              <w:t>(467)</w:t>
            </w:r>
          </w:p>
        </w:tc>
        <w:tc>
          <w:tcPr>
            <w:tcW w:w="880" w:type="dxa"/>
            <w:vAlign w:val="bottom"/>
          </w:tcPr>
          <w:p>
            <w:pPr>
              <w:jc w:val="right"/>
              <w:ind w:right="166"/>
              <w:spacing w:after="0"/>
              <w:rPr>
                <w:sz w:val="20"/>
                <w:szCs w:val="20"/>
                <w:color w:val="auto"/>
              </w:rPr>
            </w:pPr>
            <w:r>
              <w:rPr>
                <w:rFonts w:ascii="Arial" w:cs="Arial" w:eastAsia="Arial" w:hAnsi="Arial"/>
                <w:sz w:val="15"/>
                <w:szCs w:val="15"/>
                <w:b w:val="1"/>
                <w:bCs w:val="1"/>
                <w:color w:val="auto"/>
              </w:rPr>
              <w:t>(18,378)</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(47,931)</w:t>
            </w:r>
          </w:p>
        </w:tc>
      </w:tr>
      <w:tr>
        <w:trPr>
          <w:trHeight w:val="25"/>
        </w:trPr>
        <w:tc>
          <w:tcPr>
            <w:tcW w:w="6020" w:type="dxa"/>
            <w:vAlign w:val="bottom"/>
            <w:tcBorders>
              <w:bottom w:val="single" w:sz="8" w:color="183964"/>
            </w:tcBorders>
          </w:tcPr>
          <w:p>
            <w:pPr>
              <w:spacing w:after="0"/>
              <w:rPr>
                <w:sz w:val="2"/>
                <w:szCs w:val="2"/>
                <w:color w:val="auto"/>
              </w:rPr>
            </w:pPr>
          </w:p>
        </w:tc>
        <w:tc>
          <w:tcPr>
            <w:tcW w:w="1340" w:type="dxa"/>
            <w:vAlign w:val="bottom"/>
            <w:tcBorders>
              <w:bottom w:val="single" w:sz="8" w:color="183964"/>
            </w:tcBorders>
          </w:tcPr>
          <w:p>
            <w:pPr>
              <w:spacing w:after="0"/>
              <w:rPr>
                <w:sz w:val="2"/>
                <w:szCs w:val="2"/>
                <w:color w:val="auto"/>
              </w:rPr>
            </w:pPr>
          </w:p>
        </w:tc>
        <w:tc>
          <w:tcPr>
            <w:tcW w:w="19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1080" w:type="dxa"/>
            <w:vAlign w:val="bottom"/>
            <w:tcBorders>
              <w:bottom w:val="single" w:sz="8" w:color="183964"/>
            </w:tcBorders>
          </w:tcPr>
          <w:p>
            <w:pPr>
              <w:spacing w:after="0"/>
              <w:rPr>
                <w:sz w:val="2"/>
                <w:szCs w:val="2"/>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5"/>
                <w:szCs w:val="15"/>
                <w:color w:val="auto"/>
              </w:rPr>
              <w:t>Income/expenses not allocated to segments</w:t>
            </w:r>
          </w:p>
        </w:tc>
        <w:tc>
          <w:tcPr>
            <w:tcW w:w="1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3"/>
        </w:trPr>
        <w:tc>
          <w:tcPr>
            <w:tcW w:w="6020" w:type="dxa"/>
            <w:vAlign w:val="bottom"/>
          </w:tcPr>
          <w:p>
            <w:pPr>
              <w:ind w:left="120"/>
              <w:spacing w:after="0"/>
              <w:rPr>
                <w:sz w:val="20"/>
                <w:szCs w:val="20"/>
                <w:color w:val="auto"/>
              </w:rPr>
            </w:pPr>
            <w:r>
              <w:rPr>
                <w:rFonts w:ascii="Arial" w:cs="Arial" w:eastAsia="Arial" w:hAnsi="Arial"/>
                <w:sz w:val="15"/>
                <w:szCs w:val="15"/>
                <w:color w:val="auto"/>
              </w:rPr>
              <w:t>Other income/(expense):</w:t>
            </w:r>
          </w:p>
        </w:tc>
        <w:tc>
          <w:tcPr>
            <w:tcW w:w="13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1"/>
        </w:trPr>
        <w:tc>
          <w:tcPr>
            <w:tcW w:w="6020" w:type="dxa"/>
            <w:vAlign w:val="bottom"/>
          </w:tcPr>
          <w:p>
            <w:pPr>
              <w:ind w:left="240"/>
              <w:spacing w:after="0"/>
              <w:rPr>
                <w:sz w:val="20"/>
                <w:szCs w:val="20"/>
                <w:color w:val="auto"/>
              </w:rPr>
            </w:pPr>
            <w:r>
              <w:rPr>
                <w:rFonts w:ascii="Arial" w:cs="Arial" w:eastAsia="Arial" w:hAnsi="Arial"/>
                <w:sz w:val="15"/>
                <w:szCs w:val="15"/>
                <w:color w:val="auto"/>
              </w:rPr>
              <w:t>Gain/(loss) on investment held at fair value</w:t>
            </w:r>
          </w:p>
        </w:tc>
        <w:tc>
          <w:tcPr>
            <w:tcW w:w="13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b w:val="1"/>
                <w:bCs w:val="1"/>
                <w:color w:val="auto"/>
              </w:rPr>
              <w:t>3,679</w:t>
            </w:r>
          </w:p>
        </w:tc>
      </w:tr>
      <w:tr>
        <w:trPr>
          <w:trHeight w:val="243"/>
        </w:trPr>
        <w:tc>
          <w:tcPr>
            <w:tcW w:w="6020" w:type="dxa"/>
            <w:vAlign w:val="bottom"/>
          </w:tcPr>
          <w:p>
            <w:pPr>
              <w:ind w:left="240"/>
              <w:spacing w:after="0"/>
              <w:rPr>
                <w:sz w:val="20"/>
                <w:szCs w:val="20"/>
                <w:color w:val="auto"/>
              </w:rPr>
            </w:pPr>
            <w:r>
              <w:rPr>
                <w:rFonts w:ascii="Arial" w:cs="Arial" w:eastAsia="Arial" w:hAnsi="Arial"/>
                <w:sz w:val="15"/>
                <w:szCs w:val="15"/>
                <w:color w:val="auto"/>
              </w:rPr>
              <w:t>Realized gain/(loss) on sale of investments</w:t>
            </w:r>
          </w:p>
        </w:tc>
        <w:tc>
          <w:tcPr>
            <w:tcW w:w="13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b w:val="1"/>
                <w:bCs w:val="1"/>
                <w:color w:val="auto"/>
              </w:rPr>
              <w:t>375</w:t>
            </w:r>
          </w:p>
        </w:tc>
      </w:tr>
      <w:tr>
        <w:trPr>
          <w:trHeight w:val="243"/>
        </w:trPr>
        <w:tc>
          <w:tcPr>
            <w:tcW w:w="6020" w:type="dxa"/>
            <w:vAlign w:val="bottom"/>
          </w:tcPr>
          <w:p>
            <w:pPr>
              <w:ind w:left="240"/>
              <w:spacing w:after="0"/>
              <w:rPr>
                <w:sz w:val="20"/>
                <w:szCs w:val="20"/>
                <w:color w:val="auto"/>
              </w:rPr>
            </w:pPr>
            <w:r>
              <w:rPr>
                <w:rFonts w:ascii="Arial" w:cs="Arial" w:eastAsia="Arial" w:hAnsi="Arial"/>
                <w:sz w:val="15"/>
                <w:szCs w:val="15"/>
                <w:color w:val="auto"/>
              </w:rPr>
              <w:t>Gain/(loss) on investment in notes from associates</w:t>
            </w:r>
          </w:p>
        </w:tc>
        <w:tc>
          <w:tcPr>
            <w:tcW w:w="13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(3,726)</w:t>
            </w:r>
          </w:p>
        </w:tc>
      </w:tr>
      <w:tr>
        <w:trPr>
          <w:trHeight w:val="243"/>
        </w:trPr>
        <w:tc>
          <w:tcPr>
            <w:tcW w:w="6020" w:type="dxa"/>
            <w:vAlign w:val="bottom"/>
          </w:tcPr>
          <w:p>
            <w:pPr>
              <w:ind w:left="240"/>
              <w:spacing w:after="0"/>
              <w:rPr>
                <w:sz w:val="20"/>
                <w:szCs w:val="20"/>
                <w:color w:val="auto"/>
              </w:rPr>
            </w:pPr>
            <w:r>
              <w:rPr>
                <w:rFonts w:ascii="Arial" w:cs="Arial" w:eastAsia="Arial" w:hAnsi="Arial"/>
                <w:sz w:val="15"/>
                <w:szCs w:val="15"/>
                <w:color w:val="auto"/>
              </w:rPr>
              <w:t>Other income/(expense)</w:t>
            </w:r>
          </w:p>
        </w:tc>
        <w:tc>
          <w:tcPr>
            <w:tcW w:w="13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b w:val="1"/>
                <w:bCs w:val="1"/>
                <w:color w:val="auto"/>
              </w:rPr>
              <w:t>670</w:t>
            </w:r>
          </w:p>
        </w:tc>
      </w:tr>
      <w:tr>
        <w:trPr>
          <w:trHeight w:val="25"/>
        </w:trPr>
        <w:tc>
          <w:tcPr>
            <w:tcW w:w="6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1"/>
        </w:trPr>
        <w:tc>
          <w:tcPr>
            <w:tcW w:w="6020" w:type="dxa"/>
            <w:vAlign w:val="bottom"/>
          </w:tcPr>
          <w:p>
            <w:pPr>
              <w:ind w:left="20"/>
              <w:spacing w:after="0"/>
              <w:rPr>
                <w:sz w:val="20"/>
                <w:szCs w:val="20"/>
                <w:color w:val="auto"/>
              </w:rPr>
            </w:pPr>
            <w:r>
              <w:rPr>
                <w:rFonts w:ascii="Arial" w:cs="Arial" w:eastAsia="Arial" w:hAnsi="Arial"/>
                <w:sz w:val="15"/>
                <w:szCs w:val="15"/>
                <w:color w:val="auto"/>
              </w:rPr>
              <w:t>Total other income/(expense)</w:t>
            </w: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b w:val="1"/>
                <w:bCs w:val="1"/>
                <w:color w:val="auto"/>
              </w:rPr>
              <w:t>998</w:t>
            </w:r>
          </w:p>
        </w:tc>
      </w:tr>
      <w:tr>
        <w:trPr>
          <w:trHeight w:val="243"/>
        </w:trPr>
        <w:tc>
          <w:tcPr>
            <w:tcW w:w="6020" w:type="dxa"/>
            <w:vAlign w:val="bottom"/>
          </w:tcPr>
          <w:p>
            <w:pPr>
              <w:ind w:left="20"/>
              <w:spacing w:after="0"/>
              <w:rPr>
                <w:sz w:val="20"/>
                <w:szCs w:val="20"/>
                <w:color w:val="auto"/>
              </w:rPr>
            </w:pPr>
            <w:r>
              <w:rPr>
                <w:rFonts w:ascii="Arial" w:cs="Arial" w:eastAsia="Arial" w:hAnsi="Arial"/>
                <w:sz w:val="15"/>
                <w:szCs w:val="15"/>
                <w:color w:val="auto"/>
              </w:rPr>
              <w:t>Net finance income/(costs)</w:t>
            </w:r>
          </w:p>
        </w:tc>
        <w:tc>
          <w:tcPr>
            <w:tcW w:w="13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b w:val="1"/>
                <w:bCs w:val="1"/>
                <w:color w:val="auto"/>
              </w:rPr>
              <w:t>6,363</w:t>
            </w:r>
          </w:p>
        </w:tc>
      </w:tr>
      <w:tr>
        <w:trPr>
          <w:trHeight w:val="243"/>
        </w:trPr>
        <w:tc>
          <w:tcPr>
            <w:tcW w:w="6020" w:type="dxa"/>
            <w:vAlign w:val="bottom"/>
          </w:tcPr>
          <w:p>
            <w:pPr>
              <w:ind w:left="20"/>
              <w:spacing w:after="0"/>
              <w:rPr>
                <w:sz w:val="20"/>
                <w:szCs w:val="20"/>
                <w:color w:val="auto"/>
              </w:rPr>
            </w:pPr>
            <w:r>
              <w:rPr>
                <w:rFonts w:ascii="Arial" w:cs="Arial" w:eastAsia="Arial" w:hAnsi="Arial"/>
                <w:sz w:val="15"/>
                <w:szCs w:val="15"/>
                <w:color w:val="auto"/>
              </w:rPr>
              <w:t>Share of net income/(loss) of associates accounted for using the equity method</w:t>
            </w:r>
          </w:p>
        </w:tc>
        <w:tc>
          <w:tcPr>
            <w:tcW w:w="13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(3,996)</w:t>
            </w:r>
          </w:p>
        </w:tc>
      </w:tr>
      <w:tr>
        <w:trPr>
          <w:trHeight w:val="243"/>
        </w:trPr>
        <w:tc>
          <w:tcPr>
            <w:tcW w:w="6020" w:type="dxa"/>
            <w:vAlign w:val="bottom"/>
          </w:tcPr>
          <w:p>
            <w:pPr>
              <w:ind w:left="20"/>
              <w:spacing w:after="0"/>
              <w:rPr>
                <w:sz w:val="20"/>
                <w:szCs w:val="20"/>
                <w:color w:val="auto"/>
              </w:rPr>
            </w:pPr>
            <w:r>
              <w:rPr>
                <w:rFonts w:ascii="Arial" w:cs="Arial" w:eastAsia="Arial" w:hAnsi="Arial"/>
                <w:sz w:val="15"/>
                <w:szCs w:val="15"/>
                <w:color w:val="auto"/>
              </w:rPr>
              <w:t>Gain on dilution of ownership interest in associate</w:t>
            </w:r>
          </w:p>
        </w:tc>
        <w:tc>
          <w:tcPr>
            <w:tcW w:w="13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b w:val="1"/>
                <w:bCs w:val="1"/>
                <w:color w:val="auto"/>
              </w:rPr>
              <w:t>708</w:t>
            </w:r>
          </w:p>
        </w:tc>
      </w:tr>
      <w:tr>
        <w:trPr>
          <w:trHeight w:val="25"/>
        </w:trPr>
        <w:tc>
          <w:tcPr>
            <w:tcW w:w="6020" w:type="dxa"/>
            <w:vAlign w:val="bottom"/>
            <w:tcBorders>
              <w:bottom w:val="single" w:sz="8" w:color="183964"/>
            </w:tcBorders>
          </w:tcPr>
          <w:p>
            <w:pPr>
              <w:spacing w:after="0"/>
              <w:rPr>
                <w:sz w:val="2"/>
                <w:szCs w:val="2"/>
                <w:color w:val="auto"/>
              </w:rPr>
            </w:pPr>
          </w:p>
        </w:tc>
        <w:tc>
          <w:tcPr>
            <w:tcW w:w="1340" w:type="dxa"/>
            <w:vAlign w:val="bottom"/>
            <w:tcBorders>
              <w:bottom w:val="single" w:sz="8" w:color="183964"/>
            </w:tcBorders>
          </w:tcPr>
          <w:p>
            <w:pPr>
              <w:spacing w:after="0"/>
              <w:rPr>
                <w:sz w:val="2"/>
                <w:szCs w:val="2"/>
                <w:color w:val="auto"/>
              </w:rPr>
            </w:pPr>
          </w:p>
        </w:tc>
        <w:tc>
          <w:tcPr>
            <w:tcW w:w="19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1080" w:type="dxa"/>
            <w:vAlign w:val="bottom"/>
            <w:tcBorders>
              <w:bottom w:val="single" w:sz="8" w:color="183964"/>
            </w:tcBorders>
          </w:tcPr>
          <w:p>
            <w:pPr>
              <w:spacing w:after="0"/>
              <w:rPr>
                <w:sz w:val="2"/>
                <w:szCs w:val="2"/>
                <w:color w:val="auto"/>
              </w:rPr>
            </w:pPr>
          </w:p>
        </w:tc>
      </w:tr>
      <w:tr>
        <w:trPr>
          <w:trHeight w:val="211"/>
        </w:trPr>
        <w:tc>
          <w:tcPr>
            <w:tcW w:w="6020" w:type="dxa"/>
            <w:vAlign w:val="bottom"/>
          </w:tcPr>
          <w:p>
            <w:pPr>
              <w:ind w:left="20"/>
              <w:spacing w:after="0"/>
              <w:rPr>
                <w:sz w:val="20"/>
                <w:szCs w:val="20"/>
                <w:color w:val="auto"/>
              </w:rPr>
            </w:pPr>
            <w:r>
              <w:rPr>
                <w:rFonts w:ascii="Arial" w:cs="Arial" w:eastAsia="Arial" w:hAnsi="Arial"/>
                <w:sz w:val="15"/>
                <w:szCs w:val="15"/>
                <w:b w:val="1"/>
                <w:bCs w:val="1"/>
                <w:color w:val="auto"/>
              </w:rPr>
              <w:t>Income/(loss) before taxes</w:t>
            </w: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(43,859)</w:t>
            </w:r>
          </w:p>
        </w:tc>
      </w:tr>
      <w:tr>
        <w:trPr>
          <w:trHeight w:val="25"/>
        </w:trPr>
        <w:tc>
          <w:tcPr>
            <w:tcW w:w="6020" w:type="dxa"/>
            <w:vAlign w:val="bottom"/>
            <w:tcBorders>
              <w:bottom w:val="single" w:sz="8" w:color="183964"/>
            </w:tcBorders>
          </w:tcPr>
          <w:p>
            <w:pPr>
              <w:spacing w:after="0"/>
              <w:rPr>
                <w:sz w:val="2"/>
                <w:szCs w:val="2"/>
                <w:color w:val="auto"/>
              </w:rPr>
            </w:pPr>
          </w:p>
        </w:tc>
        <w:tc>
          <w:tcPr>
            <w:tcW w:w="1340" w:type="dxa"/>
            <w:vAlign w:val="bottom"/>
            <w:tcBorders>
              <w:bottom w:val="single" w:sz="8" w:color="183964"/>
            </w:tcBorders>
          </w:tcPr>
          <w:p>
            <w:pPr>
              <w:spacing w:after="0"/>
              <w:rPr>
                <w:sz w:val="2"/>
                <w:szCs w:val="2"/>
                <w:color w:val="auto"/>
              </w:rPr>
            </w:pPr>
          </w:p>
        </w:tc>
        <w:tc>
          <w:tcPr>
            <w:tcW w:w="19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1080" w:type="dxa"/>
            <w:vAlign w:val="bottom"/>
            <w:tcBorders>
              <w:bottom w:val="single" w:sz="8" w:color="183964"/>
            </w:tcBorders>
          </w:tcPr>
          <w:p>
            <w:pPr>
              <w:spacing w:after="0"/>
              <w:rPr>
                <w:sz w:val="2"/>
                <w:szCs w:val="2"/>
                <w:color w:val="auto"/>
              </w:rPr>
            </w:pPr>
          </w:p>
        </w:tc>
      </w:tr>
      <w:tr>
        <w:trPr>
          <w:trHeight w:val="175"/>
        </w:trPr>
        <w:tc>
          <w:tcPr>
            <w:tcW w:w="6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00" w:type="dxa"/>
            <w:vAlign w:val="bottom"/>
          </w:tcPr>
          <w:p>
            <w:pPr>
              <w:jc w:val="center"/>
              <w:ind w:left="548"/>
              <w:spacing w:after="0"/>
              <w:rPr>
                <w:sz w:val="20"/>
                <w:szCs w:val="20"/>
                <w:color w:val="auto"/>
              </w:rPr>
            </w:pPr>
            <w:r>
              <w:rPr>
                <w:rFonts w:ascii="Arial" w:cs="Arial" w:eastAsia="Arial" w:hAnsi="Arial"/>
                <w:sz w:val="13"/>
                <w:szCs w:val="13"/>
                <w:b w:val="1"/>
                <w:bCs w:val="1"/>
                <w:color w:val="auto"/>
                <w:w w:val="96"/>
              </w:rPr>
              <w:t>As of June 30, 2025</w:t>
            </w: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
        </w:trPr>
        <w:tc>
          <w:tcPr>
            <w:tcW w:w="6020" w:type="dxa"/>
            <w:vAlign w:val="bottom"/>
            <w:tcBorders>
              <w:bottom w:val="single" w:sz="8" w:color="001544"/>
            </w:tcBorders>
          </w:tcPr>
          <w:p>
            <w:pPr>
              <w:spacing w:after="0" w:line="20" w:lineRule="exact"/>
              <w:rPr>
                <w:sz w:val="1"/>
                <w:szCs w:val="1"/>
                <w:color w:val="auto"/>
              </w:rPr>
            </w:pPr>
          </w:p>
        </w:tc>
        <w:tc>
          <w:tcPr>
            <w:tcW w:w="1340" w:type="dxa"/>
            <w:vAlign w:val="bottom"/>
            <w:tcBorders>
              <w:bottom w:val="single" w:sz="8" w:color="001544"/>
            </w:tcBorders>
          </w:tcPr>
          <w:p>
            <w:pPr>
              <w:spacing w:after="0" w:line="20" w:lineRule="exact"/>
              <w:rPr>
                <w:sz w:val="1"/>
                <w:szCs w:val="1"/>
                <w:color w:val="auto"/>
              </w:rPr>
            </w:pPr>
          </w:p>
        </w:tc>
        <w:tc>
          <w:tcPr>
            <w:tcW w:w="1900" w:type="dxa"/>
            <w:vAlign w:val="bottom"/>
            <w:tcBorders>
              <w:bottom w:val="single" w:sz="8" w:color="001544"/>
            </w:tcBorders>
          </w:tcPr>
          <w:p>
            <w:pPr>
              <w:spacing w:after="0" w:line="20" w:lineRule="exact"/>
              <w:rPr>
                <w:sz w:val="1"/>
                <w:szCs w:val="1"/>
                <w:color w:val="auto"/>
              </w:rPr>
            </w:pPr>
          </w:p>
        </w:tc>
        <w:tc>
          <w:tcPr>
            <w:tcW w:w="880" w:type="dxa"/>
            <w:vAlign w:val="bottom"/>
            <w:tcBorders>
              <w:bottom w:val="single" w:sz="8" w:color="001544"/>
            </w:tcBorders>
          </w:tcPr>
          <w:p>
            <w:pPr>
              <w:spacing w:after="0" w:line="20" w:lineRule="exact"/>
              <w:rPr>
                <w:sz w:val="1"/>
                <w:szCs w:val="1"/>
                <w:color w:val="auto"/>
              </w:rPr>
            </w:pPr>
          </w:p>
        </w:tc>
        <w:tc>
          <w:tcPr>
            <w:tcW w:w="1080" w:type="dxa"/>
            <w:vAlign w:val="bottom"/>
            <w:tcBorders>
              <w:bottom w:val="single" w:sz="8" w:color="001544"/>
            </w:tcBorders>
          </w:tcPr>
          <w:p>
            <w:pPr>
              <w:spacing w:after="0" w:line="20" w:lineRule="exact"/>
              <w:rPr>
                <w:sz w:val="1"/>
                <w:szCs w:val="1"/>
                <w:color w:val="auto"/>
              </w:rPr>
            </w:pPr>
          </w:p>
        </w:tc>
      </w:tr>
      <w:tr>
        <w:trPr>
          <w:trHeight w:val="211"/>
        </w:trPr>
        <w:tc>
          <w:tcPr>
            <w:tcW w:w="6020" w:type="dxa"/>
            <w:vAlign w:val="bottom"/>
          </w:tcPr>
          <w:p>
            <w:pPr>
              <w:ind w:left="20"/>
              <w:spacing w:after="0"/>
              <w:rPr>
                <w:sz w:val="20"/>
                <w:szCs w:val="20"/>
                <w:color w:val="auto"/>
              </w:rPr>
            </w:pPr>
            <w:r>
              <w:rPr>
                <w:rFonts w:ascii="Arial" w:cs="Arial" w:eastAsia="Arial" w:hAnsi="Arial"/>
                <w:sz w:val="15"/>
                <w:szCs w:val="15"/>
                <w:b w:val="1"/>
                <w:bCs w:val="1"/>
                <w:color w:val="auto"/>
              </w:rPr>
              <w:t>Available Funds</w:t>
            </w: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
        </w:trPr>
        <w:tc>
          <w:tcPr>
            <w:tcW w:w="6020" w:type="dxa"/>
            <w:vAlign w:val="bottom"/>
            <w:tcBorders>
              <w:bottom w:val="single" w:sz="8" w:color="183964"/>
            </w:tcBorders>
          </w:tcPr>
          <w:p>
            <w:pPr>
              <w:spacing w:after="0"/>
              <w:rPr>
                <w:sz w:val="2"/>
                <w:szCs w:val="2"/>
                <w:color w:val="auto"/>
              </w:rPr>
            </w:pPr>
          </w:p>
        </w:tc>
        <w:tc>
          <w:tcPr>
            <w:tcW w:w="1340" w:type="dxa"/>
            <w:vAlign w:val="bottom"/>
            <w:tcBorders>
              <w:bottom w:val="single" w:sz="8" w:color="183964"/>
            </w:tcBorders>
          </w:tcPr>
          <w:p>
            <w:pPr>
              <w:spacing w:after="0"/>
              <w:rPr>
                <w:sz w:val="2"/>
                <w:szCs w:val="2"/>
                <w:color w:val="auto"/>
              </w:rPr>
            </w:pPr>
          </w:p>
        </w:tc>
        <w:tc>
          <w:tcPr>
            <w:tcW w:w="19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1080" w:type="dxa"/>
            <w:vAlign w:val="bottom"/>
            <w:tcBorders>
              <w:bottom w:val="single" w:sz="8" w:color="183964"/>
            </w:tcBorders>
          </w:tcPr>
          <w:p>
            <w:pPr>
              <w:spacing w:after="0"/>
              <w:rPr>
                <w:sz w:val="2"/>
                <w:szCs w:val="2"/>
                <w:color w:val="auto"/>
              </w:rPr>
            </w:pPr>
          </w:p>
        </w:tc>
      </w:tr>
      <w:tr>
        <w:trPr>
          <w:trHeight w:val="211"/>
        </w:trPr>
        <w:tc>
          <w:tcPr>
            <w:tcW w:w="6020" w:type="dxa"/>
            <w:vAlign w:val="bottom"/>
          </w:tcPr>
          <w:p>
            <w:pPr>
              <w:ind w:left="120"/>
              <w:spacing w:after="0"/>
              <w:rPr>
                <w:sz w:val="20"/>
                <w:szCs w:val="20"/>
                <w:color w:val="auto"/>
              </w:rPr>
            </w:pPr>
            <w:r>
              <w:rPr>
                <w:rFonts w:ascii="Arial" w:cs="Arial" w:eastAsia="Arial" w:hAnsi="Arial"/>
                <w:sz w:val="15"/>
                <w:szCs w:val="15"/>
                <w:color w:val="auto"/>
              </w:rPr>
              <w:t>Cash and cash equivalents</w:t>
            </w:r>
          </w:p>
        </w:tc>
        <w:tc>
          <w:tcPr>
            <w:tcW w:w="1340" w:type="dxa"/>
            <w:vAlign w:val="bottom"/>
          </w:tcPr>
          <w:p>
            <w:pPr>
              <w:jc w:val="right"/>
              <w:ind w:right="27"/>
              <w:spacing w:after="0"/>
              <w:rPr>
                <w:sz w:val="20"/>
                <w:szCs w:val="20"/>
                <w:color w:val="auto"/>
              </w:rPr>
            </w:pPr>
            <w:r>
              <w:rPr>
                <w:rFonts w:ascii="Arial" w:cs="Arial" w:eastAsia="Arial" w:hAnsi="Arial"/>
                <w:sz w:val="15"/>
                <w:szCs w:val="15"/>
                <w:b w:val="1"/>
                <w:bCs w:val="1"/>
                <w:color w:val="auto"/>
              </w:rPr>
              <w:t>3,533</w:t>
            </w:r>
          </w:p>
        </w:tc>
        <w:tc>
          <w:tcPr>
            <w:tcW w:w="1900" w:type="dxa"/>
            <w:vAlign w:val="bottom"/>
          </w:tcPr>
          <w:p>
            <w:pPr>
              <w:jc w:val="right"/>
              <w:ind w:right="628"/>
              <w:spacing w:after="0"/>
              <w:rPr>
                <w:sz w:val="20"/>
                <w:szCs w:val="20"/>
                <w:color w:val="auto"/>
              </w:rPr>
            </w:pPr>
            <w:r>
              <w:rPr>
                <w:rFonts w:ascii="Arial" w:cs="Arial" w:eastAsia="Arial" w:hAnsi="Arial"/>
                <w:sz w:val="15"/>
                <w:szCs w:val="15"/>
                <w:b w:val="1"/>
                <w:bCs w:val="1"/>
                <w:color w:val="auto"/>
              </w:rPr>
              <w:t>224</w:t>
            </w:r>
          </w:p>
        </w:tc>
        <w:tc>
          <w:tcPr>
            <w:tcW w:w="880" w:type="dxa"/>
            <w:vAlign w:val="bottom"/>
          </w:tcPr>
          <w:p>
            <w:pPr>
              <w:jc w:val="right"/>
              <w:ind w:right="226"/>
              <w:spacing w:after="0"/>
              <w:rPr>
                <w:sz w:val="20"/>
                <w:szCs w:val="20"/>
                <w:color w:val="auto"/>
              </w:rPr>
            </w:pPr>
            <w:r>
              <w:rPr>
                <w:rFonts w:ascii="Arial" w:cs="Arial" w:eastAsia="Arial" w:hAnsi="Arial"/>
                <w:sz w:val="15"/>
                <w:szCs w:val="15"/>
                <w:b w:val="1"/>
                <w:bCs w:val="1"/>
                <w:color w:val="auto"/>
              </w:rPr>
              <w:t>256,846</w:t>
            </w:r>
          </w:p>
        </w:tc>
        <w:tc>
          <w:tcPr>
            <w:tcW w:w="1080" w:type="dxa"/>
            <w:vAlign w:val="bottom"/>
          </w:tcPr>
          <w:p>
            <w:pPr>
              <w:jc w:val="right"/>
              <w:ind w:right="5"/>
              <w:spacing w:after="0"/>
              <w:rPr>
                <w:sz w:val="20"/>
                <w:szCs w:val="20"/>
                <w:color w:val="auto"/>
              </w:rPr>
            </w:pPr>
            <w:r>
              <w:rPr>
                <w:rFonts w:ascii="Arial" w:cs="Arial" w:eastAsia="Arial" w:hAnsi="Arial"/>
                <w:sz w:val="15"/>
                <w:szCs w:val="15"/>
                <w:b w:val="1"/>
                <w:bCs w:val="1"/>
                <w:color w:val="auto"/>
              </w:rPr>
              <w:t>260,604</w:t>
            </w:r>
          </w:p>
        </w:tc>
      </w:tr>
      <w:tr>
        <w:trPr>
          <w:trHeight w:val="243"/>
        </w:trPr>
        <w:tc>
          <w:tcPr>
            <w:tcW w:w="6020" w:type="dxa"/>
            <w:vAlign w:val="bottom"/>
          </w:tcPr>
          <w:p>
            <w:pPr>
              <w:ind w:left="120"/>
              <w:spacing w:after="0"/>
              <w:rPr>
                <w:sz w:val="20"/>
                <w:szCs w:val="20"/>
                <w:color w:val="auto"/>
              </w:rPr>
            </w:pPr>
            <w:r>
              <w:rPr>
                <w:rFonts w:ascii="Arial" w:cs="Arial" w:eastAsia="Arial" w:hAnsi="Arial"/>
                <w:sz w:val="15"/>
                <w:szCs w:val="15"/>
                <w:color w:val="auto"/>
              </w:rPr>
              <w:t>Short-term Investments</w:t>
            </w:r>
          </w:p>
        </w:tc>
        <w:tc>
          <w:tcPr>
            <w:tcW w:w="13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900" w:type="dxa"/>
            <w:vAlign w:val="bottom"/>
          </w:tcPr>
          <w:p>
            <w:pPr>
              <w:jc w:val="right"/>
              <w:ind w:right="628"/>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226"/>
              <w:spacing w:after="0"/>
              <w:rPr>
                <w:sz w:val="20"/>
                <w:szCs w:val="20"/>
                <w:color w:val="auto"/>
              </w:rPr>
            </w:pPr>
            <w:r>
              <w:rPr>
                <w:rFonts w:ascii="Arial" w:cs="Arial" w:eastAsia="Arial" w:hAnsi="Arial"/>
                <w:sz w:val="15"/>
                <w:szCs w:val="15"/>
                <w:b w:val="1"/>
                <w:bCs w:val="1"/>
                <w:color w:val="auto"/>
              </w:rPr>
              <w:t>59,303</w:t>
            </w:r>
          </w:p>
        </w:tc>
        <w:tc>
          <w:tcPr>
            <w:tcW w:w="1080" w:type="dxa"/>
            <w:vAlign w:val="bottom"/>
          </w:tcPr>
          <w:p>
            <w:pPr>
              <w:jc w:val="right"/>
              <w:ind w:right="5"/>
              <w:spacing w:after="0"/>
              <w:rPr>
                <w:sz w:val="20"/>
                <w:szCs w:val="20"/>
                <w:color w:val="auto"/>
              </w:rPr>
            </w:pPr>
            <w:r>
              <w:rPr>
                <w:rFonts w:ascii="Arial" w:cs="Arial" w:eastAsia="Arial" w:hAnsi="Arial"/>
                <w:sz w:val="15"/>
                <w:szCs w:val="15"/>
                <w:b w:val="1"/>
                <w:bCs w:val="1"/>
                <w:color w:val="auto"/>
              </w:rPr>
              <w:t>59,303</w:t>
            </w:r>
          </w:p>
        </w:tc>
      </w:tr>
      <w:tr>
        <w:trPr>
          <w:trHeight w:val="25"/>
        </w:trPr>
        <w:tc>
          <w:tcPr>
            <w:tcW w:w="6020" w:type="dxa"/>
            <w:vAlign w:val="bottom"/>
            <w:tcBorders>
              <w:bottom w:val="single" w:sz="8" w:color="183964"/>
            </w:tcBorders>
          </w:tcPr>
          <w:p>
            <w:pPr>
              <w:spacing w:after="0"/>
              <w:rPr>
                <w:sz w:val="2"/>
                <w:szCs w:val="2"/>
                <w:color w:val="auto"/>
              </w:rPr>
            </w:pPr>
          </w:p>
        </w:tc>
        <w:tc>
          <w:tcPr>
            <w:tcW w:w="1340" w:type="dxa"/>
            <w:vAlign w:val="bottom"/>
            <w:tcBorders>
              <w:bottom w:val="single" w:sz="8" w:color="183964"/>
            </w:tcBorders>
          </w:tcPr>
          <w:p>
            <w:pPr>
              <w:spacing w:after="0"/>
              <w:rPr>
                <w:sz w:val="2"/>
                <w:szCs w:val="2"/>
                <w:color w:val="auto"/>
              </w:rPr>
            </w:pPr>
          </w:p>
        </w:tc>
        <w:tc>
          <w:tcPr>
            <w:tcW w:w="19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1080" w:type="dxa"/>
            <w:vAlign w:val="bottom"/>
            <w:tcBorders>
              <w:bottom w:val="single" w:sz="8" w:color="183964"/>
            </w:tcBorders>
          </w:tcPr>
          <w:p>
            <w:pPr>
              <w:spacing w:after="0"/>
              <w:rPr>
                <w:sz w:val="2"/>
                <w:szCs w:val="2"/>
                <w:color w:val="auto"/>
              </w:rPr>
            </w:pPr>
          </w:p>
        </w:tc>
      </w:tr>
      <w:tr>
        <w:trPr>
          <w:trHeight w:val="211"/>
        </w:trPr>
        <w:tc>
          <w:tcPr>
            <w:tcW w:w="6020" w:type="dxa"/>
            <w:vAlign w:val="bottom"/>
          </w:tcPr>
          <w:p>
            <w:pPr>
              <w:ind w:left="120"/>
              <w:spacing w:after="0"/>
              <w:rPr>
                <w:sz w:val="20"/>
                <w:szCs w:val="20"/>
                <w:color w:val="auto"/>
              </w:rPr>
            </w:pPr>
            <w:r>
              <w:rPr>
                <w:rFonts w:ascii="Arial" w:cs="Arial" w:eastAsia="Arial" w:hAnsi="Arial"/>
                <w:sz w:val="15"/>
                <w:szCs w:val="15"/>
                <w:color w:val="auto"/>
              </w:rPr>
              <w:t>Consolidated cash, cash equivalents and short-term investments</w:t>
            </w:r>
          </w:p>
        </w:tc>
        <w:tc>
          <w:tcPr>
            <w:tcW w:w="1340" w:type="dxa"/>
            <w:vAlign w:val="bottom"/>
          </w:tcPr>
          <w:p>
            <w:pPr>
              <w:jc w:val="right"/>
              <w:ind w:right="27"/>
              <w:spacing w:after="0"/>
              <w:rPr>
                <w:sz w:val="20"/>
                <w:szCs w:val="20"/>
                <w:color w:val="auto"/>
              </w:rPr>
            </w:pPr>
            <w:r>
              <w:rPr>
                <w:rFonts w:ascii="Arial" w:cs="Arial" w:eastAsia="Arial" w:hAnsi="Arial"/>
                <w:sz w:val="15"/>
                <w:szCs w:val="15"/>
                <w:b w:val="1"/>
                <w:bCs w:val="1"/>
                <w:color w:val="auto"/>
              </w:rPr>
              <w:t>3,533</w:t>
            </w:r>
          </w:p>
        </w:tc>
        <w:tc>
          <w:tcPr>
            <w:tcW w:w="1900" w:type="dxa"/>
            <w:vAlign w:val="bottom"/>
          </w:tcPr>
          <w:p>
            <w:pPr>
              <w:jc w:val="right"/>
              <w:ind w:right="628"/>
              <w:spacing w:after="0"/>
              <w:rPr>
                <w:sz w:val="20"/>
                <w:szCs w:val="20"/>
                <w:color w:val="auto"/>
              </w:rPr>
            </w:pPr>
            <w:r>
              <w:rPr>
                <w:rFonts w:ascii="Arial" w:cs="Arial" w:eastAsia="Arial" w:hAnsi="Arial"/>
                <w:sz w:val="15"/>
                <w:szCs w:val="15"/>
                <w:b w:val="1"/>
                <w:bCs w:val="1"/>
                <w:color w:val="auto"/>
              </w:rPr>
              <w:t>224</w:t>
            </w:r>
          </w:p>
        </w:tc>
        <w:tc>
          <w:tcPr>
            <w:tcW w:w="880" w:type="dxa"/>
            <w:vAlign w:val="bottom"/>
          </w:tcPr>
          <w:p>
            <w:pPr>
              <w:jc w:val="right"/>
              <w:ind w:right="226"/>
              <w:spacing w:after="0"/>
              <w:rPr>
                <w:sz w:val="20"/>
                <w:szCs w:val="20"/>
                <w:color w:val="auto"/>
              </w:rPr>
            </w:pPr>
            <w:r>
              <w:rPr>
                <w:rFonts w:ascii="Arial" w:cs="Arial" w:eastAsia="Arial" w:hAnsi="Arial"/>
                <w:sz w:val="15"/>
                <w:szCs w:val="15"/>
                <w:b w:val="1"/>
                <w:bCs w:val="1"/>
                <w:color w:val="auto"/>
              </w:rPr>
              <w:t>316,149</w:t>
            </w:r>
          </w:p>
        </w:tc>
        <w:tc>
          <w:tcPr>
            <w:tcW w:w="1080" w:type="dxa"/>
            <w:vAlign w:val="bottom"/>
          </w:tcPr>
          <w:p>
            <w:pPr>
              <w:jc w:val="right"/>
              <w:ind w:right="5"/>
              <w:spacing w:after="0"/>
              <w:rPr>
                <w:sz w:val="20"/>
                <w:szCs w:val="20"/>
                <w:color w:val="auto"/>
              </w:rPr>
            </w:pPr>
            <w:r>
              <w:rPr>
                <w:rFonts w:ascii="Arial" w:cs="Arial" w:eastAsia="Arial" w:hAnsi="Arial"/>
                <w:sz w:val="15"/>
                <w:szCs w:val="15"/>
                <w:b w:val="1"/>
                <w:bCs w:val="1"/>
                <w:color w:val="auto"/>
              </w:rPr>
              <w:t>319,907</w:t>
            </w:r>
          </w:p>
        </w:tc>
      </w:tr>
      <w:tr>
        <w:trPr>
          <w:trHeight w:val="25"/>
        </w:trPr>
        <w:tc>
          <w:tcPr>
            <w:tcW w:w="6020" w:type="dxa"/>
            <w:vAlign w:val="bottom"/>
            <w:tcBorders>
              <w:bottom w:val="single" w:sz="8" w:color="183964"/>
            </w:tcBorders>
          </w:tcPr>
          <w:p>
            <w:pPr>
              <w:spacing w:after="0"/>
              <w:rPr>
                <w:sz w:val="2"/>
                <w:szCs w:val="2"/>
                <w:color w:val="auto"/>
              </w:rPr>
            </w:pPr>
          </w:p>
        </w:tc>
        <w:tc>
          <w:tcPr>
            <w:tcW w:w="1340" w:type="dxa"/>
            <w:vAlign w:val="bottom"/>
            <w:tcBorders>
              <w:bottom w:val="single" w:sz="8" w:color="183964"/>
            </w:tcBorders>
          </w:tcPr>
          <w:p>
            <w:pPr>
              <w:spacing w:after="0"/>
              <w:rPr>
                <w:sz w:val="2"/>
                <w:szCs w:val="2"/>
                <w:color w:val="auto"/>
              </w:rPr>
            </w:pPr>
          </w:p>
        </w:tc>
        <w:tc>
          <w:tcPr>
            <w:tcW w:w="19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1080" w:type="dxa"/>
            <w:vAlign w:val="bottom"/>
            <w:tcBorders>
              <w:bottom w:val="single" w:sz="8" w:color="183964"/>
            </w:tcBorders>
          </w:tcPr>
          <w:p>
            <w:pPr>
              <w:spacing w:after="0"/>
              <w:rPr>
                <w:sz w:val="2"/>
                <w:szCs w:val="2"/>
                <w:color w:val="auto"/>
              </w:rPr>
            </w:pPr>
          </w:p>
        </w:tc>
      </w:tr>
    </w:tbl>
    <w:p>
      <w:pPr>
        <w:sectPr>
          <w:pgSz w:w="11900" w:h="16838" w:orient="portrait"/>
          <w:cols w:equalWidth="0" w:num="1">
            <w:col w:w="11240"/>
          </w:cols>
          <w:pgMar w:left="320" w:top="1243"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520" w:type="dxa"/>
            <w:vAlign w:val="bottom"/>
            <w:gridSpan w:val="2"/>
          </w:tcPr>
          <w:p>
            <w:pPr>
              <w:jc w:val="right"/>
              <w:ind w:right="108"/>
              <w:spacing w:after="0"/>
              <w:rPr>
                <w:sz w:val="20"/>
                <w:szCs w:val="20"/>
                <w:color w:val="auto"/>
              </w:rPr>
            </w:pPr>
            <w:r>
              <w:rPr>
                <w:rFonts w:ascii="Arial" w:cs="Arial" w:eastAsia="Arial" w:hAnsi="Arial"/>
                <w:sz w:val="13"/>
                <w:szCs w:val="13"/>
                <w:color w:val="183964"/>
                <w:w w:val="99"/>
              </w:rPr>
              <w:t>For the six months ended June 30, 2024</w:t>
            </w:r>
          </w:p>
        </w:tc>
        <w:tc>
          <w:tcPr>
            <w:tcW w:w="1300" w:type="dxa"/>
            <w:vAlign w:val="bottom"/>
          </w:tcPr>
          <w:p>
            <w:pPr>
              <w:spacing w:after="0"/>
              <w:rPr>
                <w:sz w:val="14"/>
                <w:szCs w:val="14"/>
                <w:color w:val="auto"/>
              </w:rPr>
            </w:pPr>
          </w:p>
        </w:tc>
      </w:tr>
      <w:tr>
        <w:trPr>
          <w:trHeight w:val="28"/>
        </w:trPr>
        <w:tc>
          <w:tcPr>
            <w:tcW w:w="60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51"/>
        </w:trPr>
        <w:tc>
          <w:tcPr>
            <w:tcW w:w="6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183964"/>
              </w:rPr>
              <w:t>Parent</w:t>
            </w:r>
          </w:p>
        </w:tc>
        <w:tc>
          <w:tcPr>
            <w:tcW w:w="1300" w:type="dxa"/>
            <w:vAlign w:val="bottom"/>
          </w:tcPr>
          <w:p>
            <w:pPr>
              <w:spacing w:after="0"/>
              <w:rPr>
                <w:sz w:val="13"/>
                <w:szCs w:val="13"/>
                <w:color w:val="auto"/>
              </w:rPr>
            </w:pPr>
          </w:p>
        </w:tc>
      </w:tr>
      <w:tr>
        <w:trPr>
          <w:trHeight w:val="148"/>
        </w:trPr>
        <w:tc>
          <w:tcPr>
            <w:tcW w:w="6020" w:type="dxa"/>
            <w:vAlign w:val="bottom"/>
          </w:tcPr>
          <w:p>
            <w:pPr>
              <w:spacing w:after="0"/>
              <w:rPr>
                <w:sz w:val="12"/>
                <w:szCs w:val="12"/>
                <w:color w:val="auto"/>
              </w:rPr>
            </w:pPr>
          </w:p>
        </w:tc>
        <w:tc>
          <w:tcPr>
            <w:tcW w:w="1380" w:type="dxa"/>
            <w:vAlign w:val="bottom"/>
          </w:tcPr>
          <w:p>
            <w:pPr>
              <w:jc w:val="right"/>
              <w:ind w:right="27"/>
              <w:spacing w:after="0"/>
              <w:rPr>
                <w:sz w:val="20"/>
                <w:szCs w:val="20"/>
                <w:color w:val="auto"/>
              </w:rPr>
            </w:pPr>
            <w:r>
              <w:rPr>
                <w:rFonts w:ascii="Arial" w:cs="Arial" w:eastAsia="Arial" w:hAnsi="Arial"/>
                <w:sz w:val="13"/>
                <w:szCs w:val="13"/>
                <w:color w:val="183964"/>
              </w:rPr>
              <w:t>Wholly-Owned</w:t>
            </w:r>
          </w:p>
        </w:tc>
        <w:tc>
          <w:tcPr>
            <w:tcW w:w="1220" w:type="dxa"/>
            <w:vAlign w:val="bottom"/>
          </w:tcPr>
          <w:p>
            <w:pPr>
              <w:jc w:val="right"/>
              <w:spacing w:after="0"/>
              <w:rPr>
                <w:sz w:val="20"/>
                <w:szCs w:val="20"/>
                <w:color w:val="auto"/>
              </w:rPr>
            </w:pPr>
            <w:r>
              <w:rPr>
                <w:rFonts w:ascii="Arial" w:cs="Arial" w:eastAsia="Arial" w:hAnsi="Arial"/>
                <w:sz w:val="13"/>
                <w:szCs w:val="13"/>
                <w:color w:val="183964"/>
              </w:rPr>
              <w:t>Controlled Founded</w:t>
            </w:r>
          </w:p>
        </w:tc>
        <w:tc>
          <w:tcPr>
            <w:tcW w:w="1300" w:type="dxa"/>
            <w:vAlign w:val="bottom"/>
          </w:tcPr>
          <w:p>
            <w:pPr>
              <w:jc w:val="right"/>
              <w:spacing w:after="0"/>
              <w:rPr>
                <w:sz w:val="20"/>
                <w:szCs w:val="20"/>
                <w:color w:val="auto"/>
              </w:rPr>
            </w:pPr>
            <w:r>
              <w:rPr>
                <w:rFonts w:ascii="Arial" w:cs="Arial" w:eastAsia="Arial" w:hAnsi="Arial"/>
                <w:sz w:val="13"/>
                <w:szCs w:val="13"/>
                <w:color w:val="183964"/>
              </w:rPr>
              <w:t>Company and</w:t>
            </w:r>
          </w:p>
        </w:tc>
        <w:tc>
          <w:tcPr>
            <w:tcW w:w="1300" w:type="dxa"/>
            <w:vAlign w:val="bottom"/>
          </w:tcPr>
          <w:p>
            <w:pPr>
              <w:spacing w:after="0"/>
              <w:rPr>
                <w:sz w:val="12"/>
                <w:szCs w:val="12"/>
                <w:color w:val="auto"/>
              </w:rPr>
            </w:pPr>
          </w:p>
        </w:tc>
      </w:tr>
      <w:tr>
        <w:trPr>
          <w:trHeight w:val="149"/>
        </w:trPr>
        <w:tc>
          <w:tcPr>
            <w:tcW w:w="6020" w:type="dxa"/>
            <w:vAlign w:val="bottom"/>
          </w:tcPr>
          <w:p>
            <w:pPr>
              <w:spacing w:after="0"/>
              <w:rPr>
                <w:sz w:val="12"/>
                <w:szCs w:val="12"/>
                <w:color w:val="auto"/>
              </w:rPr>
            </w:pPr>
          </w:p>
        </w:tc>
        <w:tc>
          <w:tcPr>
            <w:tcW w:w="1380" w:type="dxa"/>
            <w:vAlign w:val="bottom"/>
          </w:tcPr>
          <w:p>
            <w:pPr>
              <w:jc w:val="right"/>
              <w:ind w:right="27"/>
              <w:spacing w:after="0"/>
              <w:rPr>
                <w:sz w:val="20"/>
                <w:szCs w:val="20"/>
                <w:color w:val="auto"/>
              </w:rPr>
            </w:pPr>
            <w:r>
              <w:rPr>
                <w:rFonts w:ascii="Arial" w:cs="Arial" w:eastAsia="Arial" w:hAnsi="Arial"/>
                <w:sz w:val="13"/>
                <w:szCs w:val="13"/>
                <w:color w:val="183964"/>
              </w:rPr>
              <w:t>Programs</w:t>
            </w:r>
          </w:p>
        </w:tc>
        <w:tc>
          <w:tcPr>
            <w:tcW w:w="1220" w:type="dxa"/>
            <w:vAlign w:val="bottom"/>
          </w:tcPr>
          <w:p>
            <w:pPr>
              <w:jc w:val="right"/>
              <w:spacing w:after="0"/>
              <w:rPr>
                <w:sz w:val="20"/>
                <w:szCs w:val="20"/>
                <w:color w:val="auto"/>
              </w:rPr>
            </w:pPr>
            <w:r>
              <w:rPr>
                <w:rFonts w:ascii="Arial" w:cs="Arial" w:eastAsia="Arial" w:hAnsi="Arial"/>
                <w:sz w:val="13"/>
                <w:szCs w:val="13"/>
                <w:color w:val="183964"/>
              </w:rPr>
              <w:t>Entities</w:t>
            </w:r>
          </w:p>
        </w:tc>
        <w:tc>
          <w:tcPr>
            <w:tcW w:w="1300" w:type="dxa"/>
            <w:vAlign w:val="bottom"/>
          </w:tcPr>
          <w:p>
            <w:pPr>
              <w:jc w:val="right"/>
              <w:spacing w:after="0"/>
              <w:rPr>
                <w:sz w:val="20"/>
                <w:szCs w:val="20"/>
                <w:color w:val="auto"/>
              </w:rPr>
            </w:pPr>
            <w:r>
              <w:rPr>
                <w:rFonts w:ascii="Arial" w:cs="Arial" w:eastAsia="Arial" w:hAnsi="Arial"/>
                <w:sz w:val="13"/>
                <w:szCs w:val="13"/>
                <w:color w:val="183964"/>
              </w:rPr>
              <w:t>Other</w:t>
            </w:r>
          </w:p>
        </w:tc>
        <w:tc>
          <w:tcPr>
            <w:tcW w:w="1300" w:type="dxa"/>
            <w:vAlign w:val="bottom"/>
          </w:tcPr>
          <w:p>
            <w:pPr>
              <w:jc w:val="right"/>
              <w:spacing w:after="0"/>
              <w:rPr>
                <w:sz w:val="20"/>
                <w:szCs w:val="20"/>
                <w:color w:val="auto"/>
              </w:rPr>
            </w:pPr>
            <w:r>
              <w:rPr>
                <w:rFonts w:ascii="Arial" w:cs="Arial" w:eastAsia="Arial" w:hAnsi="Arial"/>
                <w:sz w:val="13"/>
                <w:szCs w:val="13"/>
                <w:color w:val="183964"/>
              </w:rPr>
              <w:t>Consolidated</w:t>
            </w:r>
          </w:p>
        </w:tc>
      </w:tr>
      <w:tr>
        <w:trPr>
          <w:trHeight w:val="179"/>
        </w:trPr>
        <w:tc>
          <w:tcPr>
            <w:tcW w:w="6020" w:type="dxa"/>
            <w:vAlign w:val="bottom"/>
          </w:tcPr>
          <w:p>
            <w:pPr>
              <w:spacing w:after="0"/>
              <w:rPr>
                <w:sz w:val="15"/>
                <w:szCs w:val="15"/>
                <w:color w:val="auto"/>
              </w:rPr>
            </w:pPr>
          </w:p>
        </w:tc>
        <w:tc>
          <w:tcPr>
            <w:tcW w:w="1380" w:type="dxa"/>
            <w:vAlign w:val="bottom"/>
          </w:tcPr>
          <w:p>
            <w:pPr>
              <w:jc w:val="right"/>
              <w:ind w:right="27"/>
              <w:spacing w:after="0"/>
              <w:rPr>
                <w:sz w:val="20"/>
                <w:szCs w:val="20"/>
                <w:color w:val="auto"/>
              </w:rPr>
            </w:pPr>
            <w:r>
              <w:rPr>
                <w:rFonts w:ascii="Arial" w:cs="Arial" w:eastAsia="Arial" w:hAnsi="Arial"/>
                <w:sz w:val="13"/>
                <w:szCs w:val="13"/>
                <w:color w:val="183964"/>
              </w:rPr>
              <w:t>$</w:t>
            </w:r>
          </w:p>
        </w:tc>
        <w:tc>
          <w:tcPr>
            <w:tcW w:w="1220" w:type="dxa"/>
            <w:vAlign w:val="bottom"/>
          </w:tcPr>
          <w:p>
            <w:pPr>
              <w:jc w:val="right"/>
              <w:spacing w:after="0"/>
              <w:rPr>
                <w:sz w:val="20"/>
                <w:szCs w:val="20"/>
                <w:color w:val="auto"/>
              </w:rPr>
            </w:pPr>
            <w:r>
              <w:rPr>
                <w:rFonts w:ascii="Arial" w:cs="Arial" w:eastAsia="Arial" w:hAnsi="Arial"/>
                <w:sz w:val="13"/>
                <w:szCs w:val="13"/>
                <w:color w:val="183964"/>
              </w:rPr>
              <w:t>$</w:t>
            </w:r>
          </w:p>
        </w:tc>
        <w:tc>
          <w:tcPr>
            <w:tcW w:w="1300" w:type="dxa"/>
            <w:vAlign w:val="bottom"/>
          </w:tcPr>
          <w:p>
            <w:pPr>
              <w:jc w:val="right"/>
              <w:spacing w:after="0"/>
              <w:rPr>
                <w:sz w:val="20"/>
                <w:szCs w:val="20"/>
                <w:color w:val="auto"/>
              </w:rPr>
            </w:pPr>
            <w:r>
              <w:rPr>
                <w:rFonts w:ascii="Arial" w:cs="Arial" w:eastAsia="Arial" w:hAnsi="Arial"/>
                <w:sz w:val="13"/>
                <w:szCs w:val="13"/>
                <w:color w:val="183964"/>
              </w:rPr>
              <w:t>$</w:t>
            </w:r>
          </w:p>
        </w:tc>
        <w:tc>
          <w:tcPr>
            <w:tcW w:w="1300" w:type="dxa"/>
            <w:vAlign w:val="bottom"/>
          </w:tcPr>
          <w:p>
            <w:pPr>
              <w:jc w:val="right"/>
              <w:spacing w:after="0"/>
              <w:rPr>
                <w:sz w:val="20"/>
                <w:szCs w:val="20"/>
                <w:color w:val="auto"/>
              </w:rPr>
            </w:pPr>
            <w:r>
              <w:rPr>
                <w:rFonts w:ascii="Arial" w:cs="Arial" w:eastAsia="Arial" w:hAnsi="Arial"/>
                <w:sz w:val="13"/>
                <w:szCs w:val="13"/>
                <w:color w:val="183964"/>
              </w:rPr>
              <w:t>$</w:t>
            </w:r>
          </w:p>
        </w:tc>
      </w:tr>
      <w:tr>
        <w:trPr>
          <w:trHeight w:val="28"/>
        </w:trPr>
        <w:tc>
          <w:tcPr>
            <w:tcW w:w="6020" w:type="dxa"/>
            <w:vAlign w:val="bottom"/>
            <w:tcBorders>
              <w:bottom w:val="single" w:sz="8" w:color="001544"/>
            </w:tcBorders>
          </w:tcPr>
          <w:p>
            <w:pPr>
              <w:spacing w:after="0"/>
              <w:rPr>
                <w:sz w:val="2"/>
                <w:szCs w:val="2"/>
                <w:color w:val="auto"/>
              </w:rPr>
            </w:pPr>
          </w:p>
        </w:tc>
        <w:tc>
          <w:tcPr>
            <w:tcW w:w="1380" w:type="dxa"/>
            <w:vAlign w:val="bottom"/>
            <w:tcBorders>
              <w:bottom w:val="single" w:sz="8" w:color="001544"/>
            </w:tcBorders>
          </w:tcPr>
          <w:p>
            <w:pPr>
              <w:spacing w:after="0"/>
              <w:rPr>
                <w:sz w:val="2"/>
                <w:szCs w:val="2"/>
                <w:color w:val="auto"/>
              </w:rPr>
            </w:pPr>
          </w:p>
        </w:tc>
        <w:tc>
          <w:tcPr>
            <w:tcW w:w="122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5"/>
                <w:szCs w:val="15"/>
                <w:color w:val="auto"/>
              </w:rPr>
              <w:t>Grant revenue</w:t>
            </w:r>
          </w:p>
        </w:tc>
        <w:tc>
          <w:tcPr>
            <w:tcW w:w="1380" w:type="dxa"/>
            <w:vAlign w:val="bottom"/>
          </w:tcPr>
          <w:p>
            <w:pPr>
              <w:jc w:val="right"/>
              <w:ind w:right="67"/>
              <w:spacing w:after="0"/>
              <w:rPr>
                <w:sz w:val="20"/>
                <w:szCs w:val="20"/>
                <w:color w:val="auto"/>
              </w:rPr>
            </w:pPr>
            <w:r>
              <w:rPr>
                <w:rFonts w:ascii="Arial" w:cs="Arial" w:eastAsia="Arial" w:hAnsi="Arial"/>
                <w:sz w:val="15"/>
                <w:szCs w:val="15"/>
                <w:color w:val="183964"/>
              </w:rPr>
              <w:t>288</w:t>
            </w:r>
          </w:p>
        </w:tc>
        <w:tc>
          <w:tcPr>
            <w:tcW w:w="1220" w:type="dxa"/>
            <w:vAlign w:val="bottom"/>
          </w:tcPr>
          <w:p>
            <w:pPr>
              <w:jc w:val="right"/>
              <w:spacing w:after="0"/>
              <w:rPr>
                <w:sz w:val="20"/>
                <w:szCs w:val="20"/>
                <w:color w:val="auto"/>
              </w:rPr>
            </w:pPr>
            <w:r>
              <w:rPr>
                <w:rFonts w:ascii="Arial" w:cs="Arial" w:eastAsia="Arial" w:hAnsi="Arial"/>
                <w:sz w:val="15"/>
                <w:szCs w:val="15"/>
                <w:color w:val="183964"/>
              </w:rPr>
              <w:t>—</w:t>
            </w:r>
          </w:p>
        </w:tc>
        <w:tc>
          <w:tcPr>
            <w:tcW w:w="1300" w:type="dxa"/>
            <w:vAlign w:val="bottom"/>
          </w:tcPr>
          <w:p>
            <w:pPr>
              <w:jc w:val="right"/>
              <w:ind w:right="8"/>
              <w:spacing w:after="0"/>
              <w:rPr>
                <w:sz w:val="20"/>
                <w:szCs w:val="20"/>
                <w:color w:val="auto"/>
              </w:rPr>
            </w:pPr>
            <w:r>
              <w:rPr>
                <w:rFonts w:ascii="Arial" w:cs="Arial" w:eastAsia="Arial" w:hAnsi="Arial"/>
                <w:sz w:val="15"/>
                <w:szCs w:val="15"/>
                <w:color w:val="183964"/>
              </w:rPr>
              <w:t>—</w:t>
            </w: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288</w:t>
            </w:r>
          </w:p>
        </w:tc>
      </w:tr>
      <w:tr>
        <w:trPr>
          <w:trHeight w:val="33"/>
        </w:trPr>
        <w:tc>
          <w:tcPr>
            <w:tcW w:w="6020" w:type="dxa"/>
            <w:vAlign w:val="bottom"/>
            <w:tcBorders>
              <w:bottom w:val="single" w:sz="8" w:color="183964"/>
            </w:tcBorders>
          </w:tcPr>
          <w:p>
            <w:pPr>
              <w:spacing w:after="0"/>
              <w:rPr>
                <w:sz w:val="2"/>
                <w:szCs w:val="2"/>
                <w:color w:val="auto"/>
              </w:rPr>
            </w:pPr>
          </w:p>
        </w:tc>
        <w:tc>
          <w:tcPr>
            <w:tcW w:w="1380" w:type="dxa"/>
            <w:vAlign w:val="bottom"/>
            <w:tcBorders>
              <w:bottom w:val="single" w:sz="8" w:color="183964"/>
            </w:tcBorders>
          </w:tcPr>
          <w:p>
            <w:pPr>
              <w:spacing w:after="0"/>
              <w:rPr>
                <w:sz w:val="2"/>
                <w:szCs w:val="2"/>
                <w:color w:val="auto"/>
              </w:rPr>
            </w:pPr>
          </w:p>
        </w:tc>
        <w:tc>
          <w:tcPr>
            <w:tcW w:w="1220" w:type="dxa"/>
            <w:vAlign w:val="bottom"/>
            <w:tcBorders>
              <w:bottom w:val="single" w:sz="8" w:color="183964"/>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5"/>
                <w:szCs w:val="15"/>
                <w:color w:val="auto"/>
              </w:rPr>
              <w:t>Total revenue</w:t>
            </w:r>
          </w:p>
        </w:tc>
        <w:tc>
          <w:tcPr>
            <w:tcW w:w="1380" w:type="dxa"/>
            <w:vAlign w:val="bottom"/>
          </w:tcPr>
          <w:p>
            <w:pPr>
              <w:jc w:val="right"/>
              <w:ind w:right="67"/>
              <w:spacing w:after="0"/>
              <w:rPr>
                <w:sz w:val="20"/>
                <w:szCs w:val="20"/>
                <w:color w:val="auto"/>
              </w:rPr>
            </w:pPr>
            <w:r>
              <w:rPr>
                <w:rFonts w:ascii="Arial" w:cs="Arial" w:eastAsia="Arial" w:hAnsi="Arial"/>
                <w:sz w:val="15"/>
                <w:szCs w:val="15"/>
                <w:color w:val="183964"/>
              </w:rPr>
              <w:t>288</w:t>
            </w:r>
          </w:p>
        </w:tc>
        <w:tc>
          <w:tcPr>
            <w:tcW w:w="1220" w:type="dxa"/>
            <w:vAlign w:val="bottom"/>
          </w:tcPr>
          <w:p>
            <w:pPr>
              <w:jc w:val="right"/>
              <w:spacing w:after="0"/>
              <w:rPr>
                <w:sz w:val="20"/>
                <w:szCs w:val="20"/>
                <w:color w:val="auto"/>
              </w:rPr>
            </w:pPr>
            <w:r>
              <w:rPr>
                <w:rFonts w:ascii="Arial" w:cs="Arial" w:eastAsia="Arial" w:hAnsi="Arial"/>
                <w:sz w:val="15"/>
                <w:szCs w:val="15"/>
                <w:color w:val="183964"/>
              </w:rPr>
              <w:t>—</w:t>
            </w:r>
          </w:p>
        </w:tc>
        <w:tc>
          <w:tcPr>
            <w:tcW w:w="1300" w:type="dxa"/>
            <w:vAlign w:val="bottom"/>
          </w:tcPr>
          <w:p>
            <w:pPr>
              <w:jc w:val="right"/>
              <w:ind w:right="8"/>
              <w:spacing w:after="0"/>
              <w:rPr>
                <w:sz w:val="20"/>
                <w:szCs w:val="20"/>
                <w:color w:val="auto"/>
              </w:rPr>
            </w:pPr>
            <w:r>
              <w:rPr>
                <w:rFonts w:ascii="Arial" w:cs="Arial" w:eastAsia="Arial" w:hAnsi="Arial"/>
                <w:sz w:val="15"/>
                <w:szCs w:val="15"/>
                <w:color w:val="183964"/>
              </w:rPr>
              <w:t>—</w:t>
            </w: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288</w:t>
            </w:r>
          </w:p>
        </w:tc>
      </w:tr>
      <w:tr>
        <w:trPr>
          <w:trHeight w:val="33"/>
        </w:trPr>
        <w:tc>
          <w:tcPr>
            <w:tcW w:w="6020" w:type="dxa"/>
            <w:vAlign w:val="bottom"/>
            <w:tcBorders>
              <w:bottom w:val="single" w:sz="8" w:color="183964"/>
            </w:tcBorders>
          </w:tcPr>
          <w:p>
            <w:pPr>
              <w:spacing w:after="0"/>
              <w:rPr>
                <w:sz w:val="2"/>
                <w:szCs w:val="2"/>
                <w:color w:val="auto"/>
              </w:rPr>
            </w:pPr>
          </w:p>
        </w:tc>
        <w:tc>
          <w:tcPr>
            <w:tcW w:w="1380" w:type="dxa"/>
            <w:vAlign w:val="bottom"/>
            <w:tcBorders>
              <w:bottom w:val="single" w:sz="8" w:color="183964"/>
            </w:tcBorders>
          </w:tcPr>
          <w:p>
            <w:pPr>
              <w:spacing w:after="0"/>
              <w:rPr>
                <w:sz w:val="2"/>
                <w:szCs w:val="2"/>
                <w:color w:val="auto"/>
              </w:rPr>
            </w:pPr>
          </w:p>
        </w:tc>
        <w:tc>
          <w:tcPr>
            <w:tcW w:w="122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r>
      <w:tr>
        <w:trPr>
          <w:trHeight w:val="204"/>
        </w:trPr>
        <w:tc>
          <w:tcPr>
            <w:tcW w:w="6020" w:type="dxa"/>
            <w:vAlign w:val="bottom"/>
          </w:tcPr>
          <w:p>
            <w:pPr>
              <w:ind w:left="20"/>
              <w:spacing w:after="0"/>
              <w:rPr>
                <w:sz w:val="20"/>
                <w:szCs w:val="20"/>
                <w:color w:val="auto"/>
              </w:rPr>
            </w:pPr>
            <w:r>
              <w:rPr>
                <w:rFonts w:ascii="Arial" w:cs="Arial" w:eastAsia="Arial" w:hAnsi="Arial"/>
                <w:sz w:val="15"/>
                <w:szCs w:val="15"/>
                <w:color w:val="auto"/>
              </w:rPr>
              <w:t>General and administrative expenses</w:t>
            </w:r>
          </w:p>
        </w:tc>
        <w:tc>
          <w:tcPr>
            <w:tcW w:w="1380" w:type="dxa"/>
            <w:vAlign w:val="bottom"/>
          </w:tcPr>
          <w:p>
            <w:pPr>
              <w:jc w:val="right"/>
              <w:ind w:right="27"/>
              <w:spacing w:after="0"/>
              <w:rPr>
                <w:sz w:val="20"/>
                <w:szCs w:val="20"/>
                <w:color w:val="auto"/>
              </w:rPr>
            </w:pPr>
            <w:r>
              <w:rPr>
                <w:rFonts w:ascii="Arial" w:cs="Arial" w:eastAsia="Arial" w:hAnsi="Arial"/>
                <w:sz w:val="15"/>
                <w:szCs w:val="15"/>
                <w:color w:val="183964"/>
              </w:rPr>
              <w:t>(4,450)</w:t>
            </w:r>
          </w:p>
        </w:tc>
        <w:tc>
          <w:tcPr>
            <w:tcW w:w="1220" w:type="dxa"/>
            <w:vAlign w:val="bottom"/>
          </w:tcPr>
          <w:p>
            <w:pPr>
              <w:jc w:val="right"/>
              <w:spacing w:after="0"/>
              <w:rPr>
                <w:sz w:val="20"/>
                <w:szCs w:val="20"/>
                <w:color w:val="auto"/>
              </w:rPr>
            </w:pPr>
            <w:r>
              <w:rPr>
                <w:rFonts w:ascii="Arial" w:cs="Arial" w:eastAsia="Arial" w:hAnsi="Arial"/>
                <w:sz w:val="15"/>
                <w:szCs w:val="15"/>
                <w:color w:val="183964"/>
              </w:rPr>
              <w:t>(36)</w:t>
            </w:r>
          </w:p>
        </w:tc>
        <w:tc>
          <w:tcPr>
            <w:tcW w:w="1300" w:type="dxa"/>
            <w:vAlign w:val="bottom"/>
          </w:tcPr>
          <w:p>
            <w:pPr>
              <w:jc w:val="right"/>
              <w:spacing w:after="0"/>
              <w:rPr>
                <w:sz w:val="20"/>
                <w:szCs w:val="20"/>
                <w:color w:val="auto"/>
              </w:rPr>
            </w:pPr>
            <w:r>
              <w:rPr>
                <w:rFonts w:ascii="Arial" w:cs="Arial" w:eastAsia="Arial" w:hAnsi="Arial"/>
                <w:sz w:val="15"/>
                <w:szCs w:val="15"/>
                <w:color w:val="183964"/>
              </w:rPr>
              <w:t>(23,272)</w:t>
            </w:r>
          </w:p>
        </w:tc>
        <w:tc>
          <w:tcPr>
            <w:tcW w:w="1300" w:type="dxa"/>
            <w:vAlign w:val="bottom"/>
          </w:tcPr>
          <w:p>
            <w:pPr>
              <w:jc w:val="right"/>
              <w:spacing w:after="0"/>
              <w:rPr>
                <w:sz w:val="20"/>
                <w:szCs w:val="20"/>
                <w:color w:val="auto"/>
              </w:rPr>
            </w:pPr>
            <w:r>
              <w:rPr>
                <w:rFonts w:ascii="Arial" w:cs="Arial" w:eastAsia="Arial" w:hAnsi="Arial"/>
                <w:sz w:val="15"/>
                <w:szCs w:val="15"/>
                <w:color w:val="183964"/>
              </w:rPr>
              <w:t>(27,758)</w:t>
            </w:r>
          </w:p>
        </w:tc>
      </w:tr>
      <w:tr>
        <w:trPr>
          <w:trHeight w:val="243"/>
        </w:trPr>
        <w:tc>
          <w:tcPr>
            <w:tcW w:w="6020" w:type="dxa"/>
            <w:vAlign w:val="bottom"/>
          </w:tcPr>
          <w:p>
            <w:pPr>
              <w:ind w:left="20"/>
              <w:spacing w:after="0"/>
              <w:rPr>
                <w:sz w:val="20"/>
                <w:szCs w:val="20"/>
                <w:color w:val="auto"/>
              </w:rPr>
            </w:pPr>
            <w:r>
              <w:rPr>
                <w:rFonts w:ascii="Arial" w:cs="Arial" w:eastAsia="Arial" w:hAnsi="Arial"/>
                <w:sz w:val="15"/>
                <w:szCs w:val="15"/>
                <w:color w:val="auto"/>
              </w:rPr>
              <w:t>Research and development expenses</w:t>
            </w:r>
          </w:p>
        </w:tc>
        <w:tc>
          <w:tcPr>
            <w:tcW w:w="1380" w:type="dxa"/>
            <w:vAlign w:val="bottom"/>
          </w:tcPr>
          <w:p>
            <w:pPr>
              <w:jc w:val="right"/>
              <w:ind w:right="27"/>
              <w:spacing w:after="0"/>
              <w:rPr>
                <w:sz w:val="20"/>
                <w:szCs w:val="20"/>
                <w:color w:val="auto"/>
              </w:rPr>
            </w:pPr>
            <w:r>
              <w:rPr>
                <w:rFonts w:ascii="Arial" w:cs="Arial" w:eastAsia="Arial" w:hAnsi="Arial"/>
                <w:sz w:val="15"/>
                <w:szCs w:val="15"/>
                <w:color w:val="183964"/>
              </w:rPr>
              <w:t>(32,981)</w:t>
            </w:r>
          </w:p>
        </w:tc>
        <w:tc>
          <w:tcPr>
            <w:tcW w:w="1220" w:type="dxa"/>
            <w:vAlign w:val="bottom"/>
          </w:tcPr>
          <w:p>
            <w:pPr>
              <w:jc w:val="right"/>
              <w:spacing w:after="0"/>
              <w:rPr>
                <w:sz w:val="20"/>
                <w:szCs w:val="20"/>
                <w:color w:val="auto"/>
              </w:rPr>
            </w:pPr>
            <w:r>
              <w:rPr>
                <w:rFonts w:ascii="Arial" w:cs="Arial" w:eastAsia="Arial" w:hAnsi="Arial"/>
                <w:sz w:val="15"/>
                <w:szCs w:val="15"/>
                <w:color w:val="183964"/>
              </w:rPr>
              <w:t>(297)</w:t>
            </w:r>
          </w:p>
        </w:tc>
        <w:tc>
          <w:tcPr>
            <w:tcW w:w="1300" w:type="dxa"/>
            <w:vAlign w:val="bottom"/>
          </w:tcPr>
          <w:p>
            <w:pPr>
              <w:jc w:val="right"/>
              <w:spacing w:after="0"/>
              <w:rPr>
                <w:sz w:val="20"/>
                <w:szCs w:val="20"/>
                <w:color w:val="auto"/>
              </w:rPr>
            </w:pPr>
            <w:r>
              <w:rPr>
                <w:rFonts w:ascii="Arial" w:cs="Arial" w:eastAsia="Arial" w:hAnsi="Arial"/>
                <w:sz w:val="15"/>
                <w:szCs w:val="15"/>
                <w:color w:val="183964"/>
              </w:rPr>
              <w:t>(5,650)</w:t>
            </w:r>
          </w:p>
        </w:tc>
        <w:tc>
          <w:tcPr>
            <w:tcW w:w="1300" w:type="dxa"/>
            <w:vAlign w:val="bottom"/>
          </w:tcPr>
          <w:p>
            <w:pPr>
              <w:jc w:val="right"/>
              <w:spacing w:after="0"/>
              <w:rPr>
                <w:sz w:val="20"/>
                <w:szCs w:val="20"/>
                <w:color w:val="auto"/>
              </w:rPr>
            </w:pPr>
            <w:r>
              <w:rPr>
                <w:rFonts w:ascii="Arial" w:cs="Arial" w:eastAsia="Arial" w:hAnsi="Arial"/>
                <w:sz w:val="15"/>
                <w:szCs w:val="15"/>
                <w:color w:val="183964"/>
              </w:rPr>
              <w:t>(38,928)</w:t>
            </w:r>
          </w:p>
        </w:tc>
      </w:tr>
      <w:tr>
        <w:trPr>
          <w:trHeight w:val="33"/>
        </w:trPr>
        <w:tc>
          <w:tcPr>
            <w:tcW w:w="6020" w:type="dxa"/>
            <w:vAlign w:val="bottom"/>
            <w:tcBorders>
              <w:bottom w:val="single" w:sz="8" w:color="183964"/>
            </w:tcBorders>
          </w:tcPr>
          <w:p>
            <w:pPr>
              <w:spacing w:after="0"/>
              <w:rPr>
                <w:sz w:val="2"/>
                <w:szCs w:val="2"/>
                <w:color w:val="auto"/>
              </w:rPr>
            </w:pPr>
          </w:p>
        </w:tc>
        <w:tc>
          <w:tcPr>
            <w:tcW w:w="1380" w:type="dxa"/>
            <w:vAlign w:val="bottom"/>
            <w:tcBorders>
              <w:bottom w:val="single" w:sz="8" w:color="183964"/>
            </w:tcBorders>
          </w:tcPr>
          <w:p>
            <w:pPr>
              <w:spacing w:after="0"/>
              <w:rPr>
                <w:sz w:val="2"/>
                <w:szCs w:val="2"/>
                <w:color w:val="auto"/>
              </w:rPr>
            </w:pPr>
          </w:p>
        </w:tc>
        <w:tc>
          <w:tcPr>
            <w:tcW w:w="122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5"/>
                <w:szCs w:val="15"/>
                <w:color w:val="auto"/>
              </w:rPr>
              <w:t>Total operating expenses</w:t>
            </w:r>
          </w:p>
        </w:tc>
        <w:tc>
          <w:tcPr>
            <w:tcW w:w="1380" w:type="dxa"/>
            <w:vAlign w:val="bottom"/>
          </w:tcPr>
          <w:p>
            <w:pPr>
              <w:jc w:val="right"/>
              <w:ind w:right="27"/>
              <w:spacing w:after="0"/>
              <w:rPr>
                <w:sz w:val="20"/>
                <w:szCs w:val="20"/>
                <w:color w:val="auto"/>
              </w:rPr>
            </w:pPr>
            <w:r>
              <w:rPr>
                <w:rFonts w:ascii="Arial" w:cs="Arial" w:eastAsia="Arial" w:hAnsi="Arial"/>
                <w:sz w:val="15"/>
                <w:szCs w:val="15"/>
                <w:color w:val="183964"/>
              </w:rPr>
              <w:t>(37,431)</w:t>
            </w:r>
          </w:p>
        </w:tc>
        <w:tc>
          <w:tcPr>
            <w:tcW w:w="1220" w:type="dxa"/>
            <w:vAlign w:val="bottom"/>
          </w:tcPr>
          <w:p>
            <w:pPr>
              <w:jc w:val="right"/>
              <w:spacing w:after="0"/>
              <w:rPr>
                <w:sz w:val="20"/>
                <w:szCs w:val="20"/>
                <w:color w:val="auto"/>
              </w:rPr>
            </w:pPr>
            <w:r>
              <w:rPr>
                <w:rFonts w:ascii="Arial" w:cs="Arial" w:eastAsia="Arial" w:hAnsi="Arial"/>
                <w:sz w:val="15"/>
                <w:szCs w:val="15"/>
                <w:color w:val="183964"/>
              </w:rPr>
              <w:t>(333)</w:t>
            </w:r>
          </w:p>
        </w:tc>
        <w:tc>
          <w:tcPr>
            <w:tcW w:w="1300" w:type="dxa"/>
            <w:vAlign w:val="bottom"/>
          </w:tcPr>
          <w:p>
            <w:pPr>
              <w:jc w:val="right"/>
              <w:spacing w:after="0"/>
              <w:rPr>
                <w:sz w:val="20"/>
                <w:szCs w:val="20"/>
                <w:color w:val="auto"/>
              </w:rPr>
            </w:pPr>
            <w:r>
              <w:rPr>
                <w:rFonts w:ascii="Arial" w:cs="Arial" w:eastAsia="Arial" w:hAnsi="Arial"/>
                <w:sz w:val="15"/>
                <w:szCs w:val="15"/>
                <w:color w:val="183964"/>
              </w:rPr>
              <w:t>(28,922)</w:t>
            </w:r>
          </w:p>
        </w:tc>
        <w:tc>
          <w:tcPr>
            <w:tcW w:w="1300" w:type="dxa"/>
            <w:vAlign w:val="bottom"/>
          </w:tcPr>
          <w:p>
            <w:pPr>
              <w:jc w:val="right"/>
              <w:spacing w:after="0"/>
              <w:rPr>
                <w:sz w:val="20"/>
                <w:szCs w:val="20"/>
                <w:color w:val="auto"/>
              </w:rPr>
            </w:pPr>
            <w:r>
              <w:rPr>
                <w:rFonts w:ascii="Arial" w:cs="Arial" w:eastAsia="Arial" w:hAnsi="Arial"/>
                <w:sz w:val="15"/>
                <w:szCs w:val="15"/>
                <w:color w:val="183964"/>
              </w:rPr>
              <w:t>(66,686)</w:t>
            </w:r>
          </w:p>
        </w:tc>
      </w:tr>
      <w:tr>
        <w:trPr>
          <w:trHeight w:val="33"/>
        </w:trPr>
        <w:tc>
          <w:tcPr>
            <w:tcW w:w="6020" w:type="dxa"/>
            <w:vAlign w:val="bottom"/>
            <w:tcBorders>
              <w:bottom w:val="single" w:sz="8" w:color="183964"/>
            </w:tcBorders>
          </w:tcPr>
          <w:p>
            <w:pPr>
              <w:spacing w:after="0"/>
              <w:rPr>
                <w:sz w:val="2"/>
                <w:szCs w:val="2"/>
                <w:color w:val="auto"/>
              </w:rPr>
            </w:pPr>
          </w:p>
        </w:tc>
        <w:tc>
          <w:tcPr>
            <w:tcW w:w="1380" w:type="dxa"/>
            <w:vAlign w:val="bottom"/>
            <w:tcBorders>
              <w:bottom w:val="single" w:sz="8" w:color="183964"/>
            </w:tcBorders>
          </w:tcPr>
          <w:p>
            <w:pPr>
              <w:spacing w:after="0"/>
              <w:rPr>
                <w:sz w:val="2"/>
                <w:szCs w:val="2"/>
                <w:color w:val="auto"/>
              </w:rPr>
            </w:pPr>
          </w:p>
        </w:tc>
        <w:tc>
          <w:tcPr>
            <w:tcW w:w="122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r>
      <w:tr>
        <w:trPr>
          <w:trHeight w:val="204"/>
        </w:trPr>
        <w:tc>
          <w:tcPr>
            <w:tcW w:w="6020" w:type="dxa"/>
            <w:vAlign w:val="bottom"/>
          </w:tcPr>
          <w:p>
            <w:pPr>
              <w:ind w:left="20"/>
              <w:spacing w:after="0"/>
              <w:rPr>
                <w:sz w:val="20"/>
                <w:szCs w:val="20"/>
                <w:color w:val="auto"/>
              </w:rPr>
            </w:pPr>
            <w:r>
              <w:rPr>
                <w:rFonts w:ascii="Arial" w:cs="Arial" w:eastAsia="Arial" w:hAnsi="Arial"/>
                <w:sz w:val="15"/>
                <w:szCs w:val="15"/>
                <w:color w:val="auto"/>
              </w:rPr>
              <w:t>Operating income/(loss)</w:t>
            </w:r>
          </w:p>
        </w:tc>
        <w:tc>
          <w:tcPr>
            <w:tcW w:w="1380" w:type="dxa"/>
            <w:vAlign w:val="bottom"/>
          </w:tcPr>
          <w:p>
            <w:pPr>
              <w:jc w:val="right"/>
              <w:ind w:right="27"/>
              <w:spacing w:after="0"/>
              <w:rPr>
                <w:sz w:val="20"/>
                <w:szCs w:val="20"/>
                <w:color w:val="auto"/>
              </w:rPr>
            </w:pPr>
            <w:r>
              <w:rPr>
                <w:rFonts w:ascii="Arial" w:cs="Arial" w:eastAsia="Arial" w:hAnsi="Arial"/>
                <w:sz w:val="15"/>
                <w:szCs w:val="15"/>
                <w:color w:val="183964"/>
              </w:rPr>
              <w:t>(37,143)</w:t>
            </w:r>
          </w:p>
        </w:tc>
        <w:tc>
          <w:tcPr>
            <w:tcW w:w="1220" w:type="dxa"/>
            <w:vAlign w:val="bottom"/>
          </w:tcPr>
          <w:p>
            <w:pPr>
              <w:jc w:val="right"/>
              <w:spacing w:after="0"/>
              <w:rPr>
                <w:sz w:val="20"/>
                <w:szCs w:val="20"/>
                <w:color w:val="auto"/>
              </w:rPr>
            </w:pPr>
            <w:r>
              <w:rPr>
                <w:rFonts w:ascii="Arial" w:cs="Arial" w:eastAsia="Arial" w:hAnsi="Arial"/>
                <w:sz w:val="15"/>
                <w:szCs w:val="15"/>
                <w:color w:val="183964"/>
              </w:rPr>
              <w:t>(333)</w:t>
            </w:r>
          </w:p>
        </w:tc>
        <w:tc>
          <w:tcPr>
            <w:tcW w:w="1300" w:type="dxa"/>
            <w:vAlign w:val="bottom"/>
          </w:tcPr>
          <w:p>
            <w:pPr>
              <w:jc w:val="right"/>
              <w:spacing w:after="0"/>
              <w:rPr>
                <w:sz w:val="20"/>
                <w:szCs w:val="20"/>
                <w:color w:val="auto"/>
              </w:rPr>
            </w:pPr>
            <w:r>
              <w:rPr>
                <w:rFonts w:ascii="Arial" w:cs="Arial" w:eastAsia="Arial" w:hAnsi="Arial"/>
                <w:sz w:val="15"/>
                <w:szCs w:val="15"/>
                <w:color w:val="183964"/>
              </w:rPr>
              <w:t>(28,922)</w:t>
            </w:r>
          </w:p>
        </w:tc>
        <w:tc>
          <w:tcPr>
            <w:tcW w:w="1300" w:type="dxa"/>
            <w:vAlign w:val="bottom"/>
          </w:tcPr>
          <w:p>
            <w:pPr>
              <w:jc w:val="right"/>
              <w:spacing w:after="0"/>
              <w:rPr>
                <w:sz w:val="20"/>
                <w:szCs w:val="20"/>
                <w:color w:val="auto"/>
              </w:rPr>
            </w:pPr>
            <w:r>
              <w:rPr>
                <w:rFonts w:ascii="Arial" w:cs="Arial" w:eastAsia="Arial" w:hAnsi="Arial"/>
                <w:sz w:val="15"/>
                <w:szCs w:val="15"/>
                <w:color w:val="183964"/>
              </w:rPr>
              <w:t>(66,398)</w:t>
            </w:r>
          </w:p>
        </w:tc>
      </w:tr>
      <w:tr>
        <w:trPr>
          <w:trHeight w:val="33"/>
        </w:trPr>
        <w:tc>
          <w:tcPr>
            <w:tcW w:w="6020" w:type="dxa"/>
            <w:vAlign w:val="bottom"/>
            <w:tcBorders>
              <w:bottom w:val="single" w:sz="8" w:color="183964"/>
            </w:tcBorders>
          </w:tcPr>
          <w:p>
            <w:pPr>
              <w:spacing w:after="0"/>
              <w:rPr>
                <w:sz w:val="2"/>
                <w:szCs w:val="2"/>
                <w:color w:val="auto"/>
              </w:rPr>
            </w:pPr>
          </w:p>
        </w:tc>
        <w:tc>
          <w:tcPr>
            <w:tcW w:w="1380" w:type="dxa"/>
            <w:vAlign w:val="bottom"/>
            <w:tcBorders>
              <w:bottom w:val="single" w:sz="8" w:color="183964"/>
            </w:tcBorders>
          </w:tcPr>
          <w:p>
            <w:pPr>
              <w:spacing w:after="0"/>
              <w:rPr>
                <w:sz w:val="2"/>
                <w:szCs w:val="2"/>
                <w:color w:val="auto"/>
              </w:rPr>
            </w:pPr>
          </w:p>
        </w:tc>
        <w:tc>
          <w:tcPr>
            <w:tcW w:w="122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r>
      <w:tr>
        <w:trPr>
          <w:trHeight w:val="204"/>
        </w:trPr>
        <w:tc>
          <w:tcPr>
            <w:tcW w:w="6020" w:type="dxa"/>
            <w:vAlign w:val="bottom"/>
          </w:tcPr>
          <w:p>
            <w:pPr>
              <w:ind w:left="20"/>
              <w:spacing w:after="0"/>
              <w:rPr>
                <w:sz w:val="20"/>
                <w:szCs w:val="20"/>
                <w:color w:val="auto"/>
              </w:rPr>
            </w:pPr>
            <w:r>
              <w:rPr>
                <w:rFonts w:ascii="Arial" w:cs="Arial" w:eastAsia="Arial" w:hAnsi="Arial"/>
                <w:sz w:val="15"/>
                <w:szCs w:val="15"/>
                <w:color w:val="auto"/>
              </w:rPr>
              <w:t>Income/expenses not allocated to segments</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3"/>
        </w:trPr>
        <w:tc>
          <w:tcPr>
            <w:tcW w:w="6020" w:type="dxa"/>
            <w:vAlign w:val="bottom"/>
          </w:tcPr>
          <w:p>
            <w:pPr>
              <w:ind w:left="120"/>
              <w:spacing w:after="0"/>
              <w:rPr>
                <w:sz w:val="20"/>
                <w:szCs w:val="20"/>
                <w:color w:val="auto"/>
              </w:rPr>
            </w:pPr>
            <w:r>
              <w:rPr>
                <w:rFonts w:ascii="Arial" w:cs="Arial" w:eastAsia="Arial" w:hAnsi="Arial"/>
                <w:sz w:val="15"/>
                <w:szCs w:val="15"/>
                <w:color w:val="auto"/>
              </w:rPr>
              <w:t>Other income/(expense):</w:t>
            </w:r>
          </w:p>
        </w:tc>
        <w:tc>
          <w:tcPr>
            <w:tcW w:w="1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6020" w:type="dxa"/>
            <w:vAlign w:val="bottom"/>
          </w:tcPr>
          <w:p>
            <w:pPr>
              <w:ind w:left="240"/>
              <w:spacing w:after="0"/>
              <w:rPr>
                <w:sz w:val="20"/>
                <w:szCs w:val="20"/>
                <w:color w:val="auto"/>
              </w:rPr>
            </w:pPr>
            <w:r>
              <w:rPr>
                <w:rFonts w:ascii="Arial" w:cs="Arial" w:eastAsia="Arial" w:hAnsi="Arial"/>
                <w:sz w:val="15"/>
                <w:szCs w:val="15"/>
                <w:color w:val="auto"/>
              </w:rPr>
              <w:t>Gain/(loss) on investment held at fair value</w:t>
            </w:r>
          </w:p>
        </w:tc>
        <w:tc>
          <w:tcPr>
            <w:tcW w:w="1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3,882</w:t>
            </w:r>
          </w:p>
        </w:tc>
      </w:tr>
      <w:tr>
        <w:trPr>
          <w:trHeight w:val="243"/>
        </w:trPr>
        <w:tc>
          <w:tcPr>
            <w:tcW w:w="6020" w:type="dxa"/>
            <w:vAlign w:val="bottom"/>
          </w:tcPr>
          <w:p>
            <w:pPr>
              <w:ind w:left="240"/>
              <w:spacing w:after="0"/>
              <w:rPr>
                <w:sz w:val="20"/>
                <w:szCs w:val="20"/>
                <w:color w:val="auto"/>
              </w:rPr>
            </w:pPr>
            <w:r>
              <w:rPr>
                <w:rFonts w:ascii="Arial" w:cs="Arial" w:eastAsia="Arial" w:hAnsi="Arial"/>
                <w:sz w:val="15"/>
                <w:szCs w:val="15"/>
                <w:color w:val="auto"/>
              </w:rPr>
              <w:t>Realized gain/(loss) on sale of investments</w:t>
            </w:r>
          </w:p>
        </w:tc>
        <w:tc>
          <w:tcPr>
            <w:tcW w:w="1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151</w:t>
            </w:r>
          </w:p>
        </w:tc>
      </w:tr>
      <w:tr>
        <w:trPr>
          <w:trHeight w:val="243"/>
        </w:trPr>
        <w:tc>
          <w:tcPr>
            <w:tcW w:w="6020" w:type="dxa"/>
            <w:vAlign w:val="bottom"/>
          </w:tcPr>
          <w:p>
            <w:pPr>
              <w:ind w:left="240"/>
              <w:spacing w:after="0"/>
              <w:rPr>
                <w:sz w:val="20"/>
                <w:szCs w:val="20"/>
                <w:color w:val="auto"/>
              </w:rPr>
            </w:pPr>
            <w:r>
              <w:rPr>
                <w:rFonts w:ascii="Arial" w:cs="Arial" w:eastAsia="Arial" w:hAnsi="Arial"/>
                <w:sz w:val="15"/>
                <w:szCs w:val="15"/>
                <w:color w:val="auto"/>
              </w:rPr>
              <w:t>Gain/(loss) on investment in notes from associates</w:t>
            </w:r>
          </w:p>
        </w:tc>
        <w:tc>
          <w:tcPr>
            <w:tcW w:w="1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11,612</w:t>
            </w:r>
          </w:p>
        </w:tc>
      </w:tr>
      <w:tr>
        <w:trPr>
          <w:trHeight w:val="243"/>
        </w:trPr>
        <w:tc>
          <w:tcPr>
            <w:tcW w:w="6020" w:type="dxa"/>
            <w:vAlign w:val="bottom"/>
          </w:tcPr>
          <w:p>
            <w:pPr>
              <w:ind w:left="240"/>
              <w:spacing w:after="0"/>
              <w:rPr>
                <w:sz w:val="20"/>
                <w:szCs w:val="20"/>
                <w:color w:val="auto"/>
              </w:rPr>
            </w:pPr>
            <w:r>
              <w:rPr>
                <w:rFonts w:ascii="Arial" w:cs="Arial" w:eastAsia="Arial" w:hAnsi="Arial"/>
                <w:sz w:val="15"/>
                <w:szCs w:val="15"/>
                <w:color w:val="auto"/>
              </w:rPr>
              <w:t>Other income/(expense)</w:t>
            </w:r>
          </w:p>
        </w:tc>
        <w:tc>
          <w:tcPr>
            <w:tcW w:w="1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548</w:t>
            </w:r>
          </w:p>
        </w:tc>
      </w:tr>
      <w:tr>
        <w:trPr>
          <w:trHeight w:val="33"/>
        </w:trPr>
        <w:tc>
          <w:tcPr>
            <w:tcW w:w="6020" w:type="dxa"/>
            <w:vAlign w:val="bottom"/>
            <w:tcBorders>
              <w:bottom w:val="single" w:sz="8" w:color="183964"/>
            </w:tcBorders>
          </w:tcPr>
          <w:p>
            <w:pPr>
              <w:spacing w:after="0"/>
              <w:rPr>
                <w:sz w:val="2"/>
                <w:szCs w:val="2"/>
                <w:color w:val="auto"/>
              </w:rPr>
            </w:pPr>
          </w:p>
        </w:tc>
        <w:tc>
          <w:tcPr>
            <w:tcW w:w="1380" w:type="dxa"/>
            <w:vAlign w:val="bottom"/>
            <w:tcBorders>
              <w:bottom w:val="single" w:sz="8" w:color="183964"/>
            </w:tcBorders>
          </w:tcPr>
          <w:p>
            <w:pPr>
              <w:spacing w:after="0"/>
              <w:rPr>
                <w:sz w:val="2"/>
                <w:szCs w:val="2"/>
                <w:color w:val="auto"/>
              </w:rPr>
            </w:pPr>
          </w:p>
        </w:tc>
        <w:tc>
          <w:tcPr>
            <w:tcW w:w="122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5"/>
                <w:szCs w:val="15"/>
                <w:color w:val="auto"/>
              </w:rPr>
              <w:t>Total other income/(expense)</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16,193</w:t>
            </w:r>
          </w:p>
        </w:tc>
      </w:tr>
      <w:tr>
        <w:trPr>
          <w:trHeight w:val="243"/>
        </w:trPr>
        <w:tc>
          <w:tcPr>
            <w:tcW w:w="6020" w:type="dxa"/>
            <w:vAlign w:val="bottom"/>
          </w:tcPr>
          <w:p>
            <w:pPr>
              <w:ind w:left="20"/>
              <w:spacing w:after="0"/>
              <w:rPr>
                <w:sz w:val="20"/>
                <w:szCs w:val="20"/>
                <w:color w:val="auto"/>
              </w:rPr>
            </w:pPr>
            <w:r>
              <w:rPr>
                <w:rFonts w:ascii="Arial" w:cs="Arial" w:eastAsia="Arial" w:hAnsi="Arial"/>
                <w:sz w:val="15"/>
                <w:szCs w:val="15"/>
                <w:color w:val="auto"/>
              </w:rPr>
              <w:t>Net finance income/(costs)</w:t>
            </w:r>
          </w:p>
        </w:tc>
        <w:tc>
          <w:tcPr>
            <w:tcW w:w="1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183964"/>
              </w:rPr>
              <w:t>(1,468)</w:t>
            </w:r>
          </w:p>
        </w:tc>
      </w:tr>
      <w:tr>
        <w:trPr>
          <w:trHeight w:val="243"/>
        </w:trPr>
        <w:tc>
          <w:tcPr>
            <w:tcW w:w="6020" w:type="dxa"/>
            <w:vAlign w:val="bottom"/>
          </w:tcPr>
          <w:p>
            <w:pPr>
              <w:ind w:left="20"/>
              <w:spacing w:after="0"/>
              <w:rPr>
                <w:sz w:val="20"/>
                <w:szCs w:val="20"/>
                <w:color w:val="auto"/>
              </w:rPr>
            </w:pPr>
            <w:r>
              <w:rPr>
                <w:rFonts w:ascii="Arial" w:cs="Arial" w:eastAsia="Arial" w:hAnsi="Arial"/>
                <w:sz w:val="15"/>
                <w:szCs w:val="15"/>
                <w:color w:val="auto"/>
              </w:rPr>
              <w:t>Share of net income/(loss) of associate accounted for using the equity method</w:t>
            </w:r>
          </w:p>
        </w:tc>
        <w:tc>
          <w:tcPr>
            <w:tcW w:w="1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183964"/>
              </w:rPr>
              <w:t>(3,357)</w:t>
            </w:r>
          </w:p>
        </w:tc>
      </w:tr>
      <w:tr>
        <w:trPr>
          <w:trHeight w:val="33"/>
        </w:trPr>
        <w:tc>
          <w:tcPr>
            <w:tcW w:w="6020" w:type="dxa"/>
            <w:vAlign w:val="bottom"/>
            <w:tcBorders>
              <w:bottom w:val="single" w:sz="8" w:color="001544"/>
            </w:tcBorders>
          </w:tcPr>
          <w:p>
            <w:pPr>
              <w:spacing w:after="0"/>
              <w:rPr>
                <w:sz w:val="2"/>
                <w:szCs w:val="2"/>
                <w:color w:val="auto"/>
              </w:rPr>
            </w:pPr>
          </w:p>
        </w:tc>
        <w:tc>
          <w:tcPr>
            <w:tcW w:w="1380" w:type="dxa"/>
            <w:vAlign w:val="bottom"/>
            <w:tcBorders>
              <w:bottom w:val="single" w:sz="8" w:color="001544"/>
            </w:tcBorders>
          </w:tcPr>
          <w:p>
            <w:pPr>
              <w:spacing w:after="0"/>
              <w:rPr>
                <w:sz w:val="2"/>
                <w:szCs w:val="2"/>
                <w:color w:val="auto"/>
              </w:rPr>
            </w:pPr>
          </w:p>
        </w:tc>
        <w:tc>
          <w:tcPr>
            <w:tcW w:w="122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5"/>
                <w:szCs w:val="15"/>
                <w:color w:val="auto"/>
              </w:rPr>
              <w:t>Income/(loss) before taxes</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183964"/>
              </w:rPr>
              <w:t>(55,030)</w:t>
            </w:r>
          </w:p>
        </w:tc>
      </w:tr>
      <w:tr>
        <w:trPr>
          <w:trHeight w:val="33"/>
        </w:trPr>
        <w:tc>
          <w:tcPr>
            <w:tcW w:w="6020" w:type="dxa"/>
            <w:vAlign w:val="bottom"/>
            <w:tcBorders>
              <w:bottom w:val="single" w:sz="8" w:color="001544"/>
            </w:tcBorders>
          </w:tcPr>
          <w:p>
            <w:pPr>
              <w:spacing w:after="0"/>
              <w:rPr>
                <w:sz w:val="2"/>
                <w:szCs w:val="2"/>
                <w:color w:val="auto"/>
              </w:rPr>
            </w:pPr>
          </w:p>
        </w:tc>
        <w:tc>
          <w:tcPr>
            <w:tcW w:w="1380" w:type="dxa"/>
            <w:vAlign w:val="bottom"/>
            <w:tcBorders>
              <w:bottom w:val="single" w:sz="8" w:color="001544"/>
            </w:tcBorders>
          </w:tcPr>
          <w:p>
            <w:pPr>
              <w:spacing w:after="0"/>
              <w:rPr>
                <w:sz w:val="2"/>
                <w:szCs w:val="2"/>
                <w:color w:val="auto"/>
              </w:rPr>
            </w:pPr>
          </w:p>
        </w:tc>
        <w:tc>
          <w:tcPr>
            <w:tcW w:w="2520" w:type="dxa"/>
            <w:vAlign w:val="bottom"/>
            <w:tcBorders>
              <w:bottom w:val="single" w:sz="8" w:color="001544"/>
            </w:tcBorders>
            <w:gridSpan w:val="2"/>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r>
      <w:tr>
        <w:trPr>
          <w:trHeight w:val="168"/>
        </w:trPr>
        <w:tc>
          <w:tcPr>
            <w:tcW w:w="6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520" w:type="dxa"/>
            <w:vAlign w:val="bottom"/>
            <w:gridSpan w:val="2"/>
          </w:tcPr>
          <w:p>
            <w:pPr>
              <w:jc w:val="right"/>
              <w:ind w:right="508"/>
              <w:spacing w:after="0"/>
              <w:rPr>
                <w:sz w:val="20"/>
                <w:szCs w:val="20"/>
                <w:color w:val="auto"/>
              </w:rPr>
            </w:pPr>
            <w:r>
              <w:rPr>
                <w:rFonts w:ascii="Arial" w:cs="Arial" w:eastAsia="Arial" w:hAnsi="Arial"/>
                <w:sz w:val="13"/>
                <w:szCs w:val="13"/>
                <w:color w:val="183964"/>
              </w:rPr>
              <w:t>As of December 31, 2024</w:t>
            </w:r>
          </w:p>
        </w:tc>
        <w:tc>
          <w:tcPr>
            <w:tcW w:w="1300" w:type="dxa"/>
            <w:vAlign w:val="bottom"/>
          </w:tcPr>
          <w:p>
            <w:pPr>
              <w:spacing w:after="0"/>
              <w:rPr>
                <w:sz w:val="14"/>
                <w:szCs w:val="14"/>
                <w:color w:val="auto"/>
              </w:rPr>
            </w:pPr>
          </w:p>
        </w:tc>
      </w:tr>
      <w:tr>
        <w:trPr>
          <w:trHeight w:val="28"/>
        </w:trPr>
        <w:tc>
          <w:tcPr>
            <w:tcW w:w="6020" w:type="dxa"/>
            <w:vAlign w:val="bottom"/>
            <w:tcBorders>
              <w:bottom w:val="single" w:sz="8" w:color="001544"/>
            </w:tcBorders>
          </w:tcPr>
          <w:p>
            <w:pPr>
              <w:spacing w:after="0"/>
              <w:rPr>
                <w:sz w:val="2"/>
                <w:szCs w:val="2"/>
                <w:color w:val="auto"/>
              </w:rPr>
            </w:pPr>
          </w:p>
        </w:tc>
        <w:tc>
          <w:tcPr>
            <w:tcW w:w="1380" w:type="dxa"/>
            <w:vAlign w:val="bottom"/>
            <w:tcBorders>
              <w:bottom w:val="single" w:sz="8" w:color="001544"/>
            </w:tcBorders>
          </w:tcPr>
          <w:p>
            <w:pPr>
              <w:spacing w:after="0"/>
              <w:rPr>
                <w:sz w:val="2"/>
                <w:szCs w:val="2"/>
                <w:color w:val="auto"/>
              </w:rPr>
            </w:pPr>
          </w:p>
        </w:tc>
        <w:tc>
          <w:tcPr>
            <w:tcW w:w="122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5"/>
                <w:szCs w:val="15"/>
                <w:color w:val="auto"/>
              </w:rPr>
              <w:t>Available Funds</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33"/>
        </w:trPr>
        <w:tc>
          <w:tcPr>
            <w:tcW w:w="6020" w:type="dxa"/>
            <w:vAlign w:val="bottom"/>
            <w:tcBorders>
              <w:bottom w:val="single" w:sz="8" w:color="001544"/>
            </w:tcBorders>
          </w:tcPr>
          <w:p>
            <w:pPr>
              <w:spacing w:after="0"/>
              <w:rPr>
                <w:sz w:val="2"/>
                <w:szCs w:val="2"/>
                <w:color w:val="auto"/>
              </w:rPr>
            </w:pPr>
          </w:p>
        </w:tc>
        <w:tc>
          <w:tcPr>
            <w:tcW w:w="1380" w:type="dxa"/>
            <w:vAlign w:val="bottom"/>
            <w:tcBorders>
              <w:bottom w:val="single" w:sz="8" w:color="001544"/>
            </w:tcBorders>
          </w:tcPr>
          <w:p>
            <w:pPr>
              <w:spacing w:after="0"/>
              <w:rPr>
                <w:sz w:val="2"/>
                <w:szCs w:val="2"/>
                <w:color w:val="auto"/>
              </w:rPr>
            </w:pPr>
          </w:p>
        </w:tc>
        <w:tc>
          <w:tcPr>
            <w:tcW w:w="122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r>
      <w:tr>
        <w:trPr>
          <w:trHeight w:val="203"/>
        </w:trPr>
        <w:tc>
          <w:tcPr>
            <w:tcW w:w="6020" w:type="dxa"/>
            <w:vAlign w:val="bottom"/>
          </w:tcPr>
          <w:p>
            <w:pPr>
              <w:ind w:left="120"/>
              <w:spacing w:after="0"/>
              <w:rPr>
                <w:sz w:val="20"/>
                <w:szCs w:val="20"/>
                <w:color w:val="auto"/>
              </w:rPr>
            </w:pPr>
            <w:r>
              <w:rPr>
                <w:rFonts w:ascii="Arial" w:cs="Arial" w:eastAsia="Arial" w:hAnsi="Arial"/>
                <w:sz w:val="15"/>
                <w:szCs w:val="15"/>
                <w:color w:val="auto"/>
              </w:rPr>
              <w:t>Cash and cash equivalents</w:t>
            </w:r>
          </w:p>
        </w:tc>
        <w:tc>
          <w:tcPr>
            <w:tcW w:w="1380" w:type="dxa"/>
            <w:vAlign w:val="bottom"/>
          </w:tcPr>
          <w:p>
            <w:pPr>
              <w:jc w:val="right"/>
              <w:ind w:right="67"/>
              <w:spacing w:after="0"/>
              <w:rPr>
                <w:sz w:val="20"/>
                <w:szCs w:val="20"/>
                <w:color w:val="auto"/>
              </w:rPr>
            </w:pPr>
            <w:r>
              <w:rPr>
                <w:rFonts w:ascii="Arial" w:cs="Arial" w:eastAsia="Arial" w:hAnsi="Arial"/>
                <w:sz w:val="15"/>
                <w:szCs w:val="15"/>
                <w:color w:val="183964"/>
              </w:rPr>
              <w:t>9,062</w:t>
            </w:r>
          </w:p>
        </w:tc>
        <w:tc>
          <w:tcPr>
            <w:tcW w:w="1220" w:type="dxa"/>
            <w:vAlign w:val="bottom"/>
          </w:tcPr>
          <w:p>
            <w:pPr>
              <w:jc w:val="right"/>
              <w:spacing w:after="0"/>
              <w:rPr>
                <w:sz w:val="20"/>
                <w:szCs w:val="20"/>
                <w:color w:val="auto"/>
              </w:rPr>
            </w:pPr>
            <w:r>
              <w:rPr>
                <w:rFonts w:ascii="Arial" w:cs="Arial" w:eastAsia="Arial" w:hAnsi="Arial"/>
                <w:sz w:val="15"/>
                <w:szCs w:val="15"/>
                <w:color w:val="183964"/>
              </w:rPr>
              <w:t>432</w:t>
            </w:r>
          </w:p>
        </w:tc>
        <w:tc>
          <w:tcPr>
            <w:tcW w:w="1300" w:type="dxa"/>
            <w:vAlign w:val="bottom"/>
          </w:tcPr>
          <w:p>
            <w:pPr>
              <w:jc w:val="right"/>
              <w:ind w:right="8"/>
              <w:spacing w:after="0"/>
              <w:rPr>
                <w:sz w:val="20"/>
                <w:szCs w:val="20"/>
                <w:color w:val="auto"/>
              </w:rPr>
            </w:pPr>
            <w:r>
              <w:rPr>
                <w:rFonts w:ascii="Arial" w:cs="Arial" w:eastAsia="Arial" w:hAnsi="Arial"/>
                <w:sz w:val="15"/>
                <w:szCs w:val="15"/>
                <w:color w:val="183964"/>
              </w:rPr>
              <w:t>271,148</w:t>
            </w: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280,641</w:t>
            </w:r>
          </w:p>
        </w:tc>
      </w:tr>
      <w:tr>
        <w:trPr>
          <w:trHeight w:val="243"/>
        </w:trPr>
        <w:tc>
          <w:tcPr>
            <w:tcW w:w="6020" w:type="dxa"/>
            <w:vAlign w:val="bottom"/>
          </w:tcPr>
          <w:p>
            <w:pPr>
              <w:ind w:left="120"/>
              <w:spacing w:after="0"/>
              <w:rPr>
                <w:sz w:val="20"/>
                <w:szCs w:val="20"/>
                <w:color w:val="auto"/>
              </w:rPr>
            </w:pPr>
            <w:r>
              <w:rPr>
                <w:rFonts w:ascii="Arial" w:cs="Arial" w:eastAsia="Arial" w:hAnsi="Arial"/>
                <w:sz w:val="15"/>
                <w:szCs w:val="15"/>
                <w:color w:val="auto"/>
              </w:rPr>
              <w:t>Short-term Investments</w:t>
            </w:r>
          </w:p>
        </w:tc>
        <w:tc>
          <w:tcPr>
            <w:tcW w:w="1380" w:type="dxa"/>
            <w:vAlign w:val="bottom"/>
          </w:tcPr>
          <w:p>
            <w:pPr>
              <w:jc w:val="right"/>
              <w:ind w:right="67"/>
              <w:spacing w:after="0"/>
              <w:rPr>
                <w:sz w:val="20"/>
                <w:szCs w:val="20"/>
                <w:color w:val="auto"/>
              </w:rPr>
            </w:pPr>
            <w:r>
              <w:rPr>
                <w:rFonts w:ascii="Arial" w:cs="Arial" w:eastAsia="Arial" w:hAnsi="Arial"/>
                <w:sz w:val="15"/>
                <w:szCs w:val="15"/>
                <w:color w:val="183964"/>
              </w:rPr>
              <w:t>—</w:t>
            </w:r>
          </w:p>
        </w:tc>
        <w:tc>
          <w:tcPr>
            <w:tcW w:w="1220" w:type="dxa"/>
            <w:vAlign w:val="bottom"/>
          </w:tcPr>
          <w:p>
            <w:pPr>
              <w:jc w:val="right"/>
              <w:spacing w:after="0"/>
              <w:rPr>
                <w:sz w:val="20"/>
                <w:szCs w:val="20"/>
                <w:color w:val="auto"/>
              </w:rPr>
            </w:pPr>
            <w:r>
              <w:rPr>
                <w:rFonts w:ascii="Arial" w:cs="Arial" w:eastAsia="Arial" w:hAnsi="Arial"/>
                <w:sz w:val="15"/>
                <w:szCs w:val="15"/>
                <w:color w:val="183964"/>
              </w:rPr>
              <w:t>—</w:t>
            </w:r>
          </w:p>
        </w:tc>
        <w:tc>
          <w:tcPr>
            <w:tcW w:w="1300" w:type="dxa"/>
            <w:vAlign w:val="bottom"/>
          </w:tcPr>
          <w:p>
            <w:pPr>
              <w:jc w:val="right"/>
              <w:ind w:right="8"/>
              <w:spacing w:after="0"/>
              <w:rPr>
                <w:sz w:val="20"/>
                <w:szCs w:val="20"/>
                <w:color w:val="auto"/>
              </w:rPr>
            </w:pPr>
            <w:r>
              <w:rPr>
                <w:rFonts w:ascii="Arial" w:cs="Arial" w:eastAsia="Arial" w:hAnsi="Arial"/>
                <w:sz w:val="15"/>
                <w:szCs w:val="15"/>
                <w:color w:val="183964"/>
              </w:rPr>
              <w:t>86,666</w:t>
            </w: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86,666</w:t>
            </w:r>
          </w:p>
        </w:tc>
      </w:tr>
      <w:tr>
        <w:trPr>
          <w:trHeight w:val="33"/>
        </w:trPr>
        <w:tc>
          <w:tcPr>
            <w:tcW w:w="6020" w:type="dxa"/>
            <w:vAlign w:val="bottom"/>
            <w:tcBorders>
              <w:bottom w:val="single" w:sz="8" w:color="001544"/>
            </w:tcBorders>
          </w:tcPr>
          <w:p>
            <w:pPr>
              <w:spacing w:after="0"/>
              <w:rPr>
                <w:sz w:val="2"/>
                <w:szCs w:val="2"/>
                <w:color w:val="auto"/>
              </w:rPr>
            </w:pPr>
          </w:p>
        </w:tc>
        <w:tc>
          <w:tcPr>
            <w:tcW w:w="1380" w:type="dxa"/>
            <w:vAlign w:val="bottom"/>
            <w:tcBorders>
              <w:bottom w:val="single" w:sz="8" w:color="001544"/>
            </w:tcBorders>
          </w:tcPr>
          <w:p>
            <w:pPr>
              <w:spacing w:after="0"/>
              <w:rPr>
                <w:sz w:val="2"/>
                <w:szCs w:val="2"/>
                <w:color w:val="auto"/>
              </w:rPr>
            </w:pPr>
          </w:p>
        </w:tc>
        <w:tc>
          <w:tcPr>
            <w:tcW w:w="122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r>
      <w:tr>
        <w:trPr>
          <w:trHeight w:val="203"/>
        </w:trPr>
        <w:tc>
          <w:tcPr>
            <w:tcW w:w="6020" w:type="dxa"/>
            <w:vAlign w:val="bottom"/>
          </w:tcPr>
          <w:p>
            <w:pPr>
              <w:ind w:left="120"/>
              <w:spacing w:after="0"/>
              <w:rPr>
                <w:sz w:val="20"/>
                <w:szCs w:val="20"/>
                <w:color w:val="auto"/>
              </w:rPr>
            </w:pPr>
            <w:r>
              <w:rPr>
                <w:rFonts w:ascii="Arial" w:cs="Arial" w:eastAsia="Arial" w:hAnsi="Arial"/>
                <w:sz w:val="15"/>
                <w:szCs w:val="15"/>
                <w:color w:val="auto"/>
              </w:rPr>
              <w:t>Consolidated cash, cash equivalents and short-term investments</w:t>
            </w:r>
          </w:p>
        </w:tc>
        <w:tc>
          <w:tcPr>
            <w:tcW w:w="1380" w:type="dxa"/>
            <w:vAlign w:val="bottom"/>
          </w:tcPr>
          <w:p>
            <w:pPr>
              <w:jc w:val="right"/>
              <w:ind w:right="67"/>
              <w:spacing w:after="0"/>
              <w:rPr>
                <w:sz w:val="20"/>
                <w:szCs w:val="20"/>
                <w:color w:val="auto"/>
              </w:rPr>
            </w:pPr>
            <w:r>
              <w:rPr>
                <w:rFonts w:ascii="Arial" w:cs="Arial" w:eastAsia="Arial" w:hAnsi="Arial"/>
                <w:sz w:val="15"/>
                <w:szCs w:val="15"/>
                <w:color w:val="183964"/>
              </w:rPr>
              <w:t>9,062</w:t>
            </w:r>
          </w:p>
        </w:tc>
        <w:tc>
          <w:tcPr>
            <w:tcW w:w="1220" w:type="dxa"/>
            <w:vAlign w:val="bottom"/>
          </w:tcPr>
          <w:p>
            <w:pPr>
              <w:jc w:val="right"/>
              <w:spacing w:after="0"/>
              <w:rPr>
                <w:sz w:val="20"/>
                <w:szCs w:val="20"/>
                <w:color w:val="auto"/>
              </w:rPr>
            </w:pPr>
            <w:r>
              <w:rPr>
                <w:rFonts w:ascii="Arial" w:cs="Arial" w:eastAsia="Arial" w:hAnsi="Arial"/>
                <w:sz w:val="15"/>
                <w:szCs w:val="15"/>
                <w:color w:val="183964"/>
              </w:rPr>
              <w:t>432</w:t>
            </w:r>
          </w:p>
        </w:tc>
        <w:tc>
          <w:tcPr>
            <w:tcW w:w="1300" w:type="dxa"/>
            <w:vAlign w:val="bottom"/>
          </w:tcPr>
          <w:p>
            <w:pPr>
              <w:jc w:val="right"/>
              <w:ind w:right="8"/>
              <w:spacing w:after="0"/>
              <w:rPr>
                <w:sz w:val="20"/>
                <w:szCs w:val="20"/>
                <w:color w:val="auto"/>
              </w:rPr>
            </w:pPr>
            <w:r>
              <w:rPr>
                <w:rFonts w:ascii="Arial" w:cs="Arial" w:eastAsia="Arial" w:hAnsi="Arial"/>
                <w:sz w:val="15"/>
                <w:szCs w:val="15"/>
                <w:color w:val="183964"/>
              </w:rPr>
              <w:t>357,814</w:t>
            </w: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367,307</w:t>
            </w:r>
          </w:p>
        </w:tc>
      </w:tr>
      <w:tr>
        <w:trPr>
          <w:trHeight w:val="33"/>
        </w:trPr>
        <w:tc>
          <w:tcPr>
            <w:tcW w:w="6020" w:type="dxa"/>
            <w:vAlign w:val="bottom"/>
            <w:tcBorders>
              <w:bottom w:val="single" w:sz="8" w:color="001544"/>
            </w:tcBorders>
          </w:tcPr>
          <w:p>
            <w:pPr>
              <w:spacing w:after="0"/>
              <w:rPr>
                <w:sz w:val="2"/>
                <w:szCs w:val="2"/>
                <w:color w:val="auto"/>
              </w:rPr>
            </w:pPr>
          </w:p>
        </w:tc>
        <w:tc>
          <w:tcPr>
            <w:tcW w:w="1380" w:type="dxa"/>
            <w:vAlign w:val="bottom"/>
            <w:tcBorders>
              <w:bottom w:val="single" w:sz="8" w:color="001544"/>
            </w:tcBorders>
          </w:tcPr>
          <w:p>
            <w:pPr>
              <w:spacing w:after="0"/>
              <w:rPr>
                <w:sz w:val="2"/>
                <w:szCs w:val="2"/>
                <w:color w:val="auto"/>
              </w:rPr>
            </w:pPr>
          </w:p>
        </w:tc>
        <w:tc>
          <w:tcPr>
            <w:tcW w:w="122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r>
    </w:tbl>
    <w:p>
      <w:pPr>
        <w:sectPr>
          <w:pgSz w:w="11900" w:h="16838" w:orient="portrait"/>
          <w:cols w:equalWidth="0" w:num="1">
            <w:col w:w="11220"/>
          </w:cols>
          <w:pgMar w:left="320" w:top="1296" w:right="359" w:bottom="1440" w:gutter="0" w:footer="0" w:header="0"/>
        </w:sectPr>
      </w:pPr>
    </w:p>
    <w:bookmarkStart w:id="29" w:name="page30"/>
    <w:bookmarkEnd w:id="29"/>
    <w:p>
      <w:pPr>
        <w:ind w:left="340" w:hanging="332"/>
        <w:spacing w:after="0"/>
        <w:tabs>
          <w:tab w:leader="none" w:pos="340" w:val="left"/>
        </w:tabs>
        <w:numPr>
          <w:ilvl w:val="0"/>
          <w:numId w:val="18"/>
        </w:numPr>
        <w:rPr>
          <w:rFonts w:ascii="Arial" w:cs="Arial" w:eastAsia="Arial" w:hAnsi="Arial"/>
          <w:sz w:val="15"/>
          <w:szCs w:val="15"/>
          <w:b w:val="1"/>
          <w:bCs w:val="1"/>
          <w:color w:val="183964"/>
        </w:rPr>
      </w:pPr>
      <w:r>
        <w:rPr>
          <w:rFonts w:ascii="Arial" w:cs="Arial" w:eastAsia="Arial" w:hAnsi="Arial"/>
          <w:sz w:val="15"/>
          <w:szCs w:val="15"/>
          <w:b w:val="1"/>
          <w:bCs w:val="1"/>
          <w:color w:val="183964"/>
        </w:rPr>
        <w:t>Investments Held at Fair Value</w:t>
      </w:r>
    </w:p>
    <w:p>
      <w:pPr>
        <w:spacing w:after="0" w:line="100" w:lineRule="exact"/>
        <w:rPr>
          <w:sz w:val="20"/>
          <w:szCs w:val="20"/>
          <w:color w:val="auto"/>
        </w:rPr>
      </w:pPr>
    </w:p>
    <w:p>
      <w:pPr>
        <w:ind w:right="80"/>
        <w:spacing w:after="0" w:line="273" w:lineRule="auto"/>
        <w:rPr>
          <w:sz w:val="20"/>
          <w:szCs w:val="20"/>
          <w:color w:val="auto"/>
        </w:rPr>
      </w:pPr>
      <w:r>
        <w:rPr>
          <w:rFonts w:ascii="Arial" w:cs="Arial" w:eastAsia="Arial" w:hAnsi="Arial"/>
          <w:sz w:val="15"/>
          <w:szCs w:val="15"/>
          <w:color w:val="auto"/>
        </w:rPr>
        <w:t>Investments held at fair value include interests in Seaport, Vedanta and Sonde along with other insignificant investments as of June 30, 2025. They are initially measured at fair value, and are subsequently re-measured at fair value at each reporting date with changes in the fair value recorded through profit and loss. See Note 13. Financial Instruments for information regarding the valuation of these instruments. Activities related to such investments during the period are shown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80" w:type="dxa"/>
            <w:vAlign w:val="bottom"/>
          </w:tcPr>
          <w:p>
            <w:pPr>
              <w:jc w:val="right"/>
              <w:ind w:right="31"/>
              <w:spacing w:after="0"/>
              <w:rPr>
                <w:sz w:val="20"/>
                <w:szCs w:val="20"/>
                <w:color w:val="auto"/>
              </w:rPr>
            </w:pPr>
            <w:r>
              <w:rPr>
                <w:rFonts w:ascii="Arial" w:cs="Arial" w:eastAsia="Arial" w:hAnsi="Arial"/>
                <w:sz w:val="13"/>
                <w:szCs w:val="13"/>
                <w:b w:val="1"/>
                <w:bCs w:val="1"/>
                <w:color w:val="auto"/>
                <w:w w:val="96"/>
              </w:rPr>
              <w:t>Equity method loss</w:t>
            </w:r>
          </w:p>
        </w:tc>
        <w:tc>
          <w:tcPr>
            <w:tcW w:w="1140" w:type="dxa"/>
            <w:vAlign w:val="bottom"/>
          </w:tcPr>
          <w:p>
            <w:pPr>
              <w:spacing w:after="0"/>
              <w:rPr>
                <w:sz w:val="13"/>
                <w:szCs w:val="13"/>
                <w:color w:val="auto"/>
              </w:rPr>
            </w:pPr>
          </w:p>
        </w:tc>
      </w:tr>
      <w:tr>
        <w:trPr>
          <w:trHeight w:val="162"/>
        </w:trPr>
        <w:tc>
          <w:tcPr>
            <w:tcW w:w="59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3"/>
                <w:szCs w:val="13"/>
                <w:b w:val="1"/>
                <w:bCs w:val="1"/>
                <w:color w:val="auto"/>
              </w:rPr>
              <w:t>Balance under</w:t>
            </w:r>
          </w:p>
        </w:tc>
        <w:tc>
          <w:tcPr>
            <w:tcW w:w="1280" w:type="dxa"/>
            <w:vAlign w:val="bottom"/>
          </w:tcPr>
          <w:p>
            <w:pPr>
              <w:jc w:val="right"/>
              <w:ind w:right="31"/>
              <w:spacing w:after="0"/>
              <w:rPr>
                <w:sz w:val="20"/>
                <w:szCs w:val="20"/>
                <w:color w:val="auto"/>
              </w:rPr>
            </w:pPr>
            <w:r>
              <w:rPr>
                <w:rFonts w:ascii="Arial" w:cs="Arial" w:eastAsia="Arial" w:hAnsi="Arial"/>
                <w:sz w:val="13"/>
                <w:szCs w:val="13"/>
                <w:b w:val="1"/>
                <w:bCs w:val="1"/>
                <w:color w:val="auto"/>
              </w:rPr>
              <w:t>recorded against</w:t>
            </w:r>
          </w:p>
        </w:tc>
        <w:tc>
          <w:tcPr>
            <w:tcW w:w="1140" w:type="dxa"/>
            <w:vAlign w:val="bottom"/>
          </w:tcPr>
          <w:p>
            <w:pPr>
              <w:spacing w:after="0"/>
              <w:rPr>
                <w:sz w:val="14"/>
                <w:szCs w:val="14"/>
                <w:color w:val="auto"/>
              </w:rPr>
            </w:pPr>
          </w:p>
        </w:tc>
      </w:tr>
      <w:tr>
        <w:trPr>
          <w:trHeight w:val="172"/>
        </w:trPr>
        <w:tc>
          <w:tcPr>
            <w:tcW w:w="5920" w:type="dxa"/>
            <w:vAlign w:val="bottom"/>
          </w:tcPr>
          <w:p>
            <w:pPr>
              <w:ind w:left="20"/>
              <w:spacing w:after="0"/>
              <w:rPr>
                <w:sz w:val="20"/>
                <w:szCs w:val="20"/>
                <w:color w:val="auto"/>
              </w:rPr>
            </w:pPr>
            <w:r>
              <w:rPr>
                <w:rFonts w:ascii="Arial" w:cs="Arial" w:eastAsia="Arial" w:hAnsi="Arial"/>
                <w:sz w:val="13"/>
                <w:szCs w:val="13"/>
                <w:color w:val="auto"/>
              </w:rPr>
              <w:t>Investments held at fair value</w:t>
            </w:r>
          </w:p>
        </w:tc>
        <w:tc>
          <w:tcPr>
            <w:tcW w:w="2880" w:type="dxa"/>
            <w:vAlign w:val="bottom"/>
          </w:tcPr>
          <w:p>
            <w:pPr>
              <w:jc w:val="right"/>
              <w:spacing w:after="0"/>
              <w:rPr>
                <w:sz w:val="20"/>
                <w:szCs w:val="20"/>
                <w:color w:val="auto"/>
              </w:rPr>
            </w:pPr>
            <w:r>
              <w:rPr>
                <w:rFonts w:ascii="Arial" w:cs="Arial" w:eastAsia="Arial" w:hAnsi="Arial"/>
                <w:sz w:val="13"/>
                <w:szCs w:val="13"/>
                <w:b w:val="1"/>
                <w:bCs w:val="1"/>
                <w:color w:val="auto"/>
              </w:rPr>
              <w:t>IFRS 9</w:t>
            </w:r>
          </w:p>
        </w:tc>
        <w:tc>
          <w:tcPr>
            <w:tcW w:w="1280" w:type="dxa"/>
            <w:vAlign w:val="bottom"/>
          </w:tcPr>
          <w:p>
            <w:pPr>
              <w:jc w:val="right"/>
              <w:ind w:right="31"/>
              <w:spacing w:after="0"/>
              <w:rPr>
                <w:sz w:val="20"/>
                <w:szCs w:val="20"/>
                <w:color w:val="auto"/>
              </w:rPr>
            </w:pPr>
            <w:r>
              <w:rPr>
                <w:rFonts w:ascii="Arial" w:cs="Arial" w:eastAsia="Arial" w:hAnsi="Arial"/>
                <w:sz w:val="13"/>
                <w:szCs w:val="13"/>
                <w:b w:val="1"/>
                <w:bCs w:val="1"/>
                <w:color w:val="auto"/>
              </w:rPr>
              <w:t>LTI</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Carrying Amount</w:t>
            </w:r>
          </w:p>
        </w:tc>
      </w:tr>
      <w:tr>
        <w:trPr>
          <w:trHeight w:val="203"/>
        </w:trPr>
        <w:tc>
          <w:tcPr>
            <w:tcW w:w="5920" w:type="dxa"/>
            <w:vAlign w:val="bottom"/>
          </w:tcPr>
          <w:p>
            <w:pPr>
              <w:spacing w:after="0"/>
              <w:rPr>
                <w:sz w:val="17"/>
                <w:szCs w:val="17"/>
                <w:color w:val="auto"/>
              </w:rPr>
            </w:pPr>
          </w:p>
        </w:tc>
        <w:tc>
          <w:tcPr>
            <w:tcW w:w="28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80" w:type="dxa"/>
            <w:vAlign w:val="bottom"/>
          </w:tcPr>
          <w:p>
            <w:pPr>
              <w:jc w:val="right"/>
              <w:ind w:right="31"/>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22"/>
        </w:trPr>
        <w:tc>
          <w:tcPr>
            <w:tcW w:w="5920" w:type="dxa"/>
            <w:vAlign w:val="bottom"/>
            <w:tcBorders>
              <w:bottom w:val="single" w:sz="8" w:color="929292"/>
            </w:tcBorders>
          </w:tcPr>
          <w:p>
            <w:pPr>
              <w:spacing w:after="0" w:line="20" w:lineRule="exact"/>
              <w:rPr>
                <w:sz w:val="1"/>
                <w:szCs w:val="1"/>
                <w:color w:val="auto"/>
              </w:rPr>
            </w:pPr>
          </w:p>
        </w:tc>
        <w:tc>
          <w:tcPr>
            <w:tcW w:w="2880" w:type="dxa"/>
            <w:vAlign w:val="bottom"/>
            <w:tcBorders>
              <w:bottom w:val="single" w:sz="8" w:color="929292"/>
            </w:tcBorders>
          </w:tcPr>
          <w:p>
            <w:pPr>
              <w:spacing w:after="0" w:line="20" w:lineRule="exact"/>
              <w:rPr>
                <w:sz w:val="1"/>
                <w:szCs w:val="1"/>
                <w:color w:val="auto"/>
              </w:rPr>
            </w:pPr>
          </w:p>
        </w:tc>
        <w:tc>
          <w:tcPr>
            <w:tcW w:w="128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r>
      <w:tr>
        <w:trPr>
          <w:trHeight w:val="211"/>
        </w:trPr>
        <w:tc>
          <w:tcPr>
            <w:tcW w:w="5920" w:type="dxa"/>
            <w:vAlign w:val="bottom"/>
          </w:tcPr>
          <w:p>
            <w:pPr>
              <w:ind w:left="20"/>
              <w:spacing w:after="0"/>
              <w:rPr>
                <w:sz w:val="20"/>
                <w:szCs w:val="20"/>
                <w:color w:val="auto"/>
              </w:rPr>
            </w:pPr>
            <w:r>
              <w:rPr>
                <w:rFonts w:ascii="Arial" w:cs="Arial" w:eastAsia="Arial" w:hAnsi="Arial"/>
                <w:sz w:val="15"/>
                <w:szCs w:val="15"/>
                <w:b w:val="1"/>
                <w:bCs w:val="1"/>
                <w:color w:val="auto"/>
              </w:rPr>
              <w:t>Balance as of December 31, 2024 and January 1, 2025</w:t>
            </w:r>
          </w:p>
        </w:tc>
        <w:tc>
          <w:tcPr>
            <w:tcW w:w="2880" w:type="dxa"/>
            <w:vAlign w:val="bottom"/>
          </w:tcPr>
          <w:p>
            <w:pPr>
              <w:jc w:val="right"/>
              <w:ind w:right="9"/>
              <w:spacing w:after="0"/>
              <w:rPr>
                <w:sz w:val="20"/>
                <w:szCs w:val="20"/>
                <w:color w:val="auto"/>
              </w:rPr>
            </w:pPr>
            <w:r>
              <w:rPr>
                <w:rFonts w:ascii="Arial" w:cs="Arial" w:eastAsia="Arial" w:hAnsi="Arial"/>
                <w:sz w:val="15"/>
                <w:szCs w:val="15"/>
                <w:b w:val="1"/>
                <w:bCs w:val="1"/>
                <w:color w:val="auto"/>
              </w:rPr>
              <w:t>196,733</w:t>
            </w:r>
          </w:p>
        </w:tc>
        <w:tc>
          <w:tcPr>
            <w:tcW w:w="1280" w:type="dxa"/>
            <w:vAlign w:val="bottom"/>
          </w:tcPr>
          <w:p>
            <w:pPr>
              <w:jc w:val="right"/>
              <w:ind w:right="31"/>
              <w:spacing w:after="0"/>
              <w:rPr>
                <w:sz w:val="20"/>
                <w:szCs w:val="20"/>
                <w:color w:val="auto"/>
              </w:rPr>
            </w:pPr>
            <w:r>
              <w:rPr>
                <w:rFonts w:ascii="Arial" w:cs="Arial" w:eastAsia="Arial" w:hAnsi="Arial"/>
                <w:sz w:val="15"/>
                <w:szCs w:val="15"/>
                <w:b w:val="1"/>
                <w:bCs w:val="1"/>
                <w:color w:val="auto"/>
              </w:rPr>
              <w:t>(5,307)</w:t>
            </w:r>
          </w:p>
        </w:tc>
        <w:tc>
          <w:tcPr>
            <w:tcW w:w="1140" w:type="dxa"/>
            <w:vAlign w:val="bottom"/>
          </w:tcPr>
          <w:p>
            <w:pPr>
              <w:jc w:val="right"/>
              <w:ind w:right="7"/>
              <w:spacing w:after="0"/>
              <w:rPr>
                <w:sz w:val="20"/>
                <w:szCs w:val="20"/>
                <w:color w:val="auto"/>
              </w:rPr>
            </w:pPr>
            <w:r>
              <w:rPr>
                <w:rFonts w:ascii="Arial" w:cs="Arial" w:eastAsia="Arial" w:hAnsi="Arial"/>
                <w:sz w:val="15"/>
                <w:szCs w:val="15"/>
                <w:b w:val="1"/>
                <w:bCs w:val="1"/>
                <w:color w:val="auto"/>
              </w:rPr>
              <w:t>191,426</w:t>
            </w:r>
          </w:p>
        </w:tc>
      </w:tr>
      <w:tr>
        <w:trPr>
          <w:trHeight w:val="25"/>
        </w:trPr>
        <w:tc>
          <w:tcPr>
            <w:tcW w:w="5920" w:type="dxa"/>
            <w:vAlign w:val="bottom"/>
            <w:tcBorders>
              <w:bottom w:val="single" w:sz="8" w:color="001544"/>
            </w:tcBorders>
          </w:tcPr>
          <w:p>
            <w:pPr>
              <w:spacing w:after="0"/>
              <w:rPr>
                <w:sz w:val="2"/>
                <w:szCs w:val="2"/>
                <w:color w:val="auto"/>
              </w:rPr>
            </w:pPr>
          </w:p>
        </w:tc>
        <w:tc>
          <w:tcPr>
            <w:tcW w:w="2880" w:type="dxa"/>
            <w:vAlign w:val="bottom"/>
            <w:tcBorders>
              <w:bottom w:val="single" w:sz="8" w:color="001544"/>
            </w:tcBorders>
          </w:tcPr>
          <w:p>
            <w:pPr>
              <w:spacing w:after="0"/>
              <w:rPr>
                <w:sz w:val="2"/>
                <w:szCs w:val="2"/>
                <w:color w:val="auto"/>
              </w:rPr>
            </w:pPr>
          </w:p>
        </w:tc>
        <w:tc>
          <w:tcPr>
            <w:tcW w:w="1280" w:type="dxa"/>
            <w:vAlign w:val="bottom"/>
            <w:tcBorders>
              <w:bottom w:val="single" w:sz="8" w:color="001544"/>
            </w:tcBorders>
          </w:tcPr>
          <w:p>
            <w:pPr>
              <w:spacing w:after="0"/>
              <w:rPr>
                <w:sz w:val="2"/>
                <w:szCs w:val="2"/>
                <w:color w:val="auto"/>
              </w:rPr>
            </w:pPr>
          </w:p>
        </w:tc>
        <w:tc>
          <w:tcPr>
            <w:tcW w:w="1140" w:type="dxa"/>
            <w:vAlign w:val="bottom"/>
            <w:tcBorders>
              <w:bottom w:val="single" w:sz="8" w:color="001544"/>
            </w:tcBorders>
          </w:tcPr>
          <w:p>
            <w:pPr>
              <w:spacing w:after="0"/>
              <w:rPr>
                <w:sz w:val="2"/>
                <w:szCs w:val="2"/>
                <w:color w:val="auto"/>
              </w:rPr>
            </w:pPr>
          </w:p>
        </w:tc>
      </w:tr>
      <w:tr>
        <w:trPr>
          <w:trHeight w:val="203"/>
        </w:trPr>
        <w:tc>
          <w:tcPr>
            <w:tcW w:w="5920" w:type="dxa"/>
            <w:vAlign w:val="bottom"/>
          </w:tcPr>
          <w:p>
            <w:pPr>
              <w:ind w:left="20"/>
              <w:spacing w:after="0"/>
              <w:rPr>
                <w:sz w:val="20"/>
                <w:szCs w:val="20"/>
                <w:color w:val="auto"/>
              </w:rPr>
            </w:pPr>
            <w:r>
              <w:rPr>
                <w:rFonts w:ascii="Arial" w:cs="Arial" w:eastAsia="Arial" w:hAnsi="Arial"/>
                <w:sz w:val="15"/>
                <w:szCs w:val="15"/>
                <w:color w:val="auto"/>
              </w:rPr>
              <w:t>Sale of Vor Shares</w:t>
            </w:r>
          </w:p>
        </w:tc>
        <w:tc>
          <w:tcPr>
            <w:tcW w:w="2880" w:type="dxa"/>
            <w:vAlign w:val="bottom"/>
          </w:tcPr>
          <w:p>
            <w:pPr>
              <w:jc w:val="right"/>
              <w:spacing w:after="0"/>
              <w:rPr>
                <w:sz w:val="20"/>
                <w:szCs w:val="20"/>
                <w:color w:val="auto"/>
              </w:rPr>
            </w:pPr>
            <w:r>
              <w:rPr>
                <w:rFonts w:ascii="Arial" w:cs="Arial" w:eastAsia="Arial" w:hAnsi="Arial"/>
                <w:sz w:val="15"/>
                <w:szCs w:val="15"/>
                <w:color w:val="183964"/>
              </w:rPr>
              <w:t>(2,753)</w:t>
            </w:r>
          </w:p>
        </w:tc>
        <w:tc>
          <w:tcPr>
            <w:tcW w:w="1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183964"/>
              </w:rPr>
              <w:t>(2,753)</w:t>
            </w:r>
          </w:p>
        </w:tc>
      </w:tr>
      <w:tr>
        <w:trPr>
          <w:trHeight w:val="243"/>
        </w:trPr>
        <w:tc>
          <w:tcPr>
            <w:tcW w:w="5920" w:type="dxa"/>
            <w:vAlign w:val="bottom"/>
          </w:tcPr>
          <w:p>
            <w:pPr>
              <w:ind w:left="20"/>
              <w:spacing w:after="0"/>
              <w:rPr>
                <w:sz w:val="20"/>
                <w:szCs w:val="20"/>
                <w:color w:val="auto"/>
              </w:rPr>
            </w:pPr>
            <w:r>
              <w:rPr>
                <w:rFonts w:ascii="Arial" w:cs="Arial" w:eastAsia="Arial" w:hAnsi="Arial"/>
                <w:sz w:val="15"/>
                <w:szCs w:val="15"/>
                <w:color w:val="auto"/>
              </w:rPr>
              <w:t>Gain realized on sale of investments</w:t>
            </w:r>
          </w:p>
        </w:tc>
        <w:tc>
          <w:tcPr>
            <w:tcW w:w="2880" w:type="dxa"/>
            <w:vAlign w:val="bottom"/>
          </w:tcPr>
          <w:p>
            <w:pPr>
              <w:jc w:val="right"/>
              <w:ind w:right="9"/>
              <w:spacing w:after="0"/>
              <w:rPr>
                <w:sz w:val="20"/>
                <w:szCs w:val="20"/>
                <w:color w:val="auto"/>
              </w:rPr>
            </w:pPr>
            <w:r>
              <w:rPr>
                <w:rFonts w:ascii="Arial" w:cs="Arial" w:eastAsia="Arial" w:hAnsi="Arial"/>
                <w:sz w:val="15"/>
                <w:szCs w:val="15"/>
                <w:color w:val="183964"/>
              </w:rPr>
              <w:t>375</w:t>
            </w:r>
          </w:p>
        </w:tc>
        <w:tc>
          <w:tcPr>
            <w:tcW w:w="1280" w:type="dxa"/>
            <w:vAlign w:val="bottom"/>
          </w:tcPr>
          <w:p>
            <w:pPr>
              <w:spacing w:after="0"/>
              <w:rPr>
                <w:sz w:val="21"/>
                <w:szCs w:val="21"/>
                <w:color w:val="auto"/>
              </w:rPr>
            </w:pPr>
          </w:p>
        </w:tc>
        <w:tc>
          <w:tcPr>
            <w:tcW w:w="1140" w:type="dxa"/>
            <w:vAlign w:val="bottom"/>
          </w:tcPr>
          <w:p>
            <w:pPr>
              <w:jc w:val="right"/>
              <w:ind w:right="7"/>
              <w:spacing w:after="0"/>
              <w:rPr>
                <w:sz w:val="20"/>
                <w:szCs w:val="20"/>
                <w:color w:val="auto"/>
              </w:rPr>
            </w:pPr>
            <w:r>
              <w:rPr>
                <w:rFonts w:ascii="Arial" w:cs="Arial" w:eastAsia="Arial" w:hAnsi="Arial"/>
                <w:sz w:val="15"/>
                <w:szCs w:val="15"/>
                <w:color w:val="183964"/>
              </w:rPr>
              <w:t>375</w:t>
            </w:r>
          </w:p>
        </w:tc>
      </w:tr>
      <w:tr>
        <w:trPr>
          <w:trHeight w:val="243"/>
        </w:trPr>
        <w:tc>
          <w:tcPr>
            <w:tcW w:w="5920" w:type="dxa"/>
            <w:vAlign w:val="bottom"/>
          </w:tcPr>
          <w:p>
            <w:pPr>
              <w:ind w:left="20"/>
              <w:spacing w:after="0"/>
              <w:rPr>
                <w:sz w:val="20"/>
                <w:szCs w:val="20"/>
                <w:color w:val="auto"/>
              </w:rPr>
            </w:pPr>
            <w:r>
              <w:rPr>
                <w:rFonts w:ascii="Arial" w:cs="Arial" w:eastAsia="Arial" w:hAnsi="Arial"/>
                <w:sz w:val="15"/>
                <w:szCs w:val="15"/>
                <w:color w:val="auto"/>
              </w:rPr>
              <w:t>Gain/(loss) – changes in fair value through profit and loss</w:t>
            </w:r>
          </w:p>
        </w:tc>
        <w:tc>
          <w:tcPr>
            <w:tcW w:w="2880" w:type="dxa"/>
            <w:vAlign w:val="bottom"/>
          </w:tcPr>
          <w:p>
            <w:pPr>
              <w:jc w:val="right"/>
              <w:ind w:right="9"/>
              <w:spacing w:after="0"/>
              <w:rPr>
                <w:sz w:val="20"/>
                <w:szCs w:val="20"/>
                <w:color w:val="auto"/>
              </w:rPr>
            </w:pPr>
            <w:r>
              <w:rPr>
                <w:rFonts w:ascii="Arial" w:cs="Arial" w:eastAsia="Arial" w:hAnsi="Arial"/>
                <w:sz w:val="15"/>
                <w:szCs w:val="15"/>
                <w:color w:val="183964"/>
              </w:rPr>
              <w:t>3,679</w:t>
            </w:r>
          </w:p>
        </w:tc>
        <w:tc>
          <w:tcPr>
            <w:tcW w:w="1280" w:type="dxa"/>
            <w:vAlign w:val="bottom"/>
          </w:tcPr>
          <w:p>
            <w:pPr>
              <w:spacing w:after="0"/>
              <w:rPr>
                <w:sz w:val="21"/>
                <w:szCs w:val="21"/>
                <w:color w:val="auto"/>
              </w:rPr>
            </w:pPr>
          </w:p>
        </w:tc>
        <w:tc>
          <w:tcPr>
            <w:tcW w:w="1140" w:type="dxa"/>
            <w:vAlign w:val="bottom"/>
          </w:tcPr>
          <w:p>
            <w:pPr>
              <w:jc w:val="right"/>
              <w:ind w:right="7"/>
              <w:spacing w:after="0"/>
              <w:rPr>
                <w:sz w:val="20"/>
                <w:szCs w:val="20"/>
                <w:color w:val="auto"/>
              </w:rPr>
            </w:pPr>
            <w:r>
              <w:rPr>
                <w:rFonts w:ascii="Arial" w:cs="Arial" w:eastAsia="Arial" w:hAnsi="Arial"/>
                <w:sz w:val="15"/>
                <w:szCs w:val="15"/>
                <w:color w:val="183964"/>
              </w:rPr>
              <w:t>3,679</w:t>
            </w:r>
          </w:p>
        </w:tc>
      </w:tr>
      <w:tr>
        <w:trPr>
          <w:trHeight w:val="243"/>
        </w:trPr>
        <w:tc>
          <w:tcPr>
            <w:tcW w:w="5920" w:type="dxa"/>
            <w:vAlign w:val="bottom"/>
          </w:tcPr>
          <w:p>
            <w:pPr>
              <w:ind w:left="20"/>
              <w:spacing w:after="0"/>
              <w:rPr>
                <w:sz w:val="20"/>
                <w:szCs w:val="20"/>
                <w:color w:val="auto"/>
              </w:rPr>
            </w:pPr>
            <w:r>
              <w:rPr>
                <w:rFonts w:ascii="Arial" w:cs="Arial" w:eastAsia="Arial" w:hAnsi="Arial"/>
                <w:sz w:val="15"/>
                <w:szCs w:val="15"/>
                <w:color w:val="auto"/>
              </w:rPr>
              <w:t>Equity method losses recorded against LTI, net</w:t>
            </w:r>
          </w:p>
        </w:tc>
        <w:tc>
          <w:tcPr>
            <w:tcW w:w="288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5"/>
                <w:szCs w:val="15"/>
                <w:color w:val="183964"/>
              </w:rPr>
              <w:t>(891)</w:t>
            </w:r>
          </w:p>
        </w:tc>
        <w:tc>
          <w:tcPr>
            <w:tcW w:w="1140" w:type="dxa"/>
            <w:vAlign w:val="bottom"/>
          </w:tcPr>
          <w:p>
            <w:pPr>
              <w:jc w:val="right"/>
              <w:spacing w:after="0"/>
              <w:rPr>
                <w:sz w:val="20"/>
                <w:szCs w:val="20"/>
                <w:color w:val="auto"/>
              </w:rPr>
            </w:pPr>
            <w:r>
              <w:rPr>
                <w:rFonts w:ascii="Arial" w:cs="Arial" w:eastAsia="Arial" w:hAnsi="Arial"/>
                <w:sz w:val="15"/>
                <w:szCs w:val="15"/>
                <w:color w:val="183964"/>
              </w:rPr>
              <w:t>(891)</w:t>
            </w:r>
          </w:p>
        </w:tc>
      </w:tr>
      <w:tr>
        <w:trPr>
          <w:trHeight w:val="33"/>
        </w:trPr>
        <w:tc>
          <w:tcPr>
            <w:tcW w:w="5920" w:type="dxa"/>
            <w:vAlign w:val="bottom"/>
            <w:tcBorders>
              <w:bottom w:val="single" w:sz="8" w:color="001544"/>
            </w:tcBorders>
          </w:tcPr>
          <w:p>
            <w:pPr>
              <w:spacing w:after="0"/>
              <w:rPr>
                <w:sz w:val="2"/>
                <w:szCs w:val="2"/>
                <w:color w:val="auto"/>
              </w:rPr>
            </w:pPr>
          </w:p>
        </w:tc>
        <w:tc>
          <w:tcPr>
            <w:tcW w:w="2880" w:type="dxa"/>
            <w:vAlign w:val="bottom"/>
            <w:tcBorders>
              <w:bottom w:val="single" w:sz="8" w:color="001544"/>
            </w:tcBorders>
          </w:tcPr>
          <w:p>
            <w:pPr>
              <w:spacing w:after="0"/>
              <w:rPr>
                <w:sz w:val="2"/>
                <w:szCs w:val="2"/>
                <w:color w:val="auto"/>
              </w:rPr>
            </w:pPr>
          </w:p>
        </w:tc>
        <w:tc>
          <w:tcPr>
            <w:tcW w:w="1280" w:type="dxa"/>
            <w:vAlign w:val="bottom"/>
            <w:tcBorders>
              <w:bottom w:val="single" w:sz="8" w:color="001544"/>
            </w:tcBorders>
          </w:tcPr>
          <w:p>
            <w:pPr>
              <w:spacing w:after="0"/>
              <w:rPr>
                <w:sz w:val="2"/>
                <w:szCs w:val="2"/>
                <w:color w:val="auto"/>
              </w:rPr>
            </w:pPr>
          </w:p>
        </w:tc>
        <w:tc>
          <w:tcPr>
            <w:tcW w:w="1140" w:type="dxa"/>
            <w:vAlign w:val="bottom"/>
            <w:tcBorders>
              <w:bottom w:val="single" w:sz="8" w:color="001544"/>
            </w:tcBorders>
          </w:tcPr>
          <w:p>
            <w:pPr>
              <w:spacing w:after="0"/>
              <w:rPr>
                <w:sz w:val="2"/>
                <w:szCs w:val="2"/>
                <w:color w:val="auto"/>
              </w:rPr>
            </w:pPr>
          </w:p>
        </w:tc>
      </w:tr>
      <w:tr>
        <w:trPr>
          <w:trHeight w:val="212"/>
        </w:trPr>
        <w:tc>
          <w:tcPr>
            <w:tcW w:w="5920" w:type="dxa"/>
            <w:vAlign w:val="bottom"/>
          </w:tcPr>
          <w:p>
            <w:pPr>
              <w:ind w:left="20"/>
              <w:spacing w:after="0"/>
              <w:rPr>
                <w:sz w:val="20"/>
                <w:szCs w:val="20"/>
                <w:color w:val="auto"/>
              </w:rPr>
            </w:pPr>
            <w:r>
              <w:rPr>
                <w:rFonts w:ascii="Arial" w:cs="Arial" w:eastAsia="Arial" w:hAnsi="Arial"/>
                <w:sz w:val="15"/>
                <w:szCs w:val="15"/>
                <w:b w:val="1"/>
                <w:bCs w:val="1"/>
                <w:color w:val="auto"/>
              </w:rPr>
              <w:t>Balance as of June 30, 2025</w:t>
            </w:r>
          </w:p>
        </w:tc>
        <w:tc>
          <w:tcPr>
            <w:tcW w:w="2880" w:type="dxa"/>
            <w:vAlign w:val="bottom"/>
          </w:tcPr>
          <w:p>
            <w:pPr>
              <w:jc w:val="right"/>
              <w:ind w:right="9"/>
              <w:spacing w:after="0"/>
              <w:rPr>
                <w:sz w:val="20"/>
                <w:szCs w:val="20"/>
                <w:color w:val="auto"/>
              </w:rPr>
            </w:pPr>
            <w:r>
              <w:rPr>
                <w:rFonts w:ascii="Arial" w:cs="Arial" w:eastAsia="Arial" w:hAnsi="Arial"/>
                <w:sz w:val="15"/>
                <w:szCs w:val="15"/>
                <w:b w:val="1"/>
                <w:bCs w:val="1"/>
                <w:color w:val="auto"/>
              </w:rPr>
              <w:t>198,034</w:t>
            </w:r>
          </w:p>
        </w:tc>
        <w:tc>
          <w:tcPr>
            <w:tcW w:w="1280" w:type="dxa"/>
            <w:vAlign w:val="bottom"/>
          </w:tcPr>
          <w:p>
            <w:pPr>
              <w:jc w:val="right"/>
              <w:ind w:right="31"/>
              <w:spacing w:after="0"/>
              <w:rPr>
                <w:sz w:val="20"/>
                <w:szCs w:val="20"/>
                <w:color w:val="auto"/>
              </w:rPr>
            </w:pPr>
            <w:r>
              <w:rPr>
                <w:rFonts w:ascii="Arial" w:cs="Arial" w:eastAsia="Arial" w:hAnsi="Arial"/>
                <w:sz w:val="15"/>
                <w:szCs w:val="15"/>
                <w:b w:val="1"/>
                <w:bCs w:val="1"/>
                <w:color w:val="auto"/>
              </w:rPr>
              <w:t>(6,198)</w:t>
            </w:r>
          </w:p>
        </w:tc>
        <w:tc>
          <w:tcPr>
            <w:tcW w:w="1140" w:type="dxa"/>
            <w:vAlign w:val="bottom"/>
          </w:tcPr>
          <w:p>
            <w:pPr>
              <w:jc w:val="right"/>
              <w:ind w:right="7"/>
              <w:spacing w:after="0"/>
              <w:rPr>
                <w:sz w:val="20"/>
                <w:szCs w:val="20"/>
                <w:color w:val="auto"/>
              </w:rPr>
            </w:pPr>
            <w:r>
              <w:rPr>
                <w:rFonts w:ascii="Arial" w:cs="Arial" w:eastAsia="Arial" w:hAnsi="Arial"/>
                <w:sz w:val="15"/>
                <w:szCs w:val="15"/>
                <w:b w:val="1"/>
                <w:bCs w:val="1"/>
                <w:color w:val="auto"/>
              </w:rPr>
              <w:t>191,836</w:t>
            </w:r>
          </w:p>
        </w:tc>
      </w:tr>
      <w:tr>
        <w:trPr>
          <w:trHeight w:val="25"/>
        </w:trPr>
        <w:tc>
          <w:tcPr>
            <w:tcW w:w="5920" w:type="dxa"/>
            <w:vAlign w:val="bottom"/>
            <w:tcBorders>
              <w:bottom w:val="single" w:sz="8" w:color="001544"/>
            </w:tcBorders>
          </w:tcPr>
          <w:p>
            <w:pPr>
              <w:spacing w:after="0"/>
              <w:rPr>
                <w:sz w:val="2"/>
                <w:szCs w:val="2"/>
                <w:color w:val="auto"/>
              </w:rPr>
            </w:pPr>
          </w:p>
        </w:tc>
        <w:tc>
          <w:tcPr>
            <w:tcW w:w="2880" w:type="dxa"/>
            <w:vAlign w:val="bottom"/>
            <w:tcBorders>
              <w:bottom w:val="single" w:sz="8" w:color="001544"/>
            </w:tcBorders>
          </w:tcPr>
          <w:p>
            <w:pPr>
              <w:spacing w:after="0"/>
              <w:rPr>
                <w:sz w:val="2"/>
                <w:szCs w:val="2"/>
                <w:color w:val="auto"/>
              </w:rPr>
            </w:pPr>
          </w:p>
        </w:tc>
        <w:tc>
          <w:tcPr>
            <w:tcW w:w="1280" w:type="dxa"/>
            <w:vAlign w:val="bottom"/>
            <w:tcBorders>
              <w:bottom w:val="single" w:sz="8" w:color="001544"/>
            </w:tcBorders>
          </w:tcPr>
          <w:p>
            <w:pPr>
              <w:spacing w:after="0"/>
              <w:rPr>
                <w:sz w:val="2"/>
                <w:szCs w:val="2"/>
                <w:color w:val="auto"/>
              </w:rPr>
            </w:pPr>
          </w:p>
        </w:tc>
        <w:tc>
          <w:tcPr>
            <w:tcW w:w="1140" w:type="dxa"/>
            <w:vAlign w:val="bottom"/>
            <w:tcBorders>
              <w:bottom w:val="single" w:sz="8" w:color="001544"/>
            </w:tcBorders>
          </w:tcPr>
          <w:p>
            <w:pPr>
              <w:spacing w:after="0"/>
              <w:rPr>
                <w:sz w:val="2"/>
                <w:szCs w:val="2"/>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183964"/>
        </w:rPr>
        <w:t>Seaport</w:t>
      </w:r>
    </w:p>
    <w:p>
      <w:pPr>
        <w:spacing w:after="0" w:line="28" w:lineRule="exact"/>
        <w:rPr>
          <w:sz w:val="20"/>
          <w:szCs w:val="20"/>
          <w:color w:val="auto"/>
        </w:rPr>
      </w:pPr>
    </w:p>
    <w:p>
      <w:pPr>
        <w:ind w:right="160"/>
        <w:spacing w:after="0" w:line="257" w:lineRule="auto"/>
        <w:rPr>
          <w:sz w:val="20"/>
          <w:szCs w:val="20"/>
          <w:color w:val="auto"/>
        </w:rPr>
      </w:pPr>
      <w:r>
        <w:rPr>
          <w:rFonts w:ascii="Arial" w:cs="Arial" w:eastAsia="Arial" w:hAnsi="Arial"/>
          <w:sz w:val="15"/>
          <w:szCs w:val="15"/>
          <w:color w:val="auto"/>
        </w:rPr>
        <w:t xml:space="preserve">On October 18, 2024, Seaport completed a Series B preferred share financing, which resulted in the Group’s voting interest being below 50% and the Group losing control over Seaport Board of Directors. Consequently, the Group no longer had the power to direct the relevant Seaport activities. As a result, Seaport was deconsolidated on this date and its results of operations are included in the Condensed Consolidated Financial Statements through the date of deconsolidation. Following deconsolidation, the Group still has significant influence in Seaport through its voting interest and its remaining representation on Seaport's Board of Directors. Upon deconsolidation, the Group owns 950,000 of common stock, 40,000,000 of Series A-1 preferred stock, 8,421,052 of Series A-2 preferred stock, and 3,031,578 of Series B preferred stock. The common shares are subject to IAS 28 </w:t>
      </w:r>
      <w:r>
        <w:rPr>
          <w:rFonts w:ascii="Arial" w:cs="Arial" w:eastAsia="Arial" w:hAnsi="Arial"/>
          <w:sz w:val="15"/>
          <w:szCs w:val="15"/>
          <w:i w:val="1"/>
          <w:iCs w:val="1"/>
          <w:color w:val="auto"/>
        </w:rPr>
        <w:t>Investment in Associates and Joint Ventures</w:t>
      </w:r>
      <w:r>
        <w:rPr>
          <w:rFonts w:ascii="Arial" w:cs="Arial" w:eastAsia="Arial" w:hAnsi="Arial"/>
          <w:sz w:val="15"/>
          <w:szCs w:val="15"/>
          <w:color w:val="auto"/>
        </w:rPr>
        <w:t xml:space="preserve"> due to the significant influence the Group retained and are accounted for under the equity method. See Note 5. Investments in Associates. The Group's preferred shares do not provide their shareholders with access to returns associated with a residual equity interest, and, as such, are accounted for under IFRS 9 as investments held at fair value with changes in fair value recorded in profit and loss. Under IFRS 9, the preferred share investments are categorized as debt instruments that are presented at fair value through profit and loss because the amounts receivable do not represent solely payments of principal and interest.</w:t>
      </w:r>
    </w:p>
    <w:p>
      <w:pPr>
        <w:spacing w:after="0" w:line="59"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These preferred shares had a fair value of $197,472 and $177,288 as of June 30, 2025 and December 31, 2024, respectively. See Note 13. Financial Instruments for valuation of these preferred shares.</w:t>
      </w:r>
    </w:p>
    <w:p>
      <w:pPr>
        <w:spacing w:after="0" w:line="26"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During the six months ended June 30, 2025, the Group recognized a gain of $20,184 for the changes in the fair value of the investment in Seaport that was included in gain/(loss) on investments held at fair value within the Condensed Consolidated Statement of Comprehensive Income/(Loss). For the six months ended June 30, 2025, the increase in fair value of $20,184 was reduced by $5,857, which represents the excess equity method losses from the Group's investment in Seaport common stock. The recognition of the $5,857 loss against the investment in Seaport's Preferred A-1, A-2 and B shares occurs because the Group’s share of equity method losses from applying the equity method of accounting to its investment in Seaport’s common shares was greater than its equity method investment balance and because the Group’s investment in Seaport’s Preferred A-1, A-2 and B shares represents a long-term interest ("LTI"). The $5,857 loss is included in share of net income/(loss) of associates accounted for using the equity method within the Condensed Consolidated Statement of Comprehensive Income/(Loss) as it represents a portion of the Group’s share of equity method losses from applying the equity method of accounting.</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183964"/>
        </w:rPr>
        <w:t>Vedanta</w:t>
      </w:r>
    </w:p>
    <w:p>
      <w:pPr>
        <w:spacing w:after="0" w:line="17"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Vedanta was deconsolidated in March 2023. After deconsolidation, the Group holds convertible preferred shares in Vedanta that do not provide their holders with access to returns associated with a residual equity interest, and as such, are accounted for under IFRS 9, as investments held at fair value with changes in fair value recorded in profit and loss. Under IFRS 9, the preferred share investments are categorized as debt instruments that are presented at fair value through profit and loss because the amounts receivable do not represent solely payments of principal and interest.</w:t>
      </w:r>
    </w:p>
    <w:p>
      <w:pPr>
        <w:spacing w:after="0" w:line="53"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During the six months ended June 30, 2025 and June 30, 2024, the Group recognized losses of $10,945 and $3,648, respectively, for the changes in the fair value of the investment in Vedanta that were included in gain/(loss) on investments held at fair value within the Condensed Consolidated Statement of Comprehensive Income/(Loss). The fair value of the Group’s investment in Vedanta was $219 and $11,163 as of June 30, 2025 and December 31, 2024, respectively.</w:t>
      </w:r>
    </w:p>
    <w:p>
      <w:pPr>
        <w:sectPr>
          <w:pgSz w:w="11900" w:h="16838" w:orient="portrait"/>
          <w:cols w:equalWidth="0" w:num="1">
            <w:col w:w="11220"/>
          </w:cols>
          <w:pgMar w:left="320" w:top="1241" w:right="359" w:bottom="1440" w:gutter="0" w:footer="0" w:header="0"/>
        </w:sectPr>
      </w:pPr>
    </w:p>
    <w:bookmarkStart w:id="30" w:name="page31"/>
    <w:bookmarkEnd w:id="30"/>
    <w:p>
      <w:pPr>
        <w:spacing w:after="0"/>
        <w:rPr>
          <w:sz w:val="20"/>
          <w:szCs w:val="20"/>
          <w:color w:val="auto"/>
        </w:rPr>
      </w:pPr>
      <w:r>
        <w:rPr>
          <w:rFonts w:ascii="Arial" w:cs="Arial" w:eastAsia="Arial" w:hAnsi="Arial"/>
          <w:sz w:val="15"/>
          <w:szCs w:val="15"/>
          <w:color w:val="183964"/>
        </w:rPr>
        <w:t>Sonde</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On May 25, 2022, Sonde completed a Series B preferred share financing, which resulted in the Group losing control over Sonde and the deconsolidation of Sonde.</w:t>
      </w:r>
    </w:p>
    <w:p>
      <w:pPr>
        <w:spacing w:after="0" w:line="84"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Following deconsolidation, the Group still has significant influence in Sonde through its voting interest in Sonde and its remaining representation on Sonde's Board of Directors. The Group holds Preferred A-1, A-2 and B shares. The Preferred A-1 shares have the same terms as common stock, and provide their shareholders with access to returns associated with a residual equity ownership in Sonde. Consequently, the investment in Preferred A-1 shares is accounted for under the equity method. See Note 5. Investments in Associates. The convertible Preferred A-2 and B shares, however, do not provide their shareholders with access to returns associated with a residual equity interest, and as such, are accounted for under IFRS 9, as investments held at fair value with changes in fair value recorded in profit and loss. Under IFRS 9, the A-2 and B preferred share investments are categorized as debt instruments that are presented at fair value through profit and loss because the amounts receivable do not represent solely payments of principal and interest.</w:t>
      </w:r>
    </w:p>
    <w:p>
      <w:pPr>
        <w:spacing w:after="0" w:line="54" w:lineRule="exact"/>
        <w:rPr>
          <w:sz w:val="20"/>
          <w:szCs w:val="20"/>
          <w:color w:val="auto"/>
        </w:rPr>
      </w:pPr>
    </w:p>
    <w:p>
      <w:pPr>
        <w:jc w:val="both"/>
        <w:ind w:right="140"/>
        <w:spacing w:after="0" w:line="269" w:lineRule="auto"/>
        <w:rPr>
          <w:sz w:val="20"/>
          <w:szCs w:val="20"/>
          <w:color w:val="auto"/>
        </w:rPr>
      </w:pPr>
      <w:r>
        <w:rPr>
          <w:rFonts w:ascii="Arial" w:cs="Arial" w:eastAsia="Arial" w:hAnsi="Arial"/>
          <w:sz w:val="15"/>
          <w:szCs w:val="15"/>
          <w:color w:val="auto"/>
        </w:rPr>
        <w:t>The Group’s investment in Sonde’s Preferred A-2 and B shares represents a long-term interest. When the Group’s share of equity method losses, from applying the equity method of accounting to its investment in Sonde’s Preferred A-1 shares, is greater than its equity method investment balance, the additional loss is applied to the LTI. In accordance with IAS 28, IFRS 9 should be applied independently, ignoring any prior equity method loss absorption. The prior year excess equity method losses absorbed by the LTI should be reversed if the LTI's fair value decreases.</w:t>
      </w:r>
    </w:p>
    <w:p>
      <w:pPr>
        <w:spacing w:after="0" w:line="50"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As of December 31, 2024, the fair value of the Group’s investment in Sonde Preferred A-2 and B shares was $5,307 prior to applying the excess equity method losses from the investment in Sonde Preferred A-1 shares. After the excess equity method losses were applied, the balance of the investment in Sonde Preferred A-2 and B shares was $0.</w:t>
      </w:r>
    </w:p>
    <w:p>
      <w:pPr>
        <w:spacing w:after="0" w:line="59"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As of June 30, 2025, the fair value of the Group's investment in Sonde Preferred A-2 and B shares was $341, a reduction of $4,965 from December 31, 2024. Due to the decrease in the fair value of Sonde’s Preferred A-2 and B shares under IFRS 9, during the six months ended June 30, 2025, the Group recorded the decrease in fair value within gain/loss on investments held at fair value in the Condensed Consolidated Statement of Comprehensive Income/(Loss) and reversed $4,965 of equity method loss that had reduced the fair value of Sonde’s Preferred A-2 and B shares in the prior year. The reversal of $4,965 is included in the Group’s share of net income/(loss) of associates accounted for using the equity method within the Condensed Consolidated Statement of Comprehensive Income/(Loss).</w:t>
      </w:r>
    </w:p>
    <w:p>
      <w:pPr>
        <w:spacing w:after="0" w:line="54"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During the six months ended June 30, 2024, the Group recognized a gain of $163 for the changes in the fair value of its investment in Sonde's Preferred A-2 and B shares that was included in gain/(loss) on investments held at fair value within the Condensed Consolidated Statement of Comprehensive Income/(Loss). For the six months ended June 30, 2024, the Group recognized an additional loss of $172 on its investment in Sonde’s Preferred A-2 and B shares because the Group’s share of equity method losses was greater than its equity method investment balance. The additional loss is included in share of net income / (loss) of associates accounted for using the equity method within the Condensed Consolidated Statement of Comprehensive Income/(Loss).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183964"/>
        </w:rPr>
        <w:t>Vor</w:t>
      </w:r>
    </w:p>
    <w:p>
      <w:pPr>
        <w:spacing w:after="0" w:line="28" w:lineRule="exact"/>
        <w:rPr>
          <w:sz w:val="20"/>
          <w:szCs w:val="20"/>
          <w:color w:val="auto"/>
        </w:rPr>
      </w:pPr>
    </w:p>
    <w:p>
      <w:pPr>
        <w:ind w:right="320"/>
        <w:spacing w:after="0" w:line="258" w:lineRule="auto"/>
        <w:rPr>
          <w:sz w:val="20"/>
          <w:szCs w:val="20"/>
          <w:color w:val="auto"/>
        </w:rPr>
      </w:pPr>
      <w:r>
        <w:rPr>
          <w:rFonts w:ascii="Arial" w:cs="Arial" w:eastAsia="Arial" w:hAnsi="Arial"/>
          <w:sz w:val="15"/>
          <w:szCs w:val="15"/>
          <w:color w:val="auto"/>
        </w:rPr>
        <w:t>As of December 31, 2024, the Group held 2,671,800 shares of Vor common stock with fair value of $ 2,966. On June 26, 2025, the Group sold its remaining Vor common shares at $1.03 per share for total proceeds of $2,753 before income tax. As a result of this transaction, the Group recognized a gain of $375 which was included in realized gain/(loss) on sale of investments within the Condensed Consolidated Statement of Comprehensive Income/(Loss). Therefore, the Group no longer holds any ownership interests in Vor.</w:t>
      </w:r>
    </w:p>
    <w:p>
      <w:pPr>
        <w:spacing w:after="0" w:line="70"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color w:val="auto"/>
        </w:rPr>
        <w:t>During the six months ended June 30, 2025 and 2024, the Group recognized losses of $588 and $3,340, respectively, for the changes in the fair value of its investment in Vor that were included in gain/(loss) on investments held at fair value within the Condensed Consolidated Statement of Comprehensive Income/(Loss).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183964"/>
        </w:rPr>
        <w:t>Karuna</w:t>
      </w:r>
    </w:p>
    <w:p>
      <w:pPr>
        <w:spacing w:after="0" w:line="28" w:lineRule="exact"/>
        <w:rPr>
          <w:sz w:val="20"/>
          <w:szCs w:val="20"/>
          <w:color w:val="auto"/>
        </w:rPr>
      </w:pPr>
    </w:p>
    <w:p>
      <w:pPr>
        <w:ind w:right="160"/>
        <w:spacing w:after="0" w:line="265" w:lineRule="auto"/>
        <w:rPr>
          <w:sz w:val="20"/>
          <w:szCs w:val="20"/>
          <w:color w:val="auto"/>
        </w:rPr>
      </w:pPr>
      <w:r>
        <w:rPr>
          <w:rFonts w:ascii="Arial" w:cs="Arial" w:eastAsia="Arial" w:hAnsi="Arial"/>
          <w:sz w:val="15"/>
          <w:szCs w:val="15"/>
          <w:color w:val="auto"/>
        </w:rPr>
        <w:t>In March 2024, Karuna common shares were acquired by Bristol Myers Squibb ("BMS") for $330 per share in accordance with the terms of a definitive merger agreement signed in December 2023. As a result of this transaction, the Group received total proceeds of $292,672 before income tax in exchange for its holding of 886,885 shares of Karuna common stock. Therefore, the Group no longer holds any ownership interests in Karuna.</w:t>
      </w:r>
    </w:p>
    <w:p>
      <w:pPr>
        <w:spacing w:after="0" w:line="52"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During the six months ended June 30, 2024, the Group recognized a gain of $11,813 for the changes in the fair value of its investment in Karuna that was included in gain/(loss) on investments held at fair value within the Condensed Consolidated Statement of Comprehensive Income/(Loss).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183964"/>
        </w:rPr>
        <w:t>Akili</w:t>
      </w:r>
    </w:p>
    <w:p>
      <w:pPr>
        <w:spacing w:after="0" w:line="28" w:lineRule="exact"/>
        <w:rPr>
          <w:sz w:val="20"/>
          <w:szCs w:val="20"/>
          <w:color w:val="auto"/>
        </w:rPr>
      </w:pPr>
    </w:p>
    <w:p>
      <w:pPr>
        <w:ind w:right="520"/>
        <w:spacing w:after="0" w:line="267" w:lineRule="auto"/>
        <w:rPr>
          <w:sz w:val="20"/>
          <w:szCs w:val="20"/>
          <w:color w:val="auto"/>
        </w:rPr>
      </w:pPr>
      <w:r>
        <w:rPr>
          <w:rFonts w:ascii="Arial" w:cs="Arial" w:eastAsia="Arial" w:hAnsi="Arial"/>
          <w:sz w:val="15"/>
          <w:szCs w:val="15"/>
          <w:color w:val="auto"/>
        </w:rPr>
        <w:t>On July 2, 2024, Akili was acquired by Virtual Therapeutics. As a result of this transaction, the Group received total proceeds of $5,437 before income taxes in exchange for its holding of 12,527,476 shares of Akili common stock. Therefore, the Group no longer holds any ownership interests in Akili.</w:t>
      </w:r>
    </w:p>
    <w:p>
      <w:pPr>
        <w:spacing w:after="0" w:line="64" w:lineRule="exact"/>
        <w:rPr>
          <w:sz w:val="20"/>
          <w:szCs w:val="20"/>
          <w:color w:val="auto"/>
        </w:rPr>
      </w:pPr>
    </w:p>
    <w:p>
      <w:pPr>
        <w:ind w:right="460"/>
        <w:spacing w:after="0" w:line="283" w:lineRule="auto"/>
        <w:rPr>
          <w:sz w:val="20"/>
          <w:szCs w:val="20"/>
          <w:color w:val="auto"/>
        </w:rPr>
      </w:pPr>
      <w:r>
        <w:rPr>
          <w:rFonts w:ascii="Arial" w:cs="Arial" w:eastAsia="Arial" w:hAnsi="Arial"/>
          <w:sz w:val="15"/>
          <w:szCs w:val="15"/>
          <w:color w:val="auto"/>
        </w:rPr>
        <w:t>During the six months ended June 30, 2024, the Group recognized a loss of $985, for the changes in the fair value of its investment in Akili that was included in gain/(loss) on investments held at fair value within the Condensed Consolidated Statement of Comprehensive Income/(Loss).</w:t>
      </w:r>
    </w:p>
    <w:p>
      <w:pPr>
        <w:sectPr>
          <w:pgSz w:w="11900" w:h="16838" w:orient="portrait"/>
          <w:cols w:equalWidth="0" w:num="1">
            <w:col w:w="11220"/>
          </w:cols>
          <w:pgMar w:left="320" w:top="1243" w:right="359" w:bottom="1440" w:gutter="0" w:footer="0" w:header="0"/>
        </w:sectPr>
      </w:pPr>
    </w:p>
    <w:bookmarkStart w:id="31" w:name="page32"/>
    <w:bookmarkEnd w:id="31"/>
    <w:p>
      <w:pPr>
        <w:ind w:left="340" w:hanging="332"/>
        <w:spacing w:after="0"/>
        <w:tabs>
          <w:tab w:leader="none" w:pos="340" w:val="left"/>
        </w:tabs>
        <w:numPr>
          <w:ilvl w:val="0"/>
          <w:numId w:val="19"/>
        </w:numPr>
        <w:rPr>
          <w:rFonts w:ascii="Arial" w:cs="Arial" w:eastAsia="Arial" w:hAnsi="Arial"/>
          <w:sz w:val="15"/>
          <w:szCs w:val="15"/>
          <w:b w:val="1"/>
          <w:bCs w:val="1"/>
          <w:color w:val="183964"/>
        </w:rPr>
      </w:pPr>
      <w:r>
        <w:rPr>
          <w:rFonts w:ascii="Arial" w:cs="Arial" w:eastAsia="Arial" w:hAnsi="Arial"/>
          <w:sz w:val="15"/>
          <w:szCs w:val="15"/>
          <w:b w:val="1"/>
          <w:bCs w:val="1"/>
          <w:color w:val="183964"/>
        </w:rPr>
        <w:t>Investments in Associates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183964"/>
        </w:rPr>
        <w:t>Sonde (Boston, MA)</w:t>
      </w:r>
    </w:p>
    <w:p>
      <w:pPr>
        <w:spacing w:after="0" w:line="28" w:lineRule="exact"/>
        <w:rPr>
          <w:sz w:val="20"/>
          <w:szCs w:val="20"/>
          <w:color w:val="auto"/>
        </w:rPr>
      </w:pPr>
    </w:p>
    <w:p>
      <w:pPr>
        <w:ind w:right="420"/>
        <w:spacing w:after="0" w:line="265" w:lineRule="auto"/>
        <w:rPr>
          <w:sz w:val="20"/>
          <w:szCs w:val="20"/>
          <w:color w:val="auto"/>
        </w:rPr>
      </w:pPr>
      <w:r>
        <w:rPr>
          <w:rFonts w:ascii="Arial" w:cs="Arial" w:eastAsia="Arial" w:hAnsi="Arial"/>
          <w:sz w:val="15"/>
          <w:szCs w:val="15"/>
          <w:color w:val="auto"/>
        </w:rPr>
        <w:t>Following the deconsolidation of Sonde in May 2022, the Group's investment in Sonde Preferred A-1 shares is accounted for under the equity method as Group retains significant influence in Sonde and the Sonde Preferred A-1 shares provide their shareholders with access to returns associated with a residual equity ownership.</w:t>
      </w:r>
    </w:p>
    <w:p>
      <w:pPr>
        <w:spacing w:after="0" w:line="52" w:lineRule="exact"/>
        <w:rPr>
          <w:sz w:val="20"/>
          <w:szCs w:val="20"/>
          <w:color w:val="auto"/>
        </w:rPr>
      </w:pPr>
    </w:p>
    <w:p>
      <w:pPr>
        <w:ind w:right="200"/>
        <w:spacing w:after="0" w:line="301" w:lineRule="auto"/>
        <w:rPr>
          <w:sz w:val="20"/>
          <w:szCs w:val="20"/>
          <w:color w:val="auto"/>
        </w:rPr>
      </w:pPr>
      <w:r>
        <w:rPr>
          <w:rFonts w:ascii="Arial" w:cs="Arial" w:eastAsia="Arial" w:hAnsi="Arial"/>
          <w:sz w:val="15"/>
          <w:szCs w:val="15"/>
          <w:color w:val="auto"/>
        </w:rPr>
        <w:t>During the six months ended June 30, 2024, the Group recorded a loss of $3,357 related to Sonde's equity method of accounting. The loss exceeded Sonde equity method investment balance of $3,185 as of December 31, 2023 and has reduced the Group's investment in this associate to $0.</w:t>
      </w:r>
    </w:p>
    <w:p>
      <w:pPr>
        <w:spacing w:after="0" w:line="26"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Since the Group did not incur legal or constructive obligations or made payments on behalf of Sonde, the Group stopped recognizing additional equity method losses as of December 31, 2024. As of June 30, 2025, the Sonde equity method investment balance was $0 and the unrecognized equity method losses amounted to $2,112.</w:t>
      </w:r>
    </w:p>
    <w:p>
      <w:pPr>
        <w:spacing w:after="0" w:line="226"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color w:val="auto"/>
        </w:rPr>
        <w:t>During the six months ended June 30, 2025, the Group recorded income of $4,965 within its share of net income/(loss) of associates accounted for using the equity method in the Condensed Consolidated Statement of Comprehensive Income/(Loss). This amount represents the reversal of previously recognized equity method losses that were applied against the Group’s Sonde’s Preferred A-2 and B investment. Due to the decrease in the fair value of Sonde’s Preferred A-2 and B shares under IFRS 9, during the six months ended June 30, 2025, the Group reversed the excess equity method losses that had been applied in prior periods to reduce the fair value of the Group’s investment in Sonde’s Preferred A-2 and B shares. See Note 4. Investments Held at Fair Value.</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183964"/>
        </w:rPr>
        <w:t>Seaport (Boston, MA)</w:t>
      </w:r>
    </w:p>
    <w:p>
      <w:pPr>
        <w:spacing w:after="0" w:line="28" w:lineRule="exact"/>
        <w:rPr>
          <w:sz w:val="20"/>
          <w:szCs w:val="20"/>
          <w:color w:val="auto"/>
        </w:rPr>
      </w:pPr>
    </w:p>
    <w:p>
      <w:pPr>
        <w:ind w:right="520"/>
        <w:spacing w:after="0" w:line="267" w:lineRule="auto"/>
        <w:rPr>
          <w:sz w:val="20"/>
          <w:szCs w:val="20"/>
          <w:color w:val="auto"/>
        </w:rPr>
      </w:pPr>
      <w:r>
        <w:rPr>
          <w:rFonts w:ascii="Arial" w:cs="Arial" w:eastAsia="Arial" w:hAnsi="Arial"/>
          <w:sz w:val="15"/>
          <w:szCs w:val="15"/>
          <w:color w:val="auto"/>
        </w:rPr>
        <w:t>Following the deconsolidation of Seaport in October 2024, the Group's investment in Seaport common shares is accounted for under equity method due to the significant influence the Group retains in Seaport.</w:t>
      </w:r>
    </w:p>
    <w:p>
      <w:pPr>
        <w:spacing w:after="0" w:line="64"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As of June 30, 2025 and December 31, 2024, the Seaport equity method investment had a balance of $0 and $2,397, respectively. When applying the equity method, the Group records its share of the losses in Seaport based on its common share equity interest in Seaport, which was 12.7% as of June 30, 2025. During the six months ended June 30, 2025, the Group recorded a loss of $8,962 related to Seaport’s equity method of accounting and a gain of $708 for the dilution of ownership interest. The Group’s share in Seaport’s losses for the six months ended June 30, 2025 exceeded the Group’s equity method investment in Seaport. As a result, the Group's equity method investment in Seaport was reduced to $0 as of June 30, 2025. The excess loss of $5,857 was applied against the fair value of Seaport Preferred A-1, A-2, and B shares, which represent a long-term interest. See Note 4. Investments Held at Fair Value.</w:t>
      </w:r>
    </w:p>
    <w:p>
      <w:pPr>
        <w:spacing w:after="0" w:line="54" w:lineRule="exact"/>
        <w:rPr>
          <w:sz w:val="20"/>
          <w:szCs w:val="20"/>
          <w:color w:val="auto"/>
        </w:rPr>
      </w:pPr>
    </w:p>
    <w:p>
      <w:pPr>
        <w:jc w:val="both"/>
        <w:ind w:right="220"/>
        <w:spacing w:after="0" w:line="273" w:lineRule="auto"/>
        <w:rPr>
          <w:sz w:val="20"/>
          <w:szCs w:val="20"/>
          <w:color w:val="auto"/>
        </w:rPr>
      </w:pPr>
      <w:r>
        <w:rPr>
          <w:rFonts w:ascii="Arial" w:cs="Arial" w:eastAsia="Arial" w:hAnsi="Arial"/>
          <w:sz w:val="15"/>
          <w:szCs w:val="15"/>
          <w:color w:val="auto"/>
        </w:rPr>
        <w:t>The following table provides summarized financial information for Seaport, the Group’s material associate for the six months ended June 30, 2025. The information disclosed reflects the amounts presented in the financial statements of Seaport and not the Group’s share of those amounts. The amounts have been amended to reflect adjustments made by the Group when using the equity method, including fair value adjustments and modifications for differences in accounting policies.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140" w:type="dxa"/>
            <w:vAlign w:val="bottom"/>
          </w:tcPr>
          <w:p>
            <w:pPr>
              <w:spacing w:after="0"/>
              <w:rPr>
                <w:sz w:val="12"/>
                <w:szCs w:val="12"/>
                <w:color w:val="auto"/>
              </w:rPr>
            </w:pPr>
          </w:p>
        </w:tc>
        <w:tc>
          <w:tcPr>
            <w:tcW w:w="1180" w:type="dxa"/>
            <w:vAlign w:val="bottom"/>
          </w:tcPr>
          <w:p>
            <w:pPr>
              <w:jc w:val="right"/>
              <w:ind w:right="327"/>
              <w:spacing w:after="0"/>
              <w:rPr>
                <w:sz w:val="20"/>
                <w:szCs w:val="20"/>
                <w:color w:val="auto"/>
              </w:rPr>
            </w:pPr>
            <w:r>
              <w:rPr>
                <w:rFonts w:ascii="Arial" w:cs="Arial" w:eastAsia="Arial" w:hAnsi="Arial"/>
                <w:sz w:val="13"/>
                <w:szCs w:val="13"/>
                <w:b w:val="1"/>
                <w:bCs w:val="1"/>
                <w:color w:val="auto"/>
              </w:rPr>
              <w:t>2025</w:t>
            </w:r>
          </w:p>
        </w:tc>
        <w:tc>
          <w:tcPr>
            <w:tcW w:w="900" w:type="dxa"/>
            <w:vAlign w:val="bottom"/>
          </w:tcPr>
          <w:p>
            <w:pPr>
              <w:jc w:val="right"/>
              <w:spacing w:after="0"/>
              <w:rPr>
                <w:sz w:val="20"/>
                <w:szCs w:val="20"/>
                <w:color w:val="auto"/>
              </w:rPr>
            </w:pPr>
            <w:r>
              <w:rPr>
                <w:rFonts w:ascii="Arial" w:cs="Arial" w:eastAsia="Arial" w:hAnsi="Arial"/>
                <w:sz w:val="13"/>
                <w:szCs w:val="13"/>
                <w:color w:val="183964"/>
              </w:rPr>
              <w:t>2024</w:t>
            </w:r>
          </w:p>
        </w:tc>
      </w:tr>
      <w:tr>
        <w:trPr>
          <w:trHeight w:val="172"/>
        </w:trPr>
        <w:tc>
          <w:tcPr>
            <w:tcW w:w="9140" w:type="dxa"/>
            <w:vAlign w:val="bottom"/>
          </w:tcPr>
          <w:p>
            <w:pPr>
              <w:ind w:left="20"/>
              <w:spacing w:after="0"/>
              <w:rPr>
                <w:sz w:val="20"/>
                <w:szCs w:val="20"/>
                <w:color w:val="auto"/>
              </w:rPr>
            </w:pPr>
            <w:r>
              <w:rPr>
                <w:rFonts w:ascii="Arial" w:cs="Arial" w:eastAsia="Arial" w:hAnsi="Arial"/>
                <w:sz w:val="13"/>
                <w:szCs w:val="13"/>
                <w:color w:val="auto"/>
              </w:rPr>
              <w:t>For the six months ended June 30,</w:t>
            </w:r>
          </w:p>
        </w:tc>
        <w:tc>
          <w:tcPr>
            <w:tcW w:w="1180" w:type="dxa"/>
            <w:vAlign w:val="bottom"/>
          </w:tcPr>
          <w:p>
            <w:pPr>
              <w:jc w:val="right"/>
              <w:ind w:right="327"/>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183964"/>
              </w:rPr>
              <w:t>$</w:t>
            </w:r>
          </w:p>
        </w:tc>
      </w:tr>
      <w:tr>
        <w:trPr>
          <w:trHeight w:val="22"/>
        </w:trPr>
        <w:tc>
          <w:tcPr>
            <w:tcW w:w="9140" w:type="dxa"/>
            <w:vAlign w:val="bottom"/>
            <w:tcBorders>
              <w:bottom w:val="single" w:sz="8" w:color="0A2299"/>
            </w:tcBorders>
          </w:tcPr>
          <w:p>
            <w:pPr>
              <w:spacing w:after="0" w:line="20" w:lineRule="exact"/>
              <w:rPr>
                <w:sz w:val="1"/>
                <w:szCs w:val="1"/>
                <w:color w:val="auto"/>
              </w:rPr>
            </w:pPr>
          </w:p>
        </w:tc>
        <w:tc>
          <w:tcPr>
            <w:tcW w:w="1180" w:type="dxa"/>
            <w:vAlign w:val="bottom"/>
            <w:tcBorders>
              <w:bottom w:val="single" w:sz="8" w:color="0A2299"/>
            </w:tcBorders>
          </w:tcPr>
          <w:p>
            <w:pPr>
              <w:spacing w:after="0" w:line="20" w:lineRule="exact"/>
              <w:rPr>
                <w:sz w:val="1"/>
                <w:szCs w:val="1"/>
                <w:color w:val="auto"/>
              </w:rPr>
            </w:pPr>
          </w:p>
        </w:tc>
        <w:tc>
          <w:tcPr>
            <w:tcW w:w="900" w:type="dxa"/>
            <w:vAlign w:val="bottom"/>
            <w:tcBorders>
              <w:bottom w:val="single" w:sz="8" w:color="0A2299"/>
            </w:tcBorders>
          </w:tcPr>
          <w:p>
            <w:pPr>
              <w:spacing w:after="0" w:line="20" w:lineRule="exact"/>
              <w:rPr>
                <w:sz w:val="1"/>
                <w:szCs w:val="1"/>
                <w:color w:val="auto"/>
              </w:rPr>
            </w:pPr>
          </w:p>
        </w:tc>
      </w:tr>
      <w:tr>
        <w:trPr>
          <w:trHeight w:val="212"/>
        </w:trPr>
        <w:tc>
          <w:tcPr>
            <w:tcW w:w="9140" w:type="dxa"/>
            <w:vAlign w:val="bottom"/>
          </w:tcPr>
          <w:p>
            <w:pPr>
              <w:ind w:left="20"/>
              <w:spacing w:after="0"/>
              <w:rPr>
                <w:sz w:val="20"/>
                <w:szCs w:val="20"/>
                <w:color w:val="auto"/>
              </w:rPr>
            </w:pPr>
            <w:r>
              <w:rPr>
                <w:rFonts w:ascii="Arial" w:cs="Arial" w:eastAsia="Arial" w:hAnsi="Arial"/>
                <w:sz w:val="15"/>
                <w:szCs w:val="15"/>
                <w:b w:val="1"/>
                <w:bCs w:val="1"/>
                <w:color w:val="auto"/>
              </w:rPr>
              <w:t>Statement of comprehensive income/(loss)</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
        </w:trPr>
        <w:tc>
          <w:tcPr>
            <w:tcW w:w="9140" w:type="dxa"/>
            <w:vAlign w:val="bottom"/>
            <w:tcBorders>
              <w:bottom w:val="single" w:sz="8" w:color="0A2299"/>
            </w:tcBorders>
          </w:tcPr>
          <w:p>
            <w:pPr>
              <w:spacing w:after="0"/>
              <w:rPr>
                <w:sz w:val="2"/>
                <w:szCs w:val="2"/>
                <w:color w:val="auto"/>
              </w:rPr>
            </w:pPr>
          </w:p>
        </w:tc>
        <w:tc>
          <w:tcPr>
            <w:tcW w:w="1180" w:type="dxa"/>
            <w:vAlign w:val="bottom"/>
            <w:tcBorders>
              <w:bottom w:val="single" w:sz="8" w:color="0A2299"/>
            </w:tcBorders>
          </w:tcPr>
          <w:p>
            <w:pPr>
              <w:spacing w:after="0"/>
              <w:rPr>
                <w:sz w:val="2"/>
                <w:szCs w:val="2"/>
                <w:color w:val="auto"/>
              </w:rPr>
            </w:pPr>
          </w:p>
        </w:tc>
        <w:tc>
          <w:tcPr>
            <w:tcW w:w="900" w:type="dxa"/>
            <w:vAlign w:val="bottom"/>
            <w:tcBorders>
              <w:bottom w:val="single" w:sz="8" w:color="0A2299"/>
            </w:tcBorders>
          </w:tcPr>
          <w:p>
            <w:pPr>
              <w:spacing w:after="0"/>
              <w:rPr>
                <w:sz w:val="2"/>
                <w:szCs w:val="2"/>
                <w:color w:val="auto"/>
              </w:rPr>
            </w:pPr>
          </w:p>
        </w:tc>
      </w:tr>
      <w:tr>
        <w:trPr>
          <w:trHeight w:val="203"/>
        </w:trPr>
        <w:tc>
          <w:tcPr>
            <w:tcW w:w="9140" w:type="dxa"/>
            <w:vAlign w:val="bottom"/>
          </w:tcPr>
          <w:p>
            <w:pPr>
              <w:ind w:left="20"/>
              <w:spacing w:after="0"/>
              <w:rPr>
                <w:sz w:val="20"/>
                <w:szCs w:val="20"/>
                <w:color w:val="auto"/>
              </w:rPr>
            </w:pPr>
            <w:r>
              <w:rPr>
                <w:rFonts w:ascii="Arial" w:cs="Arial" w:eastAsia="Arial" w:hAnsi="Arial"/>
                <w:sz w:val="15"/>
                <w:szCs w:val="15"/>
                <w:color w:val="auto"/>
              </w:rPr>
              <w:t>Revenue</w:t>
            </w:r>
          </w:p>
        </w:tc>
        <w:tc>
          <w:tcPr>
            <w:tcW w:w="1180" w:type="dxa"/>
            <w:vAlign w:val="bottom"/>
          </w:tcPr>
          <w:p>
            <w:pPr>
              <w:jc w:val="right"/>
              <w:ind w:right="367"/>
              <w:spacing w:after="0"/>
              <w:rPr>
                <w:sz w:val="20"/>
                <w:szCs w:val="20"/>
                <w:color w:val="auto"/>
              </w:rPr>
            </w:pPr>
            <w:r>
              <w:rPr>
                <w:rFonts w:ascii="Arial" w:cs="Arial" w:eastAsia="Arial" w:hAnsi="Arial"/>
                <w:sz w:val="15"/>
                <w:szCs w:val="15"/>
                <w:color w:val="183964"/>
              </w:rPr>
              <w:t>—</w:t>
            </w:r>
          </w:p>
        </w:tc>
        <w:tc>
          <w:tcPr>
            <w:tcW w:w="900" w:type="dxa"/>
            <w:vAlign w:val="bottom"/>
          </w:tcPr>
          <w:p>
            <w:pPr>
              <w:jc w:val="right"/>
              <w:spacing w:after="0"/>
              <w:rPr>
                <w:sz w:val="20"/>
                <w:szCs w:val="20"/>
                <w:color w:val="auto"/>
              </w:rPr>
            </w:pPr>
            <w:r>
              <w:rPr>
                <w:rFonts w:ascii="Arial" w:cs="Arial" w:eastAsia="Arial" w:hAnsi="Arial"/>
                <w:sz w:val="15"/>
                <w:szCs w:val="15"/>
                <w:color w:val="183964"/>
              </w:rPr>
              <w:t>—</w:t>
            </w:r>
          </w:p>
        </w:tc>
      </w:tr>
      <w:tr>
        <w:trPr>
          <w:trHeight w:val="251"/>
        </w:trPr>
        <w:tc>
          <w:tcPr>
            <w:tcW w:w="9140" w:type="dxa"/>
            <w:vAlign w:val="bottom"/>
          </w:tcPr>
          <w:p>
            <w:pPr>
              <w:ind w:left="20"/>
              <w:spacing w:after="0"/>
              <w:rPr>
                <w:sz w:val="20"/>
                <w:szCs w:val="20"/>
                <w:color w:val="auto"/>
              </w:rPr>
            </w:pPr>
            <w:r>
              <w:rPr>
                <w:rFonts w:ascii="Arial" w:cs="Arial" w:eastAsia="Arial" w:hAnsi="Arial"/>
                <w:sz w:val="15"/>
                <w:szCs w:val="15"/>
                <w:color w:val="auto"/>
              </w:rPr>
              <w:t>Income/(loss) from continuing operations (100%)</w:t>
            </w:r>
          </w:p>
        </w:tc>
        <w:tc>
          <w:tcPr>
            <w:tcW w:w="1180" w:type="dxa"/>
            <w:vAlign w:val="bottom"/>
          </w:tcPr>
          <w:p>
            <w:pPr>
              <w:jc w:val="right"/>
              <w:ind w:right="427"/>
              <w:spacing w:after="0"/>
              <w:rPr>
                <w:sz w:val="20"/>
                <w:szCs w:val="20"/>
                <w:color w:val="auto"/>
              </w:rPr>
            </w:pPr>
            <w:r>
              <w:rPr>
                <w:rFonts w:ascii="Arial" w:cs="Arial" w:eastAsia="Arial" w:hAnsi="Arial"/>
                <w:sz w:val="15"/>
                <w:szCs w:val="15"/>
                <w:b w:val="1"/>
                <w:bCs w:val="1"/>
                <w:color w:val="auto"/>
              </w:rPr>
              <w:t>(69,334)</w:t>
            </w:r>
          </w:p>
        </w:tc>
        <w:tc>
          <w:tcPr>
            <w:tcW w:w="900" w:type="dxa"/>
            <w:vAlign w:val="bottom"/>
          </w:tcPr>
          <w:p>
            <w:pPr>
              <w:jc w:val="right"/>
              <w:spacing w:after="0"/>
              <w:rPr>
                <w:sz w:val="20"/>
                <w:szCs w:val="20"/>
                <w:color w:val="auto"/>
              </w:rPr>
            </w:pPr>
            <w:r>
              <w:rPr>
                <w:rFonts w:ascii="Arial" w:cs="Arial" w:eastAsia="Arial" w:hAnsi="Arial"/>
                <w:sz w:val="15"/>
                <w:szCs w:val="15"/>
                <w:color w:val="183964"/>
              </w:rPr>
              <w:t>—</w:t>
            </w:r>
          </w:p>
        </w:tc>
      </w:tr>
      <w:tr>
        <w:trPr>
          <w:trHeight w:val="243"/>
        </w:trPr>
        <w:tc>
          <w:tcPr>
            <w:tcW w:w="9140" w:type="dxa"/>
            <w:vAlign w:val="bottom"/>
          </w:tcPr>
          <w:p>
            <w:pPr>
              <w:ind w:left="20"/>
              <w:spacing w:after="0"/>
              <w:rPr>
                <w:sz w:val="20"/>
                <w:szCs w:val="20"/>
                <w:color w:val="auto"/>
              </w:rPr>
            </w:pPr>
            <w:r>
              <w:rPr>
                <w:rFonts w:ascii="Arial" w:cs="Arial" w:eastAsia="Arial" w:hAnsi="Arial"/>
                <w:sz w:val="15"/>
                <w:szCs w:val="15"/>
                <w:color w:val="auto"/>
              </w:rPr>
              <w:t>Income/(loss) for the year</w:t>
            </w:r>
          </w:p>
        </w:tc>
        <w:tc>
          <w:tcPr>
            <w:tcW w:w="1180" w:type="dxa"/>
            <w:vAlign w:val="bottom"/>
          </w:tcPr>
          <w:p>
            <w:pPr>
              <w:jc w:val="right"/>
              <w:ind w:right="427"/>
              <w:spacing w:after="0"/>
              <w:rPr>
                <w:sz w:val="20"/>
                <w:szCs w:val="20"/>
                <w:color w:val="auto"/>
              </w:rPr>
            </w:pPr>
            <w:r>
              <w:rPr>
                <w:rFonts w:ascii="Arial" w:cs="Arial" w:eastAsia="Arial" w:hAnsi="Arial"/>
                <w:sz w:val="15"/>
                <w:szCs w:val="15"/>
                <w:b w:val="1"/>
                <w:bCs w:val="1"/>
                <w:color w:val="auto"/>
              </w:rPr>
              <w:t>(69,334)</w:t>
            </w:r>
          </w:p>
        </w:tc>
        <w:tc>
          <w:tcPr>
            <w:tcW w:w="900" w:type="dxa"/>
            <w:vAlign w:val="bottom"/>
          </w:tcPr>
          <w:p>
            <w:pPr>
              <w:jc w:val="right"/>
              <w:spacing w:after="0"/>
              <w:rPr>
                <w:sz w:val="20"/>
                <w:szCs w:val="20"/>
                <w:color w:val="auto"/>
              </w:rPr>
            </w:pPr>
            <w:r>
              <w:rPr>
                <w:rFonts w:ascii="Arial" w:cs="Arial" w:eastAsia="Arial" w:hAnsi="Arial"/>
                <w:sz w:val="15"/>
                <w:szCs w:val="15"/>
                <w:color w:val="183964"/>
              </w:rPr>
              <w:t>—</w:t>
            </w:r>
          </w:p>
        </w:tc>
      </w:tr>
      <w:tr>
        <w:trPr>
          <w:trHeight w:val="243"/>
        </w:trPr>
        <w:tc>
          <w:tcPr>
            <w:tcW w:w="9140" w:type="dxa"/>
            <w:vAlign w:val="bottom"/>
          </w:tcPr>
          <w:p>
            <w:pPr>
              <w:ind w:left="20"/>
              <w:spacing w:after="0"/>
              <w:rPr>
                <w:sz w:val="20"/>
                <w:szCs w:val="20"/>
                <w:color w:val="auto"/>
              </w:rPr>
            </w:pPr>
            <w:r>
              <w:rPr>
                <w:rFonts w:ascii="Arial" w:cs="Arial" w:eastAsia="Arial" w:hAnsi="Arial"/>
                <w:sz w:val="15"/>
                <w:szCs w:val="15"/>
                <w:color w:val="auto"/>
              </w:rPr>
              <w:t>Other comprehensive income/(loss)</w:t>
            </w:r>
          </w:p>
        </w:tc>
        <w:tc>
          <w:tcPr>
            <w:tcW w:w="1180" w:type="dxa"/>
            <w:vAlign w:val="bottom"/>
          </w:tcPr>
          <w:p>
            <w:pPr>
              <w:jc w:val="right"/>
              <w:ind w:right="427"/>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183964"/>
              </w:rPr>
              <w:t>—</w:t>
            </w:r>
          </w:p>
        </w:tc>
      </w:tr>
      <w:tr>
        <w:trPr>
          <w:trHeight w:val="243"/>
        </w:trPr>
        <w:tc>
          <w:tcPr>
            <w:tcW w:w="9140" w:type="dxa"/>
            <w:vAlign w:val="bottom"/>
          </w:tcPr>
          <w:p>
            <w:pPr>
              <w:ind w:left="20"/>
              <w:spacing w:after="0"/>
              <w:rPr>
                <w:sz w:val="20"/>
                <w:szCs w:val="20"/>
                <w:color w:val="auto"/>
              </w:rPr>
            </w:pPr>
            <w:r>
              <w:rPr>
                <w:rFonts w:ascii="Arial" w:cs="Arial" w:eastAsia="Arial" w:hAnsi="Arial"/>
                <w:sz w:val="15"/>
                <w:szCs w:val="15"/>
                <w:color w:val="auto"/>
              </w:rPr>
              <w:t>Total comprehensive income/(loss)</w:t>
            </w:r>
          </w:p>
        </w:tc>
        <w:tc>
          <w:tcPr>
            <w:tcW w:w="1180" w:type="dxa"/>
            <w:vAlign w:val="bottom"/>
          </w:tcPr>
          <w:p>
            <w:pPr>
              <w:jc w:val="right"/>
              <w:ind w:right="327"/>
              <w:spacing w:after="0"/>
              <w:rPr>
                <w:sz w:val="20"/>
                <w:szCs w:val="20"/>
                <w:color w:val="auto"/>
              </w:rPr>
            </w:pPr>
            <w:r>
              <w:rPr>
                <w:rFonts w:ascii="Arial" w:cs="Arial" w:eastAsia="Arial" w:hAnsi="Arial"/>
                <w:sz w:val="15"/>
                <w:szCs w:val="15"/>
                <w:b w:val="1"/>
                <w:bCs w:val="1"/>
                <w:color w:val="auto"/>
              </w:rPr>
              <w:t>(69,334)</w:t>
            </w:r>
          </w:p>
        </w:tc>
        <w:tc>
          <w:tcPr>
            <w:tcW w:w="900" w:type="dxa"/>
            <w:vAlign w:val="bottom"/>
          </w:tcPr>
          <w:p>
            <w:pPr>
              <w:jc w:val="right"/>
              <w:spacing w:after="0"/>
              <w:rPr>
                <w:sz w:val="20"/>
                <w:szCs w:val="20"/>
                <w:color w:val="auto"/>
              </w:rPr>
            </w:pPr>
            <w:r>
              <w:rPr>
                <w:rFonts w:ascii="Arial" w:cs="Arial" w:eastAsia="Arial" w:hAnsi="Arial"/>
                <w:sz w:val="15"/>
                <w:szCs w:val="15"/>
                <w:color w:val="183964"/>
              </w:rPr>
              <w:t>—</w:t>
            </w:r>
          </w:p>
        </w:tc>
      </w:tr>
      <w:tr>
        <w:trPr>
          <w:trHeight w:val="243"/>
        </w:trPr>
        <w:tc>
          <w:tcPr>
            <w:tcW w:w="9140" w:type="dxa"/>
            <w:vAlign w:val="bottom"/>
          </w:tcPr>
          <w:p>
            <w:pPr>
              <w:ind w:left="20"/>
              <w:spacing w:after="0"/>
              <w:rPr>
                <w:sz w:val="20"/>
                <w:szCs w:val="20"/>
                <w:color w:val="auto"/>
              </w:rPr>
            </w:pPr>
            <w:r>
              <w:rPr>
                <w:rFonts w:ascii="Arial" w:cs="Arial" w:eastAsia="Arial" w:hAnsi="Arial"/>
                <w:sz w:val="15"/>
                <w:szCs w:val="15"/>
                <w:color w:val="auto"/>
              </w:rPr>
              <w:t>Dividends received from associate</w:t>
            </w:r>
          </w:p>
        </w:tc>
        <w:tc>
          <w:tcPr>
            <w:tcW w:w="1180" w:type="dxa"/>
            <w:vAlign w:val="bottom"/>
          </w:tcPr>
          <w:p>
            <w:pPr>
              <w:jc w:val="right"/>
              <w:ind w:right="427"/>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183964"/>
              </w:rPr>
              <w:t>—</w:t>
            </w:r>
          </w:p>
        </w:tc>
      </w:tr>
      <w:tr>
        <w:trPr>
          <w:trHeight w:val="25"/>
        </w:trPr>
        <w:tc>
          <w:tcPr>
            <w:tcW w:w="9140" w:type="dxa"/>
            <w:vAlign w:val="bottom"/>
            <w:tcBorders>
              <w:bottom w:val="single" w:sz="8" w:color="001544"/>
            </w:tcBorders>
          </w:tcPr>
          <w:p>
            <w:pPr>
              <w:spacing w:after="0"/>
              <w:rPr>
                <w:sz w:val="2"/>
                <w:szCs w:val="2"/>
                <w:color w:val="auto"/>
              </w:rPr>
            </w:pPr>
          </w:p>
        </w:tc>
        <w:tc>
          <w:tcPr>
            <w:tcW w:w="1180" w:type="dxa"/>
            <w:vAlign w:val="bottom"/>
            <w:tcBorders>
              <w:bottom w:val="single" w:sz="8" w:color="001544"/>
            </w:tcBorders>
          </w:tcPr>
          <w:p>
            <w:pPr>
              <w:spacing w:after="0"/>
              <w:rPr>
                <w:sz w:val="2"/>
                <w:szCs w:val="2"/>
                <w:color w:val="auto"/>
              </w:rPr>
            </w:pPr>
          </w:p>
        </w:tc>
        <w:tc>
          <w:tcPr>
            <w:tcW w:w="900" w:type="dxa"/>
            <w:vAlign w:val="bottom"/>
            <w:tcBorders>
              <w:bottom w:val="single" w:sz="8" w:color="001544"/>
            </w:tcBorders>
          </w:tcPr>
          <w:p>
            <w:pPr>
              <w:spacing w:after="0"/>
              <w:rPr>
                <w:sz w:val="2"/>
                <w:szCs w:val="2"/>
                <w:color w:val="auto"/>
              </w:rPr>
            </w:pPr>
          </w:p>
        </w:tc>
      </w:tr>
      <w:tr>
        <w:trPr>
          <w:trHeight w:val="211"/>
        </w:trPr>
        <w:tc>
          <w:tcPr>
            <w:tcW w:w="9140" w:type="dxa"/>
            <w:vAlign w:val="bottom"/>
          </w:tcPr>
          <w:p>
            <w:pPr>
              <w:ind w:left="20"/>
              <w:spacing w:after="0"/>
              <w:rPr>
                <w:sz w:val="20"/>
                <w:szCs w:val="20"/>
                <w:color w:val="auto"/>
              </w:rPr>
            </w:pPr>
            <w:r>
              <w:rPr>
                <w:rFonts w:ascii="Arial" w:cs="Arial" w:eastAsia="Arial" w:hAnsi="Arial"/>
                <w:sz w:val="15"/>
                <w:szCs w:val="15"/>
                <w:b w:val="1"/>
                <w:bCs w:val="1"/>
                <w:color w:val="auto"/>
              </w:rPr>
              <w:t>Group's share in net income/ (loss)</w:t>
            </w:r>
          </w:p>
        </w:tc>
        <w:tc>
          <w:tcPr>
            <w:tcW w:w="1180" w:type="dxa"/>
            <w:vAlign w:val="bottom"/>
          </w:tcPr>
          <w:p>
            <w:pPr>
              <w:jc w:val="right"/>
              <w:ind w:right="327"/>
              <w:spacing w:after="0"/>
              <w:rPr>
                <w:sz w:val="20"/>
                <w:szCs w:val="20"/>
                <w:color w:val="auto"/>
              </w:rPr>
            </w:pPr>
            <w:r>
              <w:rPr>
                <w:rFonts w:ascii="Arial" w:cs="Arial" w:eastAsia="Arial" w:hAnsi="Arial"/>
                <w:sz w:val="15"/>
                <w:szCs w:val="15"/>
                <w:b w:val="1"/>
                <w:bCs w:val="1"/>
                <w:color w:val="auto"/>
              </w:rPr>
              <w:t>(8,962)</w:t>
            </w:r>
          </w:p>
        </w:tc>
        <w:tc>
          <w:tcPr>
            <w:tcW w:w="900" w:type="dxa"/>
            <w:vAlign w:val="bottom"/>
          </w:tcPr>
          <w:p>
            <w:pPr>
              <w:jc w:val="right"/>
              <w:spacing w:after="0"/>
              <w:rPr>
                <w:sz w:val="20"/>
                <w:szCs w:val="20"/>
                <w:color w:val="auto"/>
              </w:rPr>
            </w:pPr>
            <w:r>
              <w:rPr>
                <w:rFonts w:ascii="Arial" w:cs="Arial" w:eastAsia="Arial" w:hAnsi="Arial"/>
                <w:sz w:val="15"/>
                <w:szCs w:val="15"/>
                <w:color w:val="183964"/>
              </w:rPr>
              <w:t>—</w:t>
            </w:r>
          </w:p>
        </w:tc>
      </w:tr>
      <w:tr>
        <w:trPr>
          <w:trHeight w:val="25"/>
        </w:trPr>
        <w:tc>
          <w:tcPr>
            <w:tcW w:w="9140" w:type="dxa"/>
            <w:vAlign w:val="bottom"/>
            <w:tcBorders>
              <w:bottom w:val="single" w:sz="8" w:color="001544"/>
            </w:tcBorders>
          </w:tcPr>
          <w:p>
            <w:pPr>
              <w:spacing w:after="0"/>
              <w:rPr>
                <w:sz w:val="2"/>
                <w:szCs w:val="2"/>
                <w:color w:val="auto"/>
              </w:rPr>
            </w:pPr>
          </w:p>
        </w:tc>
        <w:tc>
          <w:tcPr>
            <w:tcW w:w="1180" w:type="dxa"/>
            <w:vAlign w:val="bottom"/>
            <w:tcBorders>
              <w:bottom w:val="single" w:sz="8" w:color="001544"/>
            </w:tcBorders>
          </w:tcPr>
          <w:p>
            <w:pPr>
              <w:spacing w:after="0"/>
              <w:rPr>
                <w:sz w:val="2"/>
                <w:szCs w:val="2"/>
                <w:color w:val="auto"/>
              </w:rPr>
            </w:pPr>
          </w:p>
        </w:tc>
        <w:tc>
          <w:tcPr>
            <w:tcW w:w="900" w:type="dxa"/>
            <w:vAlign w:val="bottom"/>
            <w:tcBorders>
              <w:bottom w:val="single" w:sz="8" w:color="001544"/>
            </w:tcBorders>
          </w:tcPr>
          <w:p>
            <w:pPr>
              <w:spacing w:after="0"/>
              <w:rPr>
                <w:sz w:val="2"/>
                <w:szCs w:val="2"/>
                <w:color w:val="auto"/>
              </w:rPr>
            </w:pPr>
          </w:p>
        </w:tc>
      </w:tr>
      <w:tr>
        <w:trPr>
          <w:trHeight w:val="352"/>
        </w:trPr>
        <w:tc>
          <w:tcPr>
            <w:tcW w:w="9140" w:type="dxa"/>
            <w:vAlign w:val="bottom"/>
          </w:tcPr>
          <w:p>
            <w:pPr>
              <w:spacing w:after="0"/>
              <w:rPr>
                <w:sz w:val="20"/>
                <w:szCs w:val="20"/>
                <w:color w:val="auto"/>
              </w:rPr>
            </w:pPr>
            <w:r>
              <w:rPr>
                <w:rFonts w:ascii="Arial" w:cs="Arial" w:eastAsia="Arial" w:hAnsi="Arial"/>
                <w:sz w:val="15"/>
                <w:szCs w:val="15"/>
                <w:color w:val="auto"/>
              </w:rPr>
              <w:t>The following table summarizes the activities related to the investment in associates balance for the six months ended June 30, 2025.</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9"/>
        </w:trPr>
        <w:tc>
          <w:tcPr>
            <w:tcW w:w="9140" w:type="dxa"/>
            <w:vAlign w:val="bottom"/>
          </w:tcPr>
          <w:p>
            <w:pPr>
              <w:ind w:left="20"/>
              <w:spacing w:after="0"/>
              <w:rPr>
                <w:sz w:val="20"/>
                <w:szCs w:val="20"/>
                <w:color w:val="auto"/>
              </w:rPr>
            </w:pPr>
            <w:r>
              <w:rPr>
                <w:rFonts w:ascii="Arial" w:cs="Arial" w:eastAsia="Arial" w:hAnsi="Arial"/>
                <w:sz w:val="13"/>
                <w:szCs w:val="13"/>
                <w:color w:val="auto"/>
              </w:rPr>
              <w:t>Investment in associates</w:t>
            </w:r>
          </w:p>
        </w:tc>
        <w:tc>
          <w:tcPr>
            <w:tcW w:w="1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183964"/>
              </w:rPr>
              <w:t>$</w:t>
            </w:r>
          </w:p>
        </w:tc>
      </w:tr>
      <w:tr>
        <w:trPr>
          <w:trHeight w:val="28"/>
        </w:trPr>
        <w:tc>
          <w:tcPr>
            <w:tcW w:w="9140" w:type="dxa"/>
            <w:vAlign w:val="bottom"/>
            <w:tcBorders>
              <w:bottom w:val="single" w:sz="8" w:color="001544"/>
            </w:tcBorders>
          </w:tcPr>
          <w:p>
            <w:pPr>
              <w:spacing w:after="0"/>
              <w:rPr>
                <w:sz w:val="2"/>
                <w:szCs w:val="2"/>
                <w:color w:val="auto"/>
              </w:rPr>
            </w:pPr>
          </w:p>
        </w:tc>
        <w:tc>
          <w:tcPr>
            <w:tcW w:w="1180" w:type="dxa"/>
            <w:vAlign w:val="bottom"/>
            <w:tcBorders>
              <w:bottom w:val="single" w:sz="8" w:color="001544"/>
            </w:tcBorders>
          </w:tcPr>
          <w:p>
            <w:pPr>
              <w:spacing w:after="0"/>
              <w:rPr>
                <w:sz w:val="2"/>
                <w:szCs w:val="2"/>
                <w:color w:val="auto"/>
              </w:rPr>
            </w:pPr>
          </w:p>
        </w:tc>
        <w:tc>
          <w:tcPr>
            <w:tcW w:w="900" w:type="dxa"/>
            <w:vAlign w:val="bottom"/>
            <w:tcBorders>
              <w:bottom w:val="single" w:sz="8" w:color="001544"/>
            </w:tcBorders>
          </w:tcPr>
          <w:p>
            <w:pPr>
              <w:spacing w:after="0"/>
              <w:rPr>
                <w:sz w:val="2"/>
                <w:szCs w:val="2"/>
                <w:color w:val="auto"/>
              </w:rPr>
            </w:pPr>
          </w:p>
        </w:tc>
      </w:tr>
      <w:tr>
        <w:trPr>
          <w:trHeight w:val="211"/>
        </w:trPr>
        <w:tc>
          <w:tcPr>
            <w:tcW w:w="9140" w:type="dxa"/>
            <w:vAlign w:val="bottom"/>
          </w:tcPr>
          <w:p>
            <w:pPr>
              <w:ind w:left="20"/>
              <w:spacing w:after="0"/>
              <w:rPr>
                <w:sz w:val="20"/>
                <w:szCs w:val="20"/>
                <w:color w:val="auto"/>
              </w:rPr>
            </w:pPr>
            <w:r>
              <w:rPr>
                <w:rFonts w:ascii="Arial" w:cs="Arial" w:eastAsia="Arial" w:hAnsi="Arial"/>
                <w:sz w:val="15"/>
                <w:szCs w:val="15"/>
                <w:b w:val="1"/>
                <w:bCs w:val="1"/>
                <w:color w:val="auto"/>
              </w:rPr>
              <w:t>Balance as of December 31, 2024 and January 1, 2025</w:t>
            </w:r>
          </w:p>
        </w:tc>
        <w:tc>
          <w:tcPr>
            <w:tcW w:w="1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2,397</w:t>
            </w:r>
          </w:p>
        </w:tc>
      </w:tr>
      <w:tr>
        <w:trPr>
          <w:trHeight w:val="25"/>
        </w:trPr>
        <w:tc>
          <w:tcPr>
            <w:tcW w:w="9140" w:type="dxa"/>
            <w:vAlign w:val="bottom"/>
            <w:tcBorders>
              <w:bottom w:val="single" w:sz="8" w:color="001544"/>
            </w:tcBorders>
          </w:tcPr>
          <w:p>
            <w:pPr>
              <w:spacing w:after="0"/>
              <w:rPr>
                <w:sz w:val="2"/>
                <w:szCs w:val="2"/>
                <w:color w:val="auto"/>
              </w:rPr>
            </w:pPr>
          </w:p>
        </w:tc>
        <w:tc>
          <w:tcPr>
            <w:tcW w:w="1180" w:type="dxa"/>
            <w:vAlign w:val="bottom"/>
            <w:tcBorders>
              <w:bottom w:val="single" w:sz="8" w:color="001544"/>
            </w:tcBorders>
          </w:tcPr>
          <w:p>
            <w:pPr>
              <w:spacing w:after="0"/>
              <w:rPr>
                <w:sz w:val="2"/>
                <w:szCs w:val="2"/>
                <w:color w:val="auto"/>
              </w:rPr>
            </w:pPr>
          </w:p>
        </w:tc>
        <w:tc>
          <w:tcPr>
            <w:tcW w:w="900" w:type="dxa"/>
            <w:vAlign w:val="bottom"/>
            <w:tcBorders>
              <w:bottom w:val="single" w:sz="8" w:color="001544"/>
            </w:tcBorders>
          </w:tcPr>
          <w:p>
            <w:pPr>
              <w:spacing w:after="0"/>
              <w:rPr>
                <w:sz w:val="2"/>
                <w:szCs w:val="2"/>
                <w:color w:val="auto"/>
              </w:rPr>
            </w:pPr>
          </w:p>
        </w:tc>
      </w:tr>
      <w:tr>
        <w:trPr>
          <w:trHeight w:val="203"/>
        </w:trPr>
        <w:tc>
          <w:tcPr>
            <w:tcW w:w="9140" w:type="dxa"/>
            <w:vAlign w:val="bottom"/>
          </w:tcPr>
          <w:p>
            <w:pPr>
              <w:ind w:left="20"/>
              <w:spacing w:after="0"/>
              <w:rPr>
                <w:sz w:val="20"/>
                <w:szCs w:val="20"/>
                <w:color w:val="auto"/>
              </w:rPr>
            </w:pPr>
            <w:r>
              <w:rPr>
                <w:rFonts w:ascii="Arial" w:cs="Arial" w:eastAsia="Arial" w:hAnsi="Arial"/>
                <w:sz w:val="15"/>
                <w:szCs w:val="15"/>
                <w:color w:val="auto"/>
              </w:rPr>
              <w:t>Gain on dilution of interest in associate</w:t>
            </w:r>
          </w:p>
        </w:tc>
        <w:tc>
          <w:tcPr>
            <w:tcW w:w="1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708</w:t>
            </w:r>
          </w:p>
        </w:tc>
      </w:tr>
      <w:tr>
        <w:trPr>
          <w:trHeight w:val="243"/>
        </w:trPr>
        <w:tc>
          <w:tcPr>
            <w:tcW w:w="9140" w:type="dxa"/>
            <w:vAlign w:val="bottom"/>
          </w:tcPr>
          <w:p>
            <w:pPr>
              <w:ind w:left="20"/>
              <w:spacing w:after="0"/>
              <w:rPr>
                <w:sz w:val="20"/>
                <w:szCs w:val="20"/>
                <w:color w:val="auto"/>
              </w:rPr>
            </w:pPr>
            <w:r>
              <w:rPr>
                <w:rFonts w:ascii="Arial" w:cs="Arial" w:eastAsia="Arial" w:hAnsi="Arial"/>
                <w:sz w:val="15"/>
                <w:szCs w:val="15"/>
                <w:color w:val="auto"/>
              </w:rPr>
              <w:t>Share in net profit/(loss) of associates - limited to net investment amount</w:t>
            </w:r>
          </w:p>
        </w:tc>
        <w:tc>
          <w:tcPr>
            <w:tcW w:w="1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(3,105)</w:t>
            </w:r>
          </w:p>
        </w:tc>
      </w:tr>
      <w:tr>
        <w:trPr>
          <w:trHeight w:val="33"/>
        </w:trPr>
        <w:tc>
          <w:tcPr>
            <w:tcW w:w="9140" w:type="dxa"/>
            <w:vAlign w:val="bottom"/>
            <w:tcBorders>
              <w:bottom w:val="single" w:sz="8" w:color="001544"/>
            </w:tcBorders>
          </w:tcPr>
          <w:p>
            <w:pPr>
              <w:spacing w:after="0"/>
              <w:rPr>
                <w:sz w:val="2"/>
                <w:szCs w:val="2"/>
                <w:color w:val="auto"/>
              </w:rPr>
            </w:pPr>
          </w:p>
        </w:tc>
        <w:tc>
          <w:tcPr>
            <w:tcW w:w="1180" w:type="dxa"/>
            <w:vAlign w:val="bottom"/>
            <w:tcBorders>
              <w:bottom w:val="single" w:sz="8" w:color="001544"/>
            </w:tcBorders>
          </w:tcPr>
          <w:p>
            <w:pPr>
              <w:spacing w:after="0"/>
              <w:rPr>
                <w:sz w:val="2"/>
                <w:szCs w:val="2"/>
                <w:color w:val="auto"/>
              </w:rPr>
            </w:pPr>
          </w:p>
        </w:tc>
        <w:tc>
          <w:tcPr>
            <w:tcW w:w="900" w:type="dxa"/>
            <w:vAlign w:val="bottom"/>
            <w:tcBorders>
              <w:bottom w:val="single" w:sz="8" w:color="001544"/>
            </w:tcBorders>
          </w:tcPr>
          <w:p>
            <w:pPr>
              <w:spacing w:after="0"/>
              <w:rPr>
                <w:sz w:val="2"/>
                <w:szCs w:val="2"/>
                <w:color w:val="auto"/>
              </w:rPr>
            </w:pPr>
          </w:p>
        </w:tc>
      </w:tr>
      <w:tr>
        <w:trPr>
          <w:trHeight w:val="212"/>
        </w:trPr>
        <w:tc>
          <w:tcPr>
            <w:tcW w:w="9140" w:type="dxa"/>
            <w:vAlign w:val="bottom"/>
          </w:tcPr>
          <w:p>
            <w:pPr>
              <w:ind w:left="20"/>
              <w:spacing w:after="0"/>
              <w:rPr>
                <w:sz w:val="20"/>
                <w:szCs w:val="20"/>
                <w:color w:val="auto"/>
              </w:rPr>
            </w:pPr>
            <w:r>
              <w:rPr>
                <w:rFonts w:ascii="Arial" w:cs="Arial" w:eastAsia="Arial" w:hAnsi="Arial"/>
                <w:sz w:val="15"/>
                <w:szCs w:val="15"/>
                <w:b w:val="1"/>
                <w:bCs w:val="1"/>
                <w:color w:val="auto"/>
              </w:rPr>
              <w:t>Balance as of June 30, 2025</w:t>
            </w:r>
          </w:p>
        </w:tc>
        <w:tc>
          <w:tcPr>
            <w:tcW w:w="1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25"/>
        </w:trPr>
        <w:tc>
          <w:tcPr>
            <w:tcW w:w="9140" w:type="dxa"/>
            <w:vAlign w:val="bottom"/>
            <w:tcBorders>
              <w:bottom w:val="single" w:sz="8" w:color="001544"/>
            </w:tcBorders>
          </w:tcPr>
          <w:p>
            <w:pPr>
              <w:spacing w:after="0"/>
              <w:rPr>
                <w:sz w:val="2"/>
                <w:szCs w:val="2"/>
                <w:color w:val="auto"/>
              </w:rPr>
            </w:pPr>
          </w:p>
        </w:tc>
        <w:tc>
          <w:tcPr>
            <w:tcW w:w="1180" w:type="dxa"/>
            <w:vAlign w:val="bottom"/>
            <w:tcBorders>
              <w:bottom w:val="single" w:sz="8" w:color="001544"/>
            </w:tcBorders>
          </w:tcPr>
          <w:p>
            <w:pPr>
              <w:spacing w:after="0"/>
              <w:rPr>
                <w:sz w:val="2"/>
                <w:szCs w:val="2"/>
                <w:color w:val="auto"/>
              </w:rPr>
            </w:pPr>
          </w:p>
        </w:tc>
        <w:tc>
          <w:tcPr>
            <w:tcW w:w="900" w:type="dxa"/>
            <w:vAlign w:val="bottom"/>
            <w:tcBorders>
              <w:bottom w:val="single" w:sz="8" w:color="001544"/>
            </w:tcBorders>
          </w:tcPr>
          <w:p>
            <w:pPr>
              <w:spacing w:after="0"/>
              <w:rPr>
                <w:sz w:val="2"/>
                <w:szCs w:val="2"/>
                <w:color w:val="auto"/>
              </w:rPr>
            </w:pPr>
          </w:p>
        </w:tc>
      </w:tr>
    </w:tbl>
    <w:p>
      <w:pPr>
        <w:sectPr>
          <w:pgSz w:w="11900" w:h="16838" w:orient="portrait"/>
          <w:cols w:equalWidth="0" w:num="1">
            <w:col w:w="11220"/>
          </w:cols>
          <w:pgMar w:left="320" w:top="1322" w:right="359" w:bottom="1440" w:gutter="0" w:footer="0" w:header="0"/>
        </w:sectPr>
      </w:pPr>
    </w:p>
    <w:bookmarkStart w:id="32" w:name="page33"/>
    <w:bookmarkEnd w:id="32"/>
    <w:p>
      <w:pPr>
        <w:ind w:left="340" w:hanging="332"/>
        <w:spacing w:after="0"/>
        <w:tabs>
          <w:tab w:leader="none" w:pos="340" w:val="left"/>
        </w:tabs>
        <w:numPr>
          <w:ilvl w:val="0"/>
          <w:numId w:val="20"/>
        </w:numPr>
        <w:rPr>
          <w:rFonts w:ascii="Arial" w:cs="Arial" w:eastAsia="Arial" w:hAnsi="Arial"/>
          <w:sz w:val="15"/>
          <w:szCs w:val="15"/>
          <w:b w:val="1"/>
          <w:bCs w:val="1"/>
          <w:color w:val="183964"/>
        </w:rPr>
      </w:pPr>
      <w:r>
        <w:rPr>
          <w:rFonts w:ascii="Arial" w:cs="Arial" w:eastAsia="Arial" w:hAnsi="Arial"/>
          <w:sz w:val="15"/>
          <w:szCs w:val="15"/>
          <w:b w:val="1"/>
          <w:bCs w:val="1"/>
          <w:color w:val="183964"/>
        </w:rPr>
        <w:t>Investment in Notes from Associates</w:t>
      </w:r>
    </w:p>
    <w:p>
      <w:pPr>
        <w:spacing w:after="0" w:line="100" w:lineRule="exact"/>
        <w:rPr>
          <w:sz w:val="20"/>
          <w:szCs w:val="20"/>
          <w:color w:val="auto"/>
        </w:rPr>
      </w:pPr>
    </w:p>
    <w:p>
      <w:pPr>
        <w:ind w:right="180"/>
        <w:spacing w:after="0" w:line="273" w:lineRule="auto"/>
        <w:rPr>
          <w:sz w:val="20"/>
          <w:szCs w:val="20"/>
          <w:color w:val="auto"/>
        </w:rPr>
      </w:pPr>
      <w:r>
        <w:rPr>
          <w:rFonts w:ascii="Arial" w:cs="Arial" w:eastAsia="Arial" w:hAnsi="Arial"/>
          <w:sz w:val="15"/>
          <w:szCs w:val="15"/>
          <w:color w:val="auto"/>
        </w:rPr>
        <w:t>The following is the activity in respect of investments in notes from associates during the period. The fair value of the notes from associates of $14,005 and $17,731 as of June 30, 2025 and December 31, 2024, respectively, is determined using unobservable Level 3 inputs. See Note 13. Financial Instruments for additional information.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920" w:type="dxa"/>
            <w:vAlign w:val="bottom"/>
          </w:tcPr>
          <w:p>
            <w:pPr>
              <w:ind w:left="20"/>
              <w:spacing w:after="0"/>
              <w:rPr>
                <w:sz w:val="20"/>
                <w:szCs w:val="20"/>
                <w:color w:val="auto"/>
              </w:rPr>
            </w:pPr>
            <w:r>
              <w:rPr>
                <w:rFonts w:ascii="Arial" w:cs="Arial" w:eastAsia="Arial" w:hAnsi="Arial"/>
                <w:sz w:val="13"/>
                <w:szCs w:val="13"/>
                <w:color w:val="auto"/>
              </w:rPr>
              <w:t>Investment in notes from associates</w:t>
            </w:r>
          </w:p>
        </w:tc>
        <w:tc>
          <w:tcPr>
            <w:tcW w:w="1300" w:type="dxa"/>
            <w:vAlign w:val="bottom"/>
          </w:tcPr>
          <w:p>
            <w:pPr>
              <w:jc w:val="right"/>
              <w:spacing w:after="0"/>
              <w:rPr>
                <w:sz w:val="20"/>
                <w:szCs w:val="20"/>
                <w:color w:val="auto"/>
              </w:rPr>
            </w:pPr>
            <w:r>
              <w:rPr>
                <w:rFonts w:ascii="Arial" w:cs="Arial" w:eastAsia="Arial" w:hAnsi="Arial"/>
                <w:sz w:val="13"/>
                <w:szCs w:val="13"/>
                <w:color w:val="183964"/>
              </w:rPr>
              <w:t>$</w:t>
            </w:r>
          </w:p>
        </w:tc>
      </w:tr>
      <w:tr>
        <w:trPr>
          <w:trHeight w:val="28"/>
        </w:trPr>
        <w:tc>
          <w:tcPr>
            <w:tcW w:w="992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r>
      <w:tr>
        <w:trPr>
          <w:trHeight w:val="212"/>
        </w:trPr>
        <w:tc>
          <w:tcPr>
            <w:tcW w:w="9920" w:type="dxa"/>
            <w:vAlign w:val="bottom"/>
          </w:tcPr>
          <w:p>
            <w:pPr>
              <w:ind w:left="20"/>
              <w:spacing w:after="0"/>
              <w:rPr>
                <w:sz w:val="20"/>
                <w:szCs w:val="20"/>
                <w:color w:val="auto"/>
              </w:rPr>
            </w:pPr>
            <w:r>
              <w:rPr>
                <w:rFonts w:ascii="Arial" w:cs="Arial" w:eastAsia="Arial" w:hAnsi="Arial"/>
                <w:sz w:val="15"/>
                <w:szCs w:val="15"/>
                <w:b w:val="1"/>
                <w:bCs w:val="1"/>
                <w:color w:val="auto"/>
              </w:rPr>
              <w:t>Balance as of December 31, 2024 and January 1, 2025</w:t>
            </w:r>
          </w:p>
        </w:tc>
        <w:tc>
          <w:tcPr>
            <w:tcW w:w="1300" w:type="dxa"/>
            <w:vAlign w:val="bottom"/>
          </w:tcPr>
          <w:p>
            <w:pPr>
              <w:jc w:val="right"/>
              <w:ind w:right="6"/>
              <w:spacing w:after="0"/>
              <w:rPr>
                <w:sz w:val="20"/>
                <w:szCs w:val="20"/>
                <w:color w:val="auto"/>
              </w:rPr>
            </w:pPr>
            <w:r>
              <w:rPr>
                <w:rFonts w:ascii="Arial" w:cs="Arial" w:eastAsia="Arial" w:hAnsi="Arial"/>
                <w:sz w:val="15"/>
                <w:szCs w:val="15"/>
                <w:b w:val="1"/>
                <w:bCs w:val="1"/>
                <w:color w:val="auto"/>
              </w:rPr>
              <w:t>17,731</w:t>
            </w:r>
          </w:p>
        </w:tc>
      </w:tr>
      <w:tr>
        <w:trPr>
          <w:trHeight w:val="25"/>
        </w:trPr>
        <w:tc>
          <w:tcPr>
            <w:tcW w:w="992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r>
      <w:tr>
        <w:trPr>
          <w:trHeight w:val="204"/>
        </w:trPr>
        <w:tc>
          <w:tcPr>
            <w:tcW w:w="9920" w:type="dxa"/>
            <w:vAlign w:val="bottom"/>
          </w:tcPr>
          <w:p>
            <w:pPr>
              <w:ind w:left="20"/>
              <w:spacing w:after="0"/>
              <w:rPr>
                <w:sz w:val="20"/>
                <w:szCs w:val="20"/>
                <w:color w:val="auto"/>
              </w:rPr>
            </w:pPr>
            <w:r>
              <w:rPr>
                <w:rFonts w:ascii="Arial" w:cs="Arial" w:eastAsia="Arial" w:hAnsi="Arial"/>
                <w:sz w:val="15"/>
                <w:szCs w:val="15"/>
                <w:color w:val="auto"/>
              </w:rPr>
              <w:t>Changes in the fair value of the notes</w:t>
            </w:r>
          </w:p>
        </w:tc>
        <w:tc>
          <w:tcPr>
            <w:tcW w:w="1300" w:type="dxa"/>
            <w:vAlign w:val="bottom"/>
          </w:tcPr>
          <w:p>
            <w:pPr>
              <w:jc w:val="right"/>
              <w:spacing w:after="0"/>
              <w:rPr>
                <w:sz w:val="20"/>
                <w:szCs w:val="20"/>
                <w:color w:val="auto"/>
              </w:rPr>
            </w:pPr>
            <w:r>
              <w:rPr>
                <w:rFonts w:ascii="Arial" w:cs="Arial" w:eastAsia="Arial" w:hAnsi="Arial"/>
                <w:sz w:val="15"/>
                <w:szCs w:val="15"/>
                <w:color w:val="183964"/>
              </w:rPr>
              <w:t>(3,726)</w:t>
            </w:r>
          </w:p>
        </w:tc>
      </w:tr>
      <w:tr>
        <w:trPr>
          <w:trHeight w:val="33"/>
        </w:trPr>
        <w:tc>
          <w:tcPr>
            <w:tcW w:w="9920" w:type="dxa"/>
            <w:vAlign w:val="bottom"/>
            <w:tcBorders>
              <w:bottom w:val="single" w:sz="8" w:color="001544"/>
            </w:tcBorders>
          </w:tcPr>
          <w:p>
            <w:pPr>
              <w:spacing w:after="0"/>
              <w:rPr>
                <w:sz w:val="2"/>
                <w:szCs w:val="2"/>
                <w:color w:val="auto"/>
              </w:rPr>
            </w:pPr>
          </w:p>
        </w:tc>
        <w:tc>
          <w:tcPr>
            <w:tcW w:w="1300" w:type="dxa"/>
            <w:vAlign w:val="bottom"/>
            <w:tcBorders>
              <w:bottom w:val="single" w:sz="8" w:color="929292"/>
            </w:tcBorders>
          </w:tcPr>
          <w:p>
            <w:pPr>
              <w:spacing w:after="0"/>
              <w:rPr>
                <w:sz w:val="2"/>
                <w:szCs w:val="2"/>
                <w:color w:val="auto"/>
              </w:rPr>
            </w:pPr>
          </w:p>
        </w:tc>
      </w:tr>
      <w:tr>
        <w:trPr>
          <w:trHeight w:val="211"/>
        </w:trPr>
        <w:tc>
          <w:tcPr>
            <w:tcW w:w="9920" w:type="dxa"/>
            <w:vAlign w:val="bottom"/>
          </w:tcPr>
          <w:p>
            <w:pPr>
              <w:ind w:left="20"/>
              <w:spacing w:after="0"/>
              <w:rPr>
                <w:sz w:val="20"/>
                <w:szCs w:val="20"/>
                <w:color w:val="auto"/>
              </w:rPr>
            </w:pPr>
            <w:r>
              <w:rPr>
                <w:rFonts w:ascii="Arial" w:cs="Arial" w:eastAsia="Arial" w:hAnsi="Arial"/>
                <w:sz w:val="15"/>
                <w:szCs w:val="15"/>
                <w:b w:val="1"/>
                <w:bCs w:val="1"/>
                <w:color w:val="auto"/>
              </w:rPr>
              <w:t>Balance as of June 30, 2025</w:t>
            </w:r>
          </w:p>
        </w:tc>
        <w:tc>
          <w:tcPr>
            <w:tcW w:w="1300" w:type="dxa"/>
            <w:vAlign w:val="bottom"/>
          </w:tcPr>
          <w:p>
            <w:pPr>
              <w:jc w:val="right"/>
              <w:ind w:right="6"/>
              <w:spacing w:after="0"/>
              <w:rPr>
                <w:sz w:val="20"/>
                <w:szCs w:val="20"/>
                <w:color w:val="auto"/>
              </w:rPr>
            </w:pPr>
            <w:r>
              <w:rPr>
                <w:rFonts w:ascii="Arial" w:cs="Arial" w:eastAsia="Arial" w:hAnsi="Arial"/>
                <w:sz w:val="15"/>
                <w:szCs w:val="15"/>
                <w:b w:val="1"/>
                <w:bCs w:val="1"/>
                <w:color w:val="auto"/>
              </w:rPr>
              <w:t>14,005</w:t>
            </w:r>
          </w:p>
        </w:tc>
      </w:tr>
      <w:tr>
        <w:trPr>
          <w:trHeight w:val="25"/>
        </w:trPr>
        <w:tc>
          <w:tcPr>
            <w:tcW w:w="992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r>
      <w:tr>
        <w:trPr>
          <w:trHeight w:val="203"/>
        </w:trPr>
        <w:tc>
          <w:tcPr>
            <w:tcW w:w="9920" w:type="dxa"/>
            <w:vAlign w:val="bottom"/>
          </w:tcPr>
          <w:p>
            <w:pPr>
              <w:ind w:left="20"/>
              <w:spacing w:after="0"/>
              <w:rPr>
                <w:sz w:val="20"/>
                <w:szCs w:val="20"/>
                <w:color w:val="auto"/>
              </w:rPr>
            </w:pPr>
            <w:r>
              <w:rPr>
                <w:rFonts w:ascii="Arial" w:cs="Arial" w:eastAsia="Arial" w:hAnsi="Arial"/>
                <w:sz w:val="15"/>
                <w:szCs w:val="15"/>
                <w:color w:val="auto"/>
              </w:rPr>
              <w:t>Investment in notes from associates, current</w:t>
            </w:r>
          </w:p>
        </w:tc>
        <w:tc>
          <w:tcPr>
            <w:tcW w:w="1300" w:type="dxa"/>
            <w:vAlign w:val="bottom"/>
          </w:tcPr>
          <w:p>
            <w:pPr>
              <w:jc w:val="right"/>
              <w:ind w:right="6"/>
              <w:spacing w:after="0"/>
              <w:rPr>
                <w:sz w:val="20"/>
                <w:szCs w:val="20"/>
                <w:color w:val="auto"/>
              </w:rPr>
            </w:pPr>
            <w:r>
              <w:rPr>
                <w:rFonts w:ascii="Arial" w:cs="Arial" w:eastAsia="Arial" w:hAnsi="Arial"/>
                <w:sz w:val="15"/>
                <w:szCs w:val="15"/>
                <w:color w:val="183964"/>
              </w:rPr>
              <w:t>11,377</w:t>
            </w:r>
          </w:p>
        </w:tc>
      </w:tr>
      <w:tr>
        <w:trPr>
          <w:trHeight w:val="243"/>
        </w:trPr>
        <w:tc>
          <w:tcPr>
            <w:tcW w:w="9920" w:type="dxa"/>
            <w:vAlign w:val="bottom"/>
          </w:tcPr>
          <w:p>
            <w:pPr>
              <w:ind w:left="20"/>
              <w:spacing w:after="0"/>
              <w:rPr>
                <w:sz w:val="20"/>
                <w:szCs w:val="20"/>
                <w:color w:val="auto"/>
              </w:rPr>
            </w:pPr>
            <w:r>
              <w:rPr>
                <w:rFonts w:ascii="Arial" w:cs="Arial" w:eastAsia="Arial" w:hAnsi="Arial"/>
                <w:sz w:val="15"/>
                <w:szCs w:val="15"/>
                <w:color w:val="auto"/>
              </w:rPr>
              <w:t>Investment in notes from associates, non-current</w:t>
            </w:r>
          </w:p>
        </w:tc>
        <w:tc>
          <w:tcPr>
            <w:tcW w:w="1300" w:type="dxa"/>
            <w:vAlign w:val="bottom"/>
          </w:tcPr>
          <w:p>
            <w:pPr>
              <w:jc w:val="right"/>
              <w:ind w:right="6"/>
              <w:spacing w:after="0"/>
              <w:rPr>
                <w:sz w:val="20"/>
                <w:szCs w:val="20"/>
                <w:color w:val="auto"/>
              </w:rPr>
            </w:pPr>
            <w:r>
              <w:rPr>
                <w:rFonts w:ascii="Arial" w:cs="Arial" w:eastAsia="Arial" w:hAnsi="Arial"/>
                <w:sz w:val="15"/>
                <w:szCs w:val="15"/>
                <w:color w:val="183964"/>
              </w:rPr>
              <w:t>2,628</w:t>
            </w:r>
          </w:p>
        </w:tc>
      </w:tr>
      <w:tr>
        <w:trPr>
          <w:trHeight w:val="33"/>
        </w:trPr>
        <w:tc>
          <w:tcPr>
            <w:tcW w:w="9920" w:type="dxa"/>
            <w:vAlign w:val="bottom"/>
            <w:tcBorders>
              <w:bottom w:val="single" w:sz="8" w:color="6D6D6D"/>
            </w:tcBorders>
          </w:tcPr>
          <w:p>
            <w:pPr>
              <w:spacing w:after="0"/>
              <w:rPr>
                <w:sz w:val="2"/>
                <w:szCs w:val="2"/>
                <w:color w:val="auto"/>
              </w:rPr>
            </w:pPr>
          </w:p>
        </w:tc>
        <w:tc>
          <w:tcPr>
            <w:tcW w:w="1300" w:type="dxa"/>
            <w:vAlign w:val="bottom"/>
            <w:tcBorders>
              <w:bottom w:val="single" w:sz="8" w:color="6D6D6D"/>
            </w:tcBorders>
          </w:tcPr>
          <w:p>
            <w:pPr>
              <w:spacing w:after="0"/>
              <w:rPr>
                <w:sz w:val="2"/>
                <w:szCs w:val="2"/>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183964"/>
        </w:rPr>
        <w:t>Gelesis</w:t>
      </w:r>
    </w:p>
    <w:p>
      <w:pPr>
        <w:spacing w:after="0" w:line="17"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On July 27, 2022, the Group, as a lender, entered into an unsecured promissory note (the "Junior Note") with Gelesis, as a borrower, in the amount of $15,000. The Junior Note bears an annual interest rate of 15% per annum. The maturity date of the Junior Note is the earlier of December 31, 2023 or five business days following the consummation of a qualified financing by Gelesis. Based on the terms of the Junior Note, due to the option to convert to a variable amount of shares at the time of default, the Junior Note is required to be measured at fair value with changes in fair value recorded through profit and loss.</w:t>
      </w:r>
    </w:p>
    <w:p>
      <w:pPr>
        <w:spacing w:after="0" w:line="53" w:lineRule="exact"/>
        <w:rPr>
          <w:sz w:val="20"/>
          <w:szCs w:val="20"/>
          <w:color w:val="auto"/>
        </w:rPr>
      </w:pPr>
    </w:p>
    <w:p>
      <w:pPr>
        <w:ind w:right="220"/>
        <w:spacing w:after="0" w:line="268" w:lineRule="auto"/>
        <w:rPr>
          <w:sz w:val="20"/>
          <w:szCs w:val="20"/>
          <w:color w:val="auto"/>
        </w:rPr>
      </w:pPr>
      <w:r>
        <w:rPr>
          <w:rFonts w:ascii="Arial" w:cs="Arial" w:eastAsia="Arial" w:hAnsi="Arial"/>
          <w:sz w:val="15"/>
          <w:szCs w:val="15"/>
          <w:color w:val="auto"/>
        </w:rPr>
        <w:t>During the year ended December 31, 2023, the Group entered into multiple agreements with Gelesis to purchase senior secured convertible promissory notes (the "Senior Notes") and warrants for share of Gelesis common stock for a total consideration of $11,850. The Senior Notes are secured by a first-priority lien on substantially all assets of Gelesis and the guarantors (other than the equity interests in, and assets held by Gelesis s.r.l., a subsidiary of Gelesis, and certain other exceptions). The Senior Notes represent debt instruments that are presented at fair value through profit and loss as the amounts receivable do not solely represent payments of principal and interest as the Senior Notes are convertible into Gelesis common stock.</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In October 2023, Gelesis ceased operations and filed a voluntary petition for relief under the provisions of Chapter 7 of Title 11 of the United States Bankruptcy Code.</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Therefore, the Group determined that the fair value of the Junior Note and the Senior Notes with the warrants was $0 as of December 31, 2023.</w:t>
      </w:r>
    </w:p>
    <w:p>
      <w:pPr>
        <w:spacing w:after="0" w:line="97"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auto"/>
        </w:rPr>
        <w:t>In June 2024, the Bankruptcy Court approved an executed agreement for a third party to acquire the remaining net assets of Gelesis for $15,000. As the only senior secured creditor, the Group is expected to receive a majority of the proceeds from this sale after deduction of Bankruptcy Court related legal and administrative costs. As of June 30, 2025 and December 31, 2024, these notes were determined to have a fair value of $11,377 and $11,381, respectively.</w:t>
      </w:r>
    </w:p>
    <w:p>
      <w:pPr>
        <w:spacing w:after="0" w:line="46"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For the six months ended June 30, 2025 and June 30, 2024, the Group recorded a loss of $4 and a gain of $11,312, respectively, for the changes in the fair value of these notes, which were included in gain/(loss) on investments in notes from associates in the Condensed Consolidated Statement of Comprehensive Income/(Loss).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183964"/>
        </w:rPr>
        <w:t>Vedanta</w:t>
      </w:r>
    </w:p>
    <w:p>
      <w:pPr>
        <w:spacing w:after="0" w:line="28"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On April 24, 2023, Vedanta closed the second tranche of its convertible debt for additional proceeds of $ 18,000, of which $5,000 were invested by the Group. The convertible debt carries an interest rate of 9% per annum. The debt has various conversion triggers, and the conversion price is established at the lower of 80% of the equity price of the last financing round, or a certain pre-money valuation cap established in the agreement. If the convertible debt is not earlier converted or repaid, the entire outstanding amount of the convertible debt shall be due and payable upon the earliest to occur of (a) the later of (x) November 1, 2025 and (y) the date which is sixty (60) days after all amounts owed under, or in connection with, the loan Vedanta received from a certain investor have been paid in full, or (b) the consummation of a Deemed Liquidation Event (as defined in Vedanta’s Amended and Restated Certificate of Incorporation).</w:t>
      </w:r>
    </w:p>
    <w:p>
      <w:pPr>
        <w:spacing w:after="0" w:line="55" w:lineRule="exact"/>
        <w:rPr>
          <w:sz w:val="20"/>
          <w:szCs w:val="20"/>
          <w:color w:val="auto"/>
        </w:rPr>
      </w:pPr>
    </w:p>
    <w:p>
      <w:pPr>
        <w:ind w:right="200"/>
        <w:spacing w:after="0" w:line="263" w:lineRule="auto"/>
        <w:rPr>
          <w:sz w:val="20"/>
          <w:szCs w:val="20"/>
          <w:color w:val="auto"/>
        </w:rPr>
      </w:pPr>
      <w:r>
        <w:rPr>
          <w:rFonts w:ascii="Arial" w:cs="Arial" w:eastAsia="Arial" w:hAnsi="Arial"/>
          <w:sz w:val="15"/>
          <w:szCs w:val="15"/>
          <w:color w:val="auto"/>
        </w:rPr>
        <w:t>Due to the terms of the convertible debt, the investment in such convertible debt is measured at fair value with changes in the fair value recorded through profit and loss. As of June 30, 2025 and December 31, 2024, the Vedanta convertible debt was determined to have a fair value of $2,628 and $6,350, respectively. During the six months ended June 30, 2025 and June 30, 2024, the Group recorded a loss of $3,722 and a gain of $300, respectively, for the changes in the fair value of the Vedanta convertible debt, which were included in gain/(loss) on investments in notes from associates in the Condensed Consolidated Statement of Comprehensive Income/(Loss).</w:t>
      </w:r>
    </w:p>
    <w:p>
      <w:pPr>
        <w:sectPr>
          <w:pgSz w:w="11900" w:h="16838" w:orient="portrait"/>
          <w:cols w:equalWidth="0" w:num="1">
            <w:col w:w="11240"/>
          </w:cols>
          <w:pgMar w:left="320" w:top="1241" w:right="339" w:bottom="1440" w:gutter="0" w:footer="0" w:header="0"/>
        </w:sectPr>
      </w:pPr>
    </w:p>
    <w:bookmarkStart w:id="33" w:name="page34"/>
    <w:bookmarkEnd w:id="33"/>
    <w:p>
      <w:pPr>
        <w:ind w:left="300" w:hanging="292"/>
        <w:spacing w:after="0"/>
        <w:tabs>
          <w:tab w:leader="none" w:pos="300" w:val="left"/>
        </w:tabs>
        <w:numPr>
          <w:ilvl w:val="0"/>
          <w:numId w:val="21"/>
        </w:numPr>
        <w:rPr>
          <w:rFonts w:ascii="Arial" w:cs="Arial" w:eastAsia="Arial" w:hAnsi="Arial"/>
          <w:sz w:val="15"/>
          <w:szCs w:val="15"/>
          <w:b w:val="1"/>
          <w:bCs w:val="1"/>
          <w:color w:val="183964"/>
        </w:rPr>
      </w:pPr>
      <w:r>
        <w:rPr>
          <w:rFonts w:ascii="Arial" w:cs="Arial" w:eastAsia="Arial" w:hAnsi="Arial"/>
          <w:sz w:val="15"/>
          <w:szCs w:val="15"/>
          <w:b w:val="1"/>
          <w:bCs w:val="1"/>
          <w:color w:val="183964"/>
        </w:rPr>
        <w:t>Share-based Payments</w:t>
      </w:r>
    </w:p>
    <w:p>
      <w:pPr>
        <w:spacing w:after="0" w:line="100"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Share-based payments include stock options and restricted stock units (“RSUs”). Expense for stock options and time-based RSUs is recognized based on the grant date fair value of these awards. Performance-based RSUs to executives are treated as liability awards and the related expense is recognized based on reporting date fair value up until settlement date.</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183964"/>
        </w:rPr>
        <w:t>Share-based Payment Expense</w:t>
      </w:r>
    </w:p>
    <w:p>
      <w:pPr>
        <w:spacing w:after="0" w:line="17"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The Group's share-based payment expense for the six months ended June 30, 2025 and 2024 was $4,733 and $4,648, respectively. The following table provides the classification of the Group’s consolidated share-based payment expense as reflected in the Condensed Consolidated Statement of Comprehensive Income/(Loss):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20" w:type="dxa"/>
            <w:vAlign w:val="bottom"/>
          </w:tcPr>
          <w:p>
            <w:pPr>
              <w:spacing w:after="0"/>
              <w:rPr>
                <w:sz w:val="13"/>
                <w:szCs w:val="13"/>
                <w:color w:val="auto"/>
              </w:rPr>
            </w:pPr>
          </w:p>
        </w:tc>
        <w:tc>
          <w:tcPr>
            <w:tcW w:w="422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1280" w:type="dxa"/>
            <w:vAlign w:val="bottom"/>
          </w:tcPr>
          <w:p>
            <w:pPr>
              <w:jc w:val="right"/>
              <w:spacing w:after="0"/>
              <w:rPr>
                <w:sz w:val="20"/>
                <w:szCs w:val="20"/>
                <w:color w:val="auto"/>
              </w:rPr>
            </w:pPr>
            <w:r>
              <w:rPr>
                <w:rFonts w:ascii="Arial" w:cs="Arial" w:eastAsia="Arial" w:hAnsi="Arial"/>
                <w:sz w:val="13"/>
                <w:szCs w:val="13"/>
                <w:color w:val="183964"/>
              </w:rPr>
              <w:t>2024</w:t>
            </w:r>
          </w:p>
        </w:tc>
      </w:tr>
      <w:tr>
        <w:trPr>
          <w:trHeight w:val="172"/>
        </w:trPr>
        <w:tc>
          <w:tcPr>
            <w:tcW w:w="5720" w:type="dxa"/>
            <w:vAlign w:val="bottom"/>
          </w:tcPr>
          <w:p>
            <w:pPr>
              <w:ind w:left="20"/>
              <w:spacing w:after="0"/>
              <w:rPr>
                <w:sz w:val="20"/>
                <w:szCs w:val="20"/>
                <w:color w:val="auto"/>
              </w:rPr>
            </w:pPr>
            <w:r>
              <w:rPr>
                <w:rFonts w:ascii="Arial" w:cs="Arial" w:eastAsia="Arial" w:hAnsi="Arial"/>
                <w:sz w:val="13"/>
                <w:szCs w:val="13"/>
                <w:color w:val="auto"/>
              </w:rPr>
              <w:t>For the six months ended June 30,</w:t>
            </w:r>
          </w:p>
        </w:tc>
        <w:tc>
          <w:tcPr>
            <w:tcW w:w="4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183964"/>
              </w:rPr>
              <w:t>$</w:t>
            </w:r>
          </w:p>
        </w:tc>
      </w:tr>
      <w:tr>
        <w:trPr>
          <w:trHeight w:val="22"/>
        </w:trPr>
        <w:tc>
          <w:tcPr>
            <w:tcW w:w="5720" w:type="dxa"/>
            <w:vAlign w:val="bottom"/>
            <w:tcBorders>
              <w:bottom w:val="single" w:sz="8" w:color="183964"/>
            </w:tcBorders>
          </w:tcPr>
          <w:p>
            <w:pPr>
              <w:spacing w:after="0" w:line="20" w:lineRule="exact"/>
              <w:rPr>
                <w:sz w:val="1"/>
                <w:szCs w:val="1"/>
                <w:color w:val="auto"/>
              </w:rPr>
            </w:pPr>
          </w:p>
        </w:tc>
        <w:tc>
          <w:tcPr>
            <w:tcW w:w="4220" w:type="dxa"/>
            <w:vAlign w:val="bottom"/>
            <w:tcBorders>
              <w:bottom w:val="single" w:sz="8" w:color="183964"/>
            </w:tcBorders>
          </w:tcPr>
          <w:p>
            <w:pPr>
              <w:spacing w:after="0" w:line="20" w:lineRule="exact"/>
              <w:rPr>
                <w:sz w:val="1"/>
                <w:szCs w:val="1"/>
                <w:color w:val="auto"/>
              </w:rPr>
            </w:pPr>
          </w:p>
        </w:tc>
        <w:tc>
          <w:tcPr>
            <w:tcW w:w="1280" w:type="dxa"/>
            <w:vAlign w:val="bottom"/>
            <w:tcBorders>
              <w:bottom w:val="single" w:sz="8" w:color="0A2299"/>
            </w:tcBorders>
          </w:tcPr>
          <w:p>
            <w:pPr>
              <w:spacing w:after="0" w:line="20" w:lineRule="exact"/>
              <w:rPr>
                <w:sz w:val="1"/>
                <w:szCs w:val="1"/>
                <w:color w:val="auto"/>
              </w:rPr>
            </w:pPr>
          </w:p>
        </w:tc>
      </w:tr>
      <w:tr>
        <w:trPr>
          <w:trHeight w:val="212"/>
        </w:trPr>
        <w:tc>
          <w:tcPr>
            <w:tcW w:w="5720" w:type="dxa"/>
            <w:vAlign w:val="bottom"/>
          </w:tcPr>
          <w:p>
            <w:pPr>
              <w:ind w:left="20"/>
              <w:spacing w:after="0"/>
              <w:rPr>
                <w:sz w:val="20"/>
                <w:szCs w:val="20"/>
                <w:color w:val="auto"/>
              </w:rPr>
            </w:pPr>
            <w:r>
              <w:rPr>
                <w:rFonts w:ascii="Arial" w:cs="Arial" w:eastAsia="Arial" w:hAnsi="Arial"/>
                <w:sz w:val="15"/>
                <w:szCs w:val="15"/>
                <w:color w:val="auto"/>
              </w:rPr>
              <w:t>General and administrative</w:t>
            </w:r>
          </w:p>
        </w:tc>
        <w:tc>
          <w:tcPr>
            <w:tcW w:w="4220" w:type="dxa"/>
            <w:vAlign w:val="bottom"/>
          </w:tcPr>
          <w:p>
            <w:pPr>
              <w:jc w:val="right"/>
              <w:ind w:right="9"/>
              <w:spacing w:after="0"/>
              <w:rPr>
                <w:sz w:val="20"/>
                <w:szCs w:val="20"/>
                <w:color w:val="auto"/>
              </w:rPr>
            </w:pPr>
            <w:r>
              <w:rPr>
                <w:rFonts w:ascii="Arial" w:cs="Arial" w:eastAsia="Arial" w:hAnsi="Arial"/>
                <w:sz w:val="15"/>
                <w:szCs w:val="15"/>
                <w:b w:val="1"/>
                <w:bCs w:val="1"/>
                <w:color w:val="auto"/>
              </w:rPr>
              <w:t>4,054</w:t>
            </w:r>
          </w:p>
        </w:tc>
        <w:tc>
          <w:tcPr>
            <w:tcW w:w="1280" w:type="dxa"/>
            <w:vAlign w:val="bottom"/>
          </w:tcPr>
          <w:p>
            <w:pPr>
              <w:jc w:val="right"/>
              <w:spacing w:after="0"/>
              <w:rPr>
                <w:sz w:val="20"/>
                <w:szCs w:val="20"/>
                <w:color w:val="auto"/>
              </w:rPr>
            </w:pPr>
            <w:r>
              <w:rPr>
                <w:rFonts w:ascii="Arial" w:cs="Arial" w:eastAsia="Arial" w:hAnsi="Arial"/>
                <w:sz w:val="15"/>
                <w:szCs w:val="15"/>
                <w:color w:val="183964"/>
              </w:rPr>
              <w:t>4,471</w:t>
            </w:r>
          </w:p>
        </w:tc>
      </w:tr>
      <w:tr>
        <w:trPr>
          <w:trHeight w:val="243"/>
        </w:trPr>
        <w:tc>
          <w:tcPr>
            <w:tcW w:w="5720" w:type="dxa"/>
            <w:vAlign w:val="bottom"/>
          </w:tcPr>
          <w:p>
            <w:pPr>
              <w:ind w:left="20"/>
              <w:spacing w:after="0"/>
              <w:rPr>
                <w:sz w:val="20"/>
                <w:szCs w:val="20"/>
                <w:color w:val="auto"/>
              </w:rPr>
            </w:pPr>
            <w:r>
              <w:rPr>
                <w:rFonts w:ascii="Arial" w:cs="Arial" w:eastAsia="Arial" w:hAnsi="Arial"/>
                <w:sz w:val="15"/>
                <w:szCs w:val="15"/>
                <w:color w:val="auto"/>
              </w:rPr>
              <w:t>Research and development</w:t>
            </w:r>
          </w:p>
        </w:tc>
        <w:tc>
          <w:tcPr>
            <w:tcW w:w="4220" w:type="dxa"/>
            <w:vAlign w:val="bottom"/>
          </w:tcPr>
          <w:p>
            <w:pPr>
              <w:jc w:val="right"/>
              <w:ind w:right="9"/>
              <w:spacing w:after="0"/>
              <w:rPr>
                <w:sz w:val="20"/>
                <w:szCs w:val="20"/>
                <w:color w:val="auto"/>
              </w:rPr>
            </w:pPr>
            <w:r>
              <w:rPr>
                <w:rFonts w:ascii="Arial" w:cs="Arial" w:eastAsia="Arial" w:hAnsi="Arial"/>
                <w:sz w:val="15"/>
                <w:szCs w:val="15"/>
                <w:b w:val="1"/>
                <w:bCs w:val="1"/>
                <w:color w:val="auto"/>
              </w:rPr>
              <w:t>679</w:t>
            </w:r>
          </w:p>
        </w:tc>
        <w:tc>
          <w:tcPr>
            <w:tcW w:w="1280" w:type="dxa"/>
            <w:vAlign w:val="bottom"/>
          </w:tcPr>
          <w:p>
            <w:pPr>
              <w:jc w:val="right"/>
              <w:spacing w:after="0"/>
              <w:rPr>
                <w:sz w:val="20"/>
                <w:szCs w:val="20"/>
                <w:color w:val="auto"/>
              </w:rPr>
            </w:pPr>
            <w:r>
              <w:rPr>
                <w:rFonts w:ascii="Arial" w:cs="Arial" w:eastAsia="Arial" w:hAnsi="Arial"/>
                <w:sz w:val="15"/>
                <w:szCs w:val="15"/>
                <w:color w:val="183964"/>
              </w:rPr>
              <w:t>176</w:t>
            </w:r>
          </w:p>
        </w:tc>
      </w:tr>
      <w:tr>
        <w:trPr>
          <w:trHeight w:val="25"/>
        </w:trPr>
        <w:tc>
          <w:tcPr>
            <w:tcW w:w="5720" w:type="dxa"/>
            <w:vAlign w:val="bottom"/>
            <w:tcBorders>
              <w:bottom w:val="single" w:sz="8" w:color="183964"/>
            </w:tcBorders>
          </w:tcPr>
          <w:p>
            <w:pPr>
              <w:spacing w:after="0"/>
              <w:rPr>
                <w:sz w:val="2"/>
                <w:szCs w:val="2"/>
                <w:color w:val="auto"/>
              </w:rPr>
            </w:pPr>
          </w:p>
        </w:tc>
        <w:tc>
          <w:tcPr>
            <w:tcW w:w="4220" w:type="dxa"/>
            <w:vAlign w:val="bottom"/>
            <w:tcBorders>
              <w:bottom w:val="single" w:sz="8" w:color="183964"/>
            </w:tcBorders>
          </w:tcPr>
          <w:p>
            <w:pPr>
              <w:spacing w:after="0"/>
              <w:rPr>
                <w:sz w:val="2"/>
                <w:szCs w:val="2"/>
                <w:color w:val="auto"/>
              </w:rPr>
            </w:pPr>
          </w:p>
        </w:tc>
        <w:tc>
          <w:tcPr>
            <w:tcW w:w="1280" w:type="dxa"/>
            <w:vAlign w:val="bottom"/>
            <w:tcBorders>
              <w:bottom w:val="single" w:sz="8" w:color="183964"/>
            </w:tcBorders>
          </w:tcPr>
          <w:p>
            <w:pPr>
              <w:spacing w:after="0"/>
              <w:rPr>
                <w:sz w:val="2"/>
                <w:szCs w:val="2"/>
                <w:color w:val="auto"/>
              </w:rPr>
            </w:pPr>
          </w:p>
        </w:tc>
      </w:tr>
      <w:tr>
        <w:trPr>
          <w:trHeight w:val="211"/>
        </w:trPr>
        <w:tc>
          <w:tcPr>
            <w:tcW w:w="5720" w:type="dxa"/>
            <w:vAlign w:val="bottom"/>
          </w:tcPr>
          <w:p>
            <w:pPr>
              <w:ind w:left="20"/>
              <w:spacing w:after="0"/>
              <w:rPr>
                <w:sz w:val="20"/>
                <w:szCs w:val="20"/>
                <w:color w:val="auto"/>
              </w:rPr>
            </w:pPr>
            <w:r>
              <w:rPr>
                <w:rFonts w:ascii="Arial" w:cs="Arial" w:eastAsia="Arial" w:hAnsi="Arial"/>
                <w:sz w:val="15"/>
                <w:szCs w:val="15"/>
                <w:b w:val="1"/>
                <w:bCs w:val="1"/>
                <w:color w:val="auto"/>
              </w:rPr>
              <w:t>Total</w:t>
            </w:r>
          </w:p>
        </w:tc>
        <w:tc>
          <w:tcPr>
            <w:tcW w:w="4220" w:type="dxa"/>
            <w:vAlign w:val="bottom"/>
          </w:tcPr>
          <w:p>
            <w:pPr>
              <w:jc w:val="right"/>
              <w:ind w:right="9"/>
              <w:spacing w:after="0"/>
              <w:rPr>
                <w:sz w:val="20"/>
                <w:szCs w:val="20"/>
                <w:color w:val="auto"/>
              </w:rPr>
            </w:pPr>
            <w:r>
              <w:rPr>
                <w:rFonts w:ascii="Arial" w:cs="Arial" w:eastAsia="Arial" w:hAnsi="Arial"/>
                <w:sz w:val="15"/>
                <w:szCs w:val="15"/>
                <w:b w:val="1"/>
                <w:bCs w:val="1"/>
                <w:color w:val="auto"/>
              </w:rPr>
              <w:t>4,733</w:t>
            </w:r>
          </w:p>
        </w:tc>
        <w:tc>
          <w:tcPr>
            <w:tcW w:w="1280" w:type="dxa"/>
            <w:vAlign w:val="bottom"/>
          </w:tcPr>
          <w:p>
            <w:pPr>
              <w:jc w:val="right"/>
              <w:spacing w:after="0"/>
              <w:rPr>
                <w:sz w:val="20"/>
                <w:szCs w:val="20"/>
                <w:color w:val="auto"/>
              </w:rPr>
            </w:pPr>
            <w:r>
              <w:rPr>
                <w:rFonts w:ascii="Arial" w:cs="Arial" w:eastAsia="Arial" w:hAnsi="Arial"/>
                <w:sz w:val="15"/>
                <w:szCs w:val="15"/>
                <w:color w:val="183964"/>
              </w:rPr>
              <w:t>4,648</w:t>
            </w:r>
          </w:p>
        </w:tc>
      </w:tr>
      <w:tr>
        <w:trPr>
          <w:trHeight w:val="25"/>
        </w:trPr>
        <w:tc>
          <w:tcPr>
            <w:tcW w:w="57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183964"/>
        </w:rPr>
        <w:t>The Performance Share Plan</w:t>
      </w:r>
    </w:p>
    <w:p>
      <w:pPr>
        <w:spacing w:after="0" w:line="17"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In June 2015, the Group adopted the Performance Stock Plan (the “2015 PSP”). Under the 2015 PSP and subsequent amendments, awards of ordinary shares may be made to the Directors, senior managers and employees, and other individuals providing services to the Group up to a maximum authorized amount of 10.0% of the total ordinary shares outstanding.</w:t>
      </w:r>
    </w:p>
    <w:p>
      <w:pPr>
        <w:spacing w:after="0" w:line="67"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color w:val="auto"/>
        </w:rPr>
        <w:t>In June 2023, the Group adopted a new Performance Stock Plan (the "2023 PSP") that has the same terms as the 2015 PSP but instituted for all new awards a limit of 10.0% of the total ordinary shares outstanding over a five-year period.</w:t>
      </w:r>
    </w:p>
    <w:p>
      <w:pPr>
        <w:spacing w:after="0" w:line="52" w:lineRule="exact"/>
        <w:rPr>
          <w:sz w:val="20"/>
          <w:szCs w:val="20"/>
          <w:color w:val="auto"/>
        </w:rPr>
      </w:pPr>
    </w:p>
    <w:p>
      <w:pPr>
        <w:ind w:right="140"/>
        <w:spacing w:after="0" w:line="283" w:lineRule="auto"/>
        <w:rPr>
          <w:sz w:val="20"/>
          <w:szCs w:val="20"/>
          <w:color w:val="auto"/>
        </w:rPr>
      </w:pPr>
      <w:r>
        <w:rPr>
          <w:rFonts w:ascii="Arial" w:cs="Arial" w:eastAsia="Arial" w:hAnsi="Arial"/>
          <w:sz w:val="15"/>
          <w:szCs w:val="15"/>
          <w:color w:val="auto"/>
        </w:rPr>
        <w:t>The awards granted under these plans have various vesting terms over a period of service between one and four years, provided the recipient remains continuously engaged as a service provider. The options awards expire 10 years from the grant date.</w:t>
      </w:r>
    </w:p>
    <w:p>
      <w:pPr>
        <w:spacing w:after="0" w:line="39"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The share-based awards granted under these plans are generally equity-settled (see cash settlements below). As of June 30, 2025, the Group had issued 26,619,133 units of share-based awards under these plans.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i w:val="1"/>
          <w:iCs w:val="1"/>
          <w:color w:val="183964"/>
        </w:rPr>
        <w:t>RSUs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During the six months ended June 30, 2025 and June 30, 2024, the Group granted the following RSUs to certain non-executive Directors, executives and employees: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0" w:type="dxa"/>
            <w:vAlign w:val="bottom"/>
          </w:tcPr>
          <w:p>
            <w:pPr>
              <w:ind w:left="20"/>
              <w:spacing w:after="0"/>
              <w:rPr>
                <w:sz w:val="20"/>
                <w:szCs w:val="20"/>
                <w:color w:val="auto"/>
              </w:rPr>
            </w:pPr>
            <w:r>
              <w:rPr>
                <w:rFonts w:ascii="Arial" w:cs="Arial" w:eastAsia="Arial" w:hAnsi="Arial"/>
                <w:sz w:val="13"/>
                <w:szCs w:val="13"/>
                <w:color w:val="auto"/>
              </w:rPr>
              <w:t>For the six months ended June 30,</w:t>
            </w:r>
          </w:p>
        </w:tc>
        <w:tc>
          <w:tcPr>
            <w:tcW w:w="4400" w:type="dxa"/>
            <w:vAlign w:val="bottom"/>
          </w:tcPr>
          <w:p>
            <w:pPr>
              <w:jc w:val="center"/>
              <w:ind w:left="3487"/>
              <w:spacing w:after="0"/>
              <w:rPr>
                <w:sz w:val="20"/>
                <w:szCs w:val="20"/>
                <w:color w:val="auto"/>
              </w:rPr>
            </w:pPr>
            <w:r>
              <w:rPr>
                <w:rFonts w:ascii="Arial" w:cs="Arial" w:eastAsia="Arial" w:hAnsi="Arial"/>
                <w:sz w:val="13"/>
                <w:szCs w:val="13"/>
                <w:b w:val="1"/>
                <w:bCs w:val="1"/>
                <w:color w:val="auto"/>
                <w:w w:val="96"/>
              </w:rPr>
              <w:t>2025</w:t>
            </w:r>
          </w:p>
        </w:tc>
        <w:tc>
          <w:tcPr>
            <w:tcW w:w="1020" w:type="dxa"/>
            <w:vAlign w:val="bottom"/>
          </w:tcPr>
          <w:p>
            <w:pPr>
              <w:jc w:val="right"/>
              <w:spacing w:after="0"/>
              <w:rPr>
                <w:sz w:val="20"/>
                <w:szCs w:val="20"/>
                <w:color w:val="auto"/>
              </w:rPr>
            </w:pPr>
            <w:r>
              <w:rPr>
                <w:rFonts w:ascii="Arial" w:cs="Arial" w:eastAsia="Arial" w:hAnsi="Arial"/>
                <w:sz w:val="13"/>
                <w:szCs w:val="13"/>
                <w:color w:val="183964"/>
              </w:rPr>
              <w:t>2024</w:t>
            </w:r>
          </w:p>
        </w:tc>
      </w:tr>
      <w:tr>
        <w:trPr>
          <w:trHeight w:val="22"/>
        </w:trPr>
        <w:tc>
          <w:tcPr>
            <w:tcW w:w="5800" w:type="dxa"/>
            <w:vAlign w:val="bottom"/>
            <w:tcBorders>
              <w:bottom w:val="single" w:sz="8" w:color="183964"/>
            </w:tcBorders>
          </w:tcPr>
          <w:p>
            <w:pPr>
              <w:spacing w:after="0" w:line="20" w:lineRule="exact"/>
              <w:rPr>
                <w:sz w:val="1"/>
                <w:szCs w:val="1"/>
                <w:color w:val="auto"/>
              </w:rPr>
            </w:pPr>
          </w:p>
        </w:tc>
        <w:tc>
          <w:tcPr>
            <w:tcW w:w="4400" w:type="dxa"/>
            <w:vAlign w:val="bottom"/>
            <w:tcBorders>
              <w:bottom w:val="single" w:sz="8" w:color="183964"/>
            </w:tcBorders>
          </w:tcPr>
          <w:p>
            <w:pPr>
              <w:spacing w:after="0" w:line="20" w:lineRule="exact"/>
              <w:rPr>
                <w:sz w:val="1"/>
                <w:szCs w:val="1"/>
                <w:color w:val="auto"/>
              </w:rPr>
            </w:pPr>
          </w:p>
        </w:tc>
        <w:tc>
          <w:tcPr>
            <w:tcW w:w="1020" w:type="dxa"/>
            <w:vAlign w:val="bottom"/>
            <w:tcBorders>
              <w:bottom w:val="single" w:sz="8" w:color="183964"/>
            </w:tcBorders>
          </w:tcPr>
          <w:p>
            <w:pPr>
              <w:spacing w:after="0" w:line="20" w:lineRule="exact"/>
              <w:rPr>
                <w:sz w:val="1"/>
                <w:szCs w:val="1"/>
                <w:color w:val="auto"/>
              </w:rPr>
            </w:pPr>
          </w:p>
        </w:tc>
      </w:tr>
      <w:tr>
        <w:trPr>
          <w:trHeight w:val="212"/>
        </w:trPr>
        <w:tc>
          <w:tcPr>
            <w:tcW w:w="5800" w:type="dxa"/>
            <w:vAlign w:val="bottom"/>
          </w:tcPr>
          <w:p>
            <w:pPr>
              <w:ind w:left="20"/>
              <w:spacing w:after="0"/>
              <w:rPr>
                <w:sz w:val="20"/>
                <w:szCs w:val="20"/>
                <w:color w:val="auto"/>
              </w:rPr>
            </w:pPr>
            <w:r>
              <w:rPr>
                <w:rFonts w:ascii="Arial" w:cs="Arial" w:eastAsia="Arial" w:hAnsi="Arial"/>
                <w:sz w:val="15"/>
                <w:szCs w:val="15"/>
                <w:color w:val="auto"/>
              </w:rPr>
              <w:t>Time based RSUs</w:t>
            </w:r>
          </w:p>
        </w:tc>
        <w:tc>
          <w:tcPr>
            <w:tcW w:w="4400" w:type="dxa"/>
            <w:vAlign w:val="bottom"/>
          </w:tcPr>
          <w:p>
            <w:pPr>
              <w:jc w:val="center"/>
              <w:ind w:left="3487"/>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183964"/>
              </w:rPr>
              <w:t>3,933,606</w:t>
            </w:r>
          </w:p>
        </w:tc>
      </w:tr>
      <w:tr>
        <w:trPr>
          <w:trHeight w:val="243"/>
        </w:trPr>
        <w:tc>
          <w:tcPr>
            <w:tcW w:w="5800" w:type="dxa"/>
            <w:vAlign w:val="bottom"/>
          </w:tcPr>
          <w:p>
            <w:pPr>
              <w:ind w:left="20"/>
              <w:spacing w:after="0"/>
              <w:rPr>
                <w:sz w:val="20"/>
                <w:szCs w:val="20"/>
                <w:color w:val="auto"/>
              </w:rPr>
            </w:pPr>
            <w:r>
              <w:rPr>
                <w:rFonts w:ascii="Arial" w:cs="Arial" w:eastAsia="Arial" w:hAnsi="Arial"/>
                <w:sz w:val="15"/>
                <w:szCs w:val="15"/>
                <w:color w:val="auto"/>
              </w:rPr>
              <w:t>Performance based RSUs</w:t>
            </w:r>
          </w:p>
        </w:tc>
        <w:tc>
          <w:tcPr>
            <w:tcW w:w="4400" w:type="dxa"/>
            <w:vAlign w:val="bottom"/>
          </w:tcPr>
          <w:p>
            <w:pPr>
              <w:jc w:val="center"/>
              <w:ind w:left="3487"/>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183964"/>
              </w:rPr>
              <w:t>1,822,151</w:t>
            </w:r>
          </w:p>
        </w:tc>
      </w:tr>
      <w:tr>
        <w:trPr>
          <w:trHeight w:val="25"/>
        </w:trPr>
        <w:tc>
          <w:tcPr>
            <w:tcW w:w="5800" w:type="dxa"/>
            <w:vAlign w:val="bottom"/>
            <w:tcBorders>
              <w:bottom w:val="single" w:sz="8" w:color="183964"/>
            </w:tcBorders>
          </w:tcPr>
          <w:p>
            <w:pPr>
              <w:spacing w:after="0"/>
              <w:rPr>
                <w:sz w:val="2"/>
                <w:szCs w:val="2"/>
                <w:color w:val="auto"/>
              </w:rPr>
            </w:pPr>
          </w:p>
        </w:tc>
        <w:tc>
          <w:tcPr>
            <w:tcW w:w="4400" w:type="dxa"/>
            <w:vAlign w:val="bottom"/>
            <w:tcBorders>
              <w:bottom w:val="single" w:sz="8" w:color="183964"/>
            </w:tcBorders>
          </w:tcPr>
          <w:p>
            <w:pPr>
              <w:spacing w:after="0"/>
              <w:rPr>
                <w:sz w:val="2"/>
                <w:szCs w:val="2"/>
                <w:color w:val="auto"/>
              </w:rPr>
            </w:pPr>
          </w:p>
        </w:tc>
        <w:tc>
          <w:tcPr>
            <w:tcW w:w="1020" w:type="dxa"/>
            <w:vAlign w:val="bottom"/>
            <w:tcBorders>
              <w:bottom w:val="single" w:sz="8" w:color="183964"/>
            </w:tcBorders>
          </w:tcPr>
          <w:p>
            <w:pPr>
              <w:spacing w:after="0"/>
              <w:rPr>
                <w:sz w:val="2"/>
                <w:szCs w:val="2"/>
                <w:color w:val="auto"/>
              </w:rPr>
            </w:pPr>
          </w:p>
        </w:tc>
      </w:tr>
      <w:tr>
        <w:trPr>
          <w:trHeight w:val="211"/>
        </w:trPr>
        <w:tc>
          <w:tcPr>
            <w:tcW w:w="5800" w:type="dxa"/>
            <w:vAlign w:val="bottom"/>
          </w:tcPr>
          <w:p>
            <w:pPr>
              <w:ind w:left="20"/>
              <w:spacing w:after="0"/>
              <w:rPr>
                <w:sz w:val="20"/>
                <w:szCs w:val="20"/>
                <w:color w:val="auto"/>
              </w:rPr>
            </w:pPr>
            <w:r>
              <w:rPr>
                <w:rFonts w:ascii="Arial" w:cs="Arial" w:eastAsia="Arial" w:hAnsi="Arial"/>
                <w:sz w:val="15"/>
                <w:szCs w:val="15"/>
                <w:b w:val="1"/>
                <w:bCs w:val="1"/>
                <w:color w:val="auto"/>
              </w:rPr>
              <w:t>Total RSUs</w:t>
            </w:r>
          </w:p>
        </w:tc>
        <w:tc>
          <w:tcPr>
            <w:tcW w:w="4400" w:type="dxa"/>
            <w:vAlign w:val="bottom"/>
          </w:tcPr>
          <w:p>
            <w:pPr>
              <w:jc w:val="center"/>
              <w:ind w:left="3487"/>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183964"/>
              </w:rPr>
              <w:t>5,755,757</w:t>
            </w:r>
          </w:p>
        </w:tc>
      </w:tr>
      <w:tr>
        <w:trPr>
          <w:trHeight w:val="25"/>
        </w:trPr>
        <w:tc>
          <w:tcPr>
            <w:tcW w:w="5800" w:type="dxa"/>
            <w:vAlign w:val="bottom"/>
            <w:tcBorders>
              <w:bottom w:val="single" w:sz="8" w:color="183964"/>
            </w:tcBorders>
          </w:tcPr>
          <w:p>
            <w:pPr>
              <w:spacing w:after="0"/>
              <w:rPr>
                <w:sz w:val="2"/>
                <w:szCs w:val="2"/>
                <w:color w:val="auto"/>
              </w:rPr>
            </w:pPr>
          </w:p>
        </w:tc>
        <w:tc>
          <w:tcPr>
            <w:tcW w:w="4400" w:type="dxa"/>
            <w:vAlign w:val="bottom"/>
            <w:tcBorders>
              <w:bottom w:val="single" w:sz="8" w:color="183964"/>
            </w:tcBorders>
          </w:tcPr>
          <w:p>
            <w:pPr>
              <w:spacing w:after="0"/>
              <w:rPr>
                <w:sz w:val="2"/>
                <w:szCs w:val="2"/>
                <w:color w:val="auto"/>
              </w:rPr>
            </w:pPr>
          </w:p>
        </w:tc>
        <w:tc>
          <w:tcPr>
            <w:tcW w:w="1020" w:type="dxa"/>
            <w:vAlign w:val="bottom"/>
            <w:tcBorders>
              <w:bottom w:val="single" w:sz="8" w:color="183964"/>
            </w:tcBorders>
          </w:tcPr>
          <w:p>
            <w:pPr>
              <w:spacing w:after="0"/>
              <w:rPr>
                <w:sz w:val="2"/>
                <w:szCs w:val="2"/>
                <w:color w:val="auto"/>
              </w:rPr>
            </w:pPr>
          </w:p>
        </w:tc>
      </w:tr>
    </w:tbl>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Each RSU entitles the holder to one ordinary share on vesting and the RSU awards are generally based on a vesting schedule over a one to three-year requisite service period in which the Group recognizes compensation expense for the RSUs. Following vesting, each recipient will be required to make a payment of one pence per ordinary share on settlement of the RSUs.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Time-based RSUs are equity-settled. The grant date fair value on such RSUs is recognized over the vesting term.</w:t>
      </w:r>
    </w:p>
    <w:p>
      <w:pPr>
        <w:spacing w:after="0" w:line="98"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Performance-based RSUs are granted to executives. Vesting of such RSUs is subject to the satisfaction of both performance and market conditions. The performance condition is based on the achievement of the Group's strategic targets. The market conditions are based on the achievement of the absolute total shareholder return (“TSR”), TSR as compared to the FTSE 250 Index, and TSR as compared to the MSCI Europe Health Care Index. The RSU award performance criteria have changed over time as the criteria are continually evaluated by the Group’s Remuneration Committee.</w:t>
      </w:r>
    </w:p>
    <w:p>
      <w:pPr>
        <w:spacing w:after="0" w:line="50" w:lineRule="exact"/>
        <w:rPr>
          <w:sz w:val="20"/>
          <w:szCs w:val="20"/>
          <w:color w:val="auto"/>
        </w:rPr>
      </w:pPr>
    </w:p>
    <w:p>
      <w:pPr>
        <w:ind w:right="120"/>
        <w:spacing w:after="0" w:line="269" w:lineRule="auto"/>
        <w:rPr>
          <w:sz w:val="20"/>
          <w:szCs w:val="20"/>
          <w:color w:val="auto"/>
        </w:rPr>
      </w:pPr>
      <w:r>
        <w:rPr>
          <w:rFonts w:ascii="Arial" w:cs="Arial" w:eastAsia="Arial" w:hAnsi="Arial"/>
          <w:sz w:val="15"/>
          <w:szCs w:val="15"/>
          <w:color w:val="auto"/>
        </w:rPr>
        <w:t>The Group recognizes the estimated fair value of performance-based awards with non-market conditions as share-based compensation expense over the performance period based upon its determination whether it is probable that the performance targets will be achieved. The Group assesses the probability of achieving the performance targets at each reporting period. Cumulative adjustments, if any, are recorded to reflect subsequent changes in the estimated outcome of performance-related conditions.</w:t>
      </w:r>
    </w:p>
    <w:p>
      <w:pPr>
        <w:spacing w:after="0" w:line="50" w:lineRule="exact"/>
        <w:rPr>
          <w:sz w:val="20"/>
          <w:szCs w:val="20"/>
          <w:color w:val="auto"/>
        </w:rPr>
      </w:pPr>
    </w:p>
    <w:p>
      <w:pPr>
        <w:ind w:right="520"/>
        <w:spacing w:after="0" w:line="273" w:lineRule="auto"/>
        <w:rPr>
          <w:sz w:val="20"/>
          <w:szCs w:val="20"/>
          <w:color w:val="auto"/>
        </w:rPr>
      </w:pPr>
      <w:r>
        <w:rPr>
          <w:rFonts w:ascii="Arial" w:cs="Arial" w:eastAsia="Arial" w:hAnsi="Arial"/>
          <w:sz w:val="15"/>
          <w:szCs w:val="15"/>
          <w:color w:val="auto"/>
        </w:rPr>
        <w:t>The fair value of the performance-based awards with market conditions is based on the Monte Carlo simulation analysis utilizing a Geometric Brownian Motion process with 100,000 simulations to value those shares. The model considers share price volatility, risk-free rate and other covariance of comparable public companies and other market data to predict distribution of relative share performance.</w:t>
      </w:r>
    </w:p>
    <w:p>
      <w:pPr>
        <w:spacing w:after="0" w:line="59" w:lineRule="exact"/>
        <w:rPr>
          <w:sz w:val="20"/>
          <w:szCs w:val="20"/>
          <w:color w:val="auto"/>
        </w:rPr>
      </w:pPr>
    </w:p>
    <w:p>
      <w:pPr>
        <w:ind w:right="480"/>
        <w:spacing w:after="0" w:line="283" w:lineRule="auto"/>
        <w:rPr>
          <w:sz w:val="20"/>
          <w:szCs w:val="20"/>
          <w:color w:val="auto"/>
        </w:rPr>
      </w:pPr>
      <w:r>
        <w:rPr>
          <w:rFonts w:ascii="Arial" w:cs="Arial" w:eastAsia="Arial" w:hAnsi="Arial"/>
          <w:sz w:val="15"/>
          <w:szCs w:val="15"/>
          <w:color w:val="auto"/>
        </w:rPr>
        <w:t>The performance-based RSUs to executives are treated as liability awards as the Group has a historical practice of settling these awards in cash, and as such, adjusted to fair value at every reporting date until settlement with changes in fair value recorded in earnings as share-based compensation expense.</w:t>
      </w:r>
    </w:p>
    <w:p>
      <w:pPr>
        <w:spacing w:after="0" w:line="39" w:lineRule="exact"/>
        <w:rPr>
          <w:sz w:val="20"/>
          <w:szCs w:val="20"/>
          <w:color w:val="auto"/>
        </w:rPr>
      </w:pPr>
    </w:p>
    <w:p>
      <w:pPr>
        <w:ind w:right="140"/>
        <w:spacing w:after="0" w:line="301" w:lineRule="auto"/>
        <w:rPr>
          <w:sz w:val="20"/>
          <w:szCs w:val="20"/>
          <w:color w:val="auto"/>
        </w:rPr>
      </w:pPr>
      <w:r>
        <w:rPr>
          <w:rFonts w:ascii="Arial" w:cs="Arial" w:eastAsia="Arial" w:hAnsi="Arial"/>
          <w:sz w:val="15"/>
          <w:szCs w:val="15"/>
          <w:color w:val="auto"/>
        </w:rPr>
        <w:t>In February 2025, the Group settled 994,951 vested RSUs through issuance of shares after paying the employees' withholding taxes in cash. As such, the liability at the date of settlement was settled for $415 in cash and $1,404 in shares.</w:t>
      </w:r>
    </w:p>
    <w:p>
      <w:pPr>
        <w:spacing w:after="0" w:line="26"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In May 2024, the Group settled 237,420 vested RSUs through issuance of shares to a terminated employee. As such, the liability at the date of settlement was settled for $646 in shares.</w:t>
      </w:r>
    </w:p>
    <w:p>
      <w:pPr>
        <w:spacing w:after="0" w:line="26"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In March 2024, the Group settled 518,721 vested RSUs through issuance of shares after paying the employees' withholding taxes in cash. As such, the liability at the date of settlement was settled for $655 in cash and $655 in shares.</w:t>
      </w:r>
    </w:p>
    <w:p>
      <w:pPr>
        <w:spacing w:after="0" w:line="26"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auto"/>
        </w:rPr>
        <w:t>The Group recorded expenses of $3,718 and $973 for the six months ended June 30, 2025 and June 30, 2024, respectively, in respect of all restricted stock units, of which $393 and $609, respectively, was in respect of liability settled share-based awards.</w:t>
      </w:r>
    </w:p>
    <w:p>
      <w:pPr>
        <w:sectPr>
          <w:pgSz w:w="11900" w:h="16838" w:orient="portrait"/>
          <w:cols w:equalWidth="0" w:num="1">
            <w:col w:w="11220"/>
          </w:cols>
          <w:pgMar w:left="320" w:top="1322" w:right="359" w:bottom="1440" w:gutter="0" w:footer="0" w:header="0"/>
        </w:sectPr>
      </w:pPr>
    </w:p>
    <w:bookmarkStart w:id="34" w:name="page35"/>
    <w:bookmarkEnd w:id="34"/>
    <w:p>
      <w:pPr>
        <w:ind w:right="120"/>
        <w:spacing w:after="0" w:line="273" w:lineRule="auto"/>
        <w:rPr>
          <w:sz w:val="20"/>
          <w:szCs w:val="20"/>
          <w:color w:val="auto"/>
        </w:rPr>
      </w:pPr>
      <w:r>
        <w:rPr>
          <w:rFonts w:ascii="Arial" w:cs="Arial" w:eastAsia="Arial" w:hAnsi="Arial"/>
          <w:sz w:val="15"/>
          <w:szCs w:val="15"/>
          <w:color w:val="auto"/>
        </w:rPr>
        <w:t>As of June 30, 2025, the carrying amount of the RSU liability awards was $2,310 with $1,506 current and $804 non current. As of December 31, 2024, the carrying amount of the RSU liability awards was $3,736 with $1,875 current and $1,861 non current, out of which $1,875 related to awards that met all their performance and market conditions and were settled in February 2025 as discussed above.</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i w:val="1"/>
          <w:iCs w:val="1"/>
          <w:color w:val="183964"/>
        </w:rPr>
        <w:t>Stock Options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During the six months ended June 30, 2025 and June 30, 2024, the Group granted 0 and 2,548,375 stock option awards, respectively.</w:t>
      </w:r>
    </w:p>
    <w:p>
      <w:pPr>
        <w:spacing w:after="0" w:line="86"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Stock options are treated as equity-settled awards. The fair value of the stock options awarded by the Group was estimated at the grant date using the Black-Scholes option valuation model, considering the terms and conditions upon which options were granted, with the following weighted- average assumptions: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320" w:type="dxa"/>
            <w:vAlign w:val="bottom"/>
          </w:tcPr>
          <w:p>
            <w:pPr>
              <w:ind w:left="20"/>
              <w:spacing w:after="0"/>
              <w:rPr>
                <w:sz w:val="20"/>
                <w:szCs w:val="20"/>
                <w:color w:val="auto"/>
              </w:rPr>
            </w:pPr>
            <w:r>
              <w:rPr>
                <w:rFonts w:ascii="Arial" w:cs="Arial" w:eastAsia="Arial" w:hAnsi="Arial"/>
                <w:sz w:val="13"/>
                <w:szCs w:val="13"/>
                <w:color w:val="auto"/>
              </w:rPr>
              <w:t>For the six months ended June 30,</w:t>
            </w:r>
          </w:p>
        </w:tc>
        <w:tc>
          <w:tcPr>
            <w:tcW w:w="4900" w:type="dxa"/>
            <w:vAlign w:val="bottom"/>
          </w:tcPr>
          <w:p>
            <w:pPr>
              <w:jc w:val="right"/>
              <w:spacing w:after="0"/>
              <w:rPr>
                <w:sz w:val="20"/>
                <w:szCs w:val="20"/>
                <w:color w:val="auto"/>
              </w:rPr>
            </w:pPr>
            <w:r>
              <w:rPr>
                <w:rFonts w:ascii="Arial" w:cs="Arial" w:eastAsia="Arial" w:hAnsi="Arial"/>
                <w:sz w:val="13"/>
                <w:szCs w:val="13"/>
                <w:color w:val="183964"/>
              </w:rPr>
              <w:t>2024</w:t>
            </w:r>
          </w:p>
        </w:tc>
      </w:tr>
      <w:tr>
        <w:trPr>
          <w:trHeight w:val="28"/>
        </w:trPr>
        <w:tc>
          <w:tcPr>
            <w:tcW w:w="632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5"/>
                <w:szCs w:val="15"/>
                <w:color w:val="auto"/>
              </w:rPr>
              <w:t>Expected volatility</w:t>
            </w:r>
          </w:p>
        </w:tc>
        <w:tc>
          <w:tcPr>
            <w:tcW w:w="4900" w:type="dxa"/>
            <w:vAlign w:val="bottom"/>
          </w:tcPr>
          <w:p>
            <w:pPr>
              <w:jc w:val="right"/>
              <w:spacing w:after="0"/>
              <w:rPr>
                <w:sz w:val="20"/>
                <w:szCs w:val="20"/>
                <w:color w:val="auto"/>
              </w:rPr>
            </w:pPr>
            <w:r>
              <w:rPr>
                <w:rFonts w:ascii="Arial" w:cs="Arial" w:eastAsia="Arial" w:hAnsi="Arial"/>
                <w:sz w:val="15"/>
                <w:szCs w:val="15"/>
                <w:color w:val="183964"/>
              </w:rPr>
              <w:t>44.79 %</w:t>
            </w:r>
          </w:p>
        </w:tc>
      </w:tr>
      <w:tr>
        <w:trPr>
          <w:trHeight w:val="243"/>
        </w:trPr>
        <w:tc>
          <w:tcPr>
            <w:tcW w:w="6320" w:type="dxa"/>
            <w:vAlign w:val="bottom"/>
          </w:tcPr>
          <w:p>
            <w:pPr>
              <w:ind w:left="20"/>
              <w:spacing w:after="0"/>
              <w:rPr>
                <w:sz w:val="20"/>
                <w:szCs w:val="20"/>
                <w:color w:val="auto"/>
              </w:rPr>
            </w:pPr>
            <w:r>
              <w:rPr>
                <w:rFonts w:ascii="Arial" w:cs="Arial" w:eastAsia="Arial" w:hAnsi="Arial"/>
                <w:sz w:val="15"/>
                <w:szCs w:val="15"/>
                <w:color w:val="auto"/>
              </w:rPr>
              <w:t>Expected terms (in years)</w:t>
            </w:r>
          </w:p>
        </w:tc>
        <w:tc>
          <w:tcPr>
            <w:tcW w:w="4900" w:type="dxa"/>
            <w:vAlign w:val="bottom"/>
          </w:tcPr>
          <w:p>
            <w:pPr>
              <w:jc w:val="right"/>
              <w:spacing w:after="0"/>
              <w:rPr>
                <w:sz w:val="20"/>
                <w:szCs w:val="20"/>
                <w:color w:val="auto"/>
              </w:rPr>
            </w:pPr>
            <w:r>
              <w:rPr>
                <w:rFonts w:ascii="Arial" w:cs="Arial" w:eastAsia="Arial" w:hAnsi="Arial"/>
                <w:sz w:val="15"/>
                <w:szCs w:val="15"/>
                <w:color w:val="183964"/>
              </w:rPr>
              <w:t>6.16</w:t>
            </w:r>
          </w:p>
        </w:tc>
      </w:tr>
      <w:tr>
        <w:trPr>
          <w:trHeight w:val="243"/>
        </w:trPr>
        <w:tc>
          <w:tcPr>
            <w:tcW w:w="6320" w:type="dxa"/>
            <w:vAlign w:val="bottom"/>
          </w:tcPr>
          <w:p>
            <w:pPr>
              <w:ind w:left="20"/>
              <w:spacing w:after="0"/>
              <w:rPr>
                <w:sz w:val="20"/>
                <w:szCs w:val="20"/>
                <w:color w:val="auto"/>
              </w:rPr>
            </w:pPr>
            <w:r>
              <w:rPr>
                <w:rFonts w:ascii="Arial" w:cs="Arial" w:eastAsia="Arial" w:hAnsi="Arial"/>
                <w:sz w:val="15"/>
                <w:szCs w:val="15"/>
                <w:color w:val="auto"/>
              </w:rPr>
              <w:t>Risk-free interest rate</w:t>
            </w:r>
          </w:p>
        </w:tc>
        <w:tc>
          <w:tcPr>
            <w:tcW w:w="4900" w:type="dxa"/>
            <w:vAlign w:val="bottom"/>
          </w:tcPr>
          <w:p>
            <w:pPr>
              <w:jc w:val="right"/>
              <w:spacing w:after="0"/>
              <w:rPr>
                <w:sz w:val="20"/>
                <w:szCs w:val="20"/>
                <w:color w:val="auto"/>
              </w:rPr>
            </w:pPr>
            <w:r>
              <w:rPr>
                <w:rFonts w:ascii="Arial" w:cs="Arial" w:eastAsia="Arial" w:hAnsi="Arial"/>
                <w:sz w:val="15"/>
                <w:szCs w:val="15"/>
                <w:color w:val="183964"/>
              </w:rPr>
              <w:t>4.32 %</w:t>
            </w:r>
          </w:p>
        </w:tc>
      </w:tr>
      <w:tr>
        <w:trPr>
          <w:trHeight w:val="243"/>
        </w:trPr>
        <w:tc>
          <w:tcPr>
            <w:tcW w:w="6320" w:type="dxa"/>
            <w:vAlign w:val="bottom"/>
          </w:tcPr>
          <w:p>
            <w:pPr>
              <w:ind w:left="20"/>
              <w:spacing w:after="0"/>
              <w:rPr>
                <w:sz w:val="20"/>
                <w:szCs w:val="20"/>
                <w:color w:val="auto"/>
              </w:rPr>
            </w:pPr>
            <w:r>
              <w:rPr>
                <w:rFonts w:ascii="Arial" w:cs="Arial" w:eastAsia="Arial" w:hAnsi="Arial"/>
                <w:sz w:val="15"/>
                <w:szCs w:val="15"/>
                <w:color w:val="auto"/>
              </w:rPr>
              <w:t>Expected dividend yield</w:t>
            </w:r>
          </w:p>
        </w:tc>
        <w:tc>
          <w:tcPr>
            <w:tcW w:w="4900" w:type="dxa"/>
            <w:vAlign w:val="bottom"/>
          </w:tcPr>
          <w:p>
            <w:pPr>
              <w:jc w:val="right"/>
              <w:ind w:right="125"/>
              <w:spacing w:after="0"/>
              <w:rPr>
                <w:sz w:val="20"/>
                <w:szCs w:val="20"/>
                <w:color w:val="auto"/>
              </w:rPr>
            </w:pPr>
            <w:r>
              <w:rPr>
                <w:rFonts w:ascii="Arial" w:cs="Arial" w:eastAsia="Arial" w:hAnsi="Arial"/>
                <w:sz w:val="15"/>
                <w:szCs w:val="15"/>
                <w:color w:val="183964"/>
              </w:rPr>
              <w:t>—</w:t>
            </w:r>
          </w:p>
        </w:tc>
      </w:tr>
      <w:tr>
        <w:trPr>
          <w:trHeight w:val="243"/>
        </w:trPr>
        <w:tc>
          <w:tcPr>
            <w:tcW w:w="6320" w:type="dxa"/>
            <w:vAlign w:val="bottom"/>
          </w:tcPr>
          <w:p>
            <w:pPr>
              <w:ind w:left="20"/>
              <w:spacing w:after="0"/>
              <w:rPr>
                <w:sz w:val="20"/>
                <w:szCs w:val="20"/>
                <w:color w:val="auto"/>
              </w:rPr>
            </w:pPr>
            <w:r>
              <w:rPr>
                <w:rFonts w:ascii="Arial" w:cs="Arial" w:eastAsia="Arial" w:hAnsi="Arial"/>
                <w:sz w:val="15"/>
                <w:szCs w:val="15"/>
                <w:color w:val="auto"/>
              </w:rPr>
              <w:t>Exercise price (GBP)</w:t>
            </w:r>
          </w:p>
        </w:tc>
        <w:tc>
          <w:tcPr>
            <w:tcW w:w="4900" w:type="dxa"/>
            <w:vAlign w:val="bottom"/>
          </w:tcPr>
          <w:p>
            <w:pPr>
              <w:jc w:val="right"/>
              <w:spacing w:after="0"/>
              <w:rPr>
                <w:sz w:val="20"/>
                <w:szCs w:val="20"/>
                <w:color w:val="auto"/>
              </w:rPr>
            </w:pPr>
            <w:r>
              <w:rPr>
                <w:rFonts w:ascii="Arial" w:cs="Arial" w:eastAsia="Arial" w:hAnsi="Arial"/>
                <w:sz w:val="15"/>
                <w:szCs w:val="15"/>
                <w:color w:val="183964"/>
              </w:rPr>
              <w:t>1.88</w:t>
            </w:r>
          </w:p>
        </w:tc>
      </w:tr>
      <w:tr>
        <w:trPr>
          <w:trHeight w:val="243"/>
        </w:trPr>
        <w:tc>
          <w:tcPr>
            <w:tcW w:w="6320" w:type="dxa"/>
            <w:vAlign w:val="bottom"/>
          </w:tcPr>
          <w:p>
            <w:pPr>
              <w:ind w:left="20"/>
              <w:spacing w:after="0"/>
              <w:rPr>
                <w:sz w:val="20"/>
                <w:szCs w:val="20"/>
                <w:color w:val="auto"/>
              </w:rPr>
            </w:pPr>
            <w:r>
              <w:rPr>
                <w:rFonts w:ascii="Arial" w:cs="Arial" w:eastAsia="Arial" w:hAnsi="Arial"/>
                <w:sz w:val="15"/>
                <w:szCs w:val="15"/>
                <w:color w:val="auto"/>
              </w:rPr>
              <w:t>Underlying stock price (GBP)</w:t>
            </w:r>
          </w:p>
        </w:tc>
        <w:tc>
          <w:tcPr>
            <w:tcW w:w="4900" w:type="dxa"/>
            <w:vAlign w:val="bottom"/>
          </w:tcPr>
          <w:p>
            <w:pPr>
              <w:jc w:val="right"/>
              <w:spacing w:after="0"/>
              <w:rPr>
                <w:sz w:val="20"/>
                <w:szCs w:val="20"/>
                <w:color w:val="auto"/>
              </w:rPr>
            </w:pPr>
            <w:r>
              <w:rPr>
                <w:rFonts w:ascii="Arial" w:cs="Arial" w:eastAsia="Arial" w:hAnsi="Arial"/>
                <w:sz w:val="15"/>
                <w:szCs w:val="15"/>
                <w:color w:val="183964"/>
              </w:rPr>
              <w:t>1.88</w:t>
            </w:r>
          </w:p>
        </w:tc>
      </w:tr>
      <w:tr>
        <w:trPr>
          <w:trHeight w:val="33"/>
        </w:trPr>
        <w:tc>
          <w:tcPr>
            <w:tcW w:w="632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These assumptions resulted in an estimated weighted-average grant-date fair value per share of stock options granted during the six months ended June 30, 2024 of $1.19.</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As of June 30, 2025, 8,780,465 incentive options are exercisable with a weighted-average exercise price of £2.28. Exercise prices ranged from £0.01 to £3.73.</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The Group incurred share-based payment expense for the stock options of $1,014 and $390 for the six months ended June 30, 2025 and 2024,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i w:val="1"/>
          <w:iCs w:val="1"/>
          <w:color w:val="183964"/>
        </w:rPr>
        <w:t>Subsidiary Plans</w:t>
      </w:r>
    </w:p>
    <w:p>
      <w:pPr>
        <w:spacing w:after="0" w:line="17"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The subsidiaries incurred $0 and $3,285 in share-based payment expense in respect of their share-based award plans for the six months ended June 30, 2025 and June 30, 2024, respectively.</w:t>
      </w:r>
    </w:p>
    <w:p>
      <w:pPr>
        <w:spacing w:after="0" w:line="40" w:lineRule="exact"/>
        <w:rPr>
          <w:sz w:val="20"/>
          <w:szCs w:val="20"/>
          <w:color w:val="auto"/>
        </w:rPr>
      </w:pPr>
    </w:p>
    <w:p>
      <w:pPr>
        <w:ind w:right="400"/>
        <w:spacing w:after="0" w:line="301" w:lineRule="auto"/>
        <w:rPr>
          <w:sz w:val="20"/>
          <w:szCs w:val="20"/>
          <w:color w:val="auto"/>
        </w:rPr>
      </w:pPr>
      <w:r>
        <w:rPr>
          <w:rFonts w:ascii="Arial" w:cs="Arial" w:eastAsia="Arial" w:hAnsi="Arial"/>
          <w:sz w:val="15"/>
          <w:szCs w:val="15"/>
          <w:color w:val="auto"/>
        </w:rPr>
        <w:t>The share-based payment expense for the six months ended June 30, 2024 is primarily related to awards granted under the Seaport 2024 Equity Incentive Plan approved by the Seaport Board of Directors in 2024. Seaport was deconsolidated from the Group's financial statements as of October 18, 2024.</w:t>
      </w:r>
    </w:p>
    <w:p>
      <w:pPr>
        <w:sectPr>
          <w:pgSz w:w="11900" w:h="16838" w:orient="portrait"/>
          <w:cols w:equalWidth="0" w:num="1">
            <w:col w:w="11220"/>
          </w:cols>
          <w:pgMar w:left="320" w:top="1243" w:right="359" w:bottom="1440" w:gutter="0" w:footer="0" w:header="0"/>
        </w:sectPr>
      </w:pPr>
    </w:p>
    <w:bookmarkStart w:id="35" w:name="page36"/>
    <w:bookmarkEnd w:id="35"/>
    <w:p>
      <w:pPr>
        <w:ind w:left="300" w:hanging="292"/>
        <w:spacing w:after="0"/>
        <w:tabs>
          <w:tab w:leader="none" w:pos="300" w:val="left"/>
        </w:tabs>
        <w:numPr>
          <w:ilvl w:val="0"/>
          <w:numId w:val="22"/>
        </w:numPr>
        <w:rPr>
          <w:rFonts w:ascii="Arial" w:cs="Arial" w:eastAsia="Arial" w:hAnsi="Arial"/>
          <w:sz w:val="15"/>
          <w:szCs w:val="15"/>
          <w:b w:val="1"/>
          <w:bCs w:val="1"/>
          <w:color w:val="183964"/>
        </w:rPr>
      </w:pPr>
      <w:r>
        <w:rPr>
          <w:rFonts w:ascii="Arial" w:cs="Arial" w:eastAsia="Arial" w:hAnsi="Arial"/>
          <w:sz w:val="15"/>
          <w:szCs w:val="15"/>
          <w:b w:val="1"/>
          <w:bCs w:val="1"/>
          <w:color w:val="183964"/>
        </w:rPr>
        <w:t>Finance Income/(Costs), net</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the breakdown of finance income and costs: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60" w:type="dxa"/>
            <w:vAlign w:val="bottom"/>
          </w:tcPr>
          <w:p>
            <w:pPr>
              <w:spacing w:after="0"/>
              <w:rPr>
                <w:sz w:val="13"/>
                <w:szCs w:val="13"/>
                <w:color w:val="auto"/>
              </w:rPr>
            </w:pPr>
          </w:p>
        </w:tc>
        <w:tc>
          <w:tcPr>
            <w:tcW w:w="2600" w:type="dxa"/>
            <w:vAlign w:val="bottom"/>
          </w:tcPr>
          <w:p>
            <w:pPr>
              <w:jc w:val="right"/>
              <w:ind w:right="286"/>
              <w:spacing w:after="0"/>
              <w:rPr>
                <w:sz w:val="20"/>
                <w:szCs w:val="20"/>
                <w:color w:val="auto"/>
              </w:rPr>
            </w:pPr>
            <w:r>
              <w:rPr>
                <w:rFonts w:ascii="Arial" w:cs="Arial" w:eastAsia="Arial" w:hAnsi="Arial"/>
                <w:sz w:val="13"/>
                <w:szCs w:val="13"/>
                <w:b w:val="1"/>
                <w:bCs w:val="1"/>
                <w:color w:val="auto"/>
              </w:rPr>
              <w:t>2025</w:t>
            </w:r>
          </w:p>
        </w:tc>
        <w:tc>
          <w:tcPr>
            <w:tcW w:w="960" w:type="dxa"/>
            <w:vAlign w:val="bottom"/>
          </w:tcPr>
          <w:p>
            <w:pPr>
              <w:jc w:val="right"/>
              <w:spacing w:after="0"/>
              <w:rPr>
                <w:sz w:val="20"/>
                <w:szCs w:val="20"/>
                <w:color w:val="auto"/>
              </w:rPr>
            </w:pPr>
            <w:r>
              <w:rPr>
                <w:rFonts w:ascii="Arial" w:cs="Arial" w:eastAsia="Arial" w:hAnsi="Arial"/>
                <w:sz w:val="13"/>
                <w:szCs w:val="13"/>
                <w:color w:val="183964"/>
              </w:rPr>
              <w:t>2024</w:t>
            </w:r>
          </w:p>
        </w:tc>
      </w:tr>
      <w:tr>
        <w:trPr>
          <w:trHeight w:val="172"/>
        </w:trPr>
        <w:tc>
          <w:tcPr>
            <w:tcW w:w="7660" w:type="dxa"/>
            <w:vAlign w:val="bottom"/>
          </w:tcPr>
          <w:p>
            <w:pPr>
              <w:ind w:left="20"/>
              <w:spacing w:after="0"/>
              <w:rPr>
                <w:sz w:val="20"/>
                <w:szCs w:val="20"/>
                <w:color w:val="auto"/>
              </w:rPr>
            </w:pPr>
            <w:r>
              <w:rPr>
                <w:rFonts w:ascii="Arial" w:cs="Arial" w:eastAsia="Arial" w:hAnsi="Arial"/>
                <w:sz w:val="13"/>
                <w:szCs w:val="13"/>
                <w:color w:val="auto"/>
              </w:rPr>
              <w:t>For the six months ended June 30,</w:t>
            </w:r>
          </w:p>
        </w:tc>
        <w:tc>
          <w:tcPr>
            <w:tcW w:w="2600" w:type="dxa"/>
            <w:vAlign w:val="bottom"/>
          </w:tcPr>
          <w:p>
            <w:pPr>
              <w:jc w:val="right"/>
              <w:ind w:right="286"/>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183964"/>
              </w:rPr>
              <w:t>$</w:t>
            </w:r>
          </w:p>
        </w:tc>
      </w:tr>
      <w:tr>
        <w:trPr>
          <w:trHeight w:val="22"/>
        </w:trPr>
        <w:tc>
          <w:tcPr>
            <w:tcW w:w="7660" w:type="dxa"/>
            <w:vAlign w:val="bottom"/>
            <w:tcBorders>
              <w:bottom w:val="single" w:sz="8" w:color="001544"/>
            </w:tcBorders>
          </w:tcPr>
          <w:p>
            <w:pPr>
              <w:spacing w:after="0" w:line="20" w:lineRule="exact"/>
              <w:rPr>
                <w:sz w:val="1"/>
                <w:szCs w:val="1"/>
                <w:color w:val="auto"/>
              </w:rPr>
            </w:pPr>
          </w:p>
        </w:tc>
        <w:tc>
          <w:tcPr>
            <w:tcW w:w="2600" w:type="dxa"/>
            <w:vAlign w:val="bottom"/>
            <w:tcBorders>
              <w:bottom w:val="single" w:sz="8" w:color="001544"/>
            </w:tcBorders>
          </w:tcPr>
          <w:p>
            <w:pPr>
              <w:spacing w:after="0" w:line="20" w:lineRule="exact"/>
              <w:rPr>
                <w:sz w:val="1"/>
                <w:szCs w:val="1"/>
                <w:color w:val="auto"/>
              </w:rPr>
            </w:pPr>
          </w:p>
        </w:tc>
        <w:tc>
          <w:tcPr>
            <w:tcW w:w="960" w:type="dxa"/>
            <w:vAlign w:val="bottom"/>
            <w:tcBorders>
              <w:bottom w:val="single" w:sz="8" w:color="001544"/>
            </w:tcBorders>
          </w:tcPr>
          <w:p>
            <w:pPr>
              <w:spacing w:after="0" w:line="20" w:lineRule="exact"/>
              <w:rPr>
                <w:sz w:val="1"/>
                <w:szCs w:val="1"/>
                <w:color w:val="auto"/>
              </w:rPr>
            </w:pPr>
          </w:p>
        </w:tc>
      </w:tr>
      <w:tr>
        <w:trPr>
          <w:trHeight w:val="212"/>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Finance income</w:t>
            </w:r>
          </w:p>
        </w:tc>
        <w:tc>
          <w:tcPr>
            <w:tcW w:w="2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5"/>
                <w:szCs w:val="15"/>
                <w:color w:val="auto"/>
              </w:rPr>
              <w:t>Interest income from financial assets</w:t>
            </w:r>
          </w:p>
        </w:tc>
        <w:tc>
          <w:tcPr>
            <w:tcW w:w="2600" w:type="dxa"/>
            <w:vAlign w:val="bottom"/>
          </w:tcPr>
          <w:p>
            <w:pPr>
              <w:jc w:val="right"/>
              <w:ind w:right="346"/>
              <w:spacing w:after="0"/>
              <w:rPr>
                <w:sz w:val="20"/>
                <w:szCs w:val="20"/>
                <w:color w:val="auto"/>
              </w:rPr>
            </w:pPr>
            <w:r>
              <w:rPr>
                <w:rFonts w:ascii="Arial" w:cs="Arial" w:eastAsia="Arial" w:hAnsi="Arial"/>
                <w:sz w:val="15"/>
                <w:szCs w:val="15"/>
                <w:b w:val="1"/>
                <w:bCs w:val="1"/>
                <w:color w:val="auto"/>
              </w:rPr>
              <w:t>7,076</w:t>
            </w:r>
          </w:p>
        </w:tc>
        <w:tc>
          <w:tcPr>
            <w:tcW w:w="960" w:type="dxa"/>
            <w:vAlign w:val="bottom"/>
          </w:tcPr>
          <w:p>
            <w:pPr>
              <w:jc w:val="right"/>
              <w:spacing w:after="0"/>
              <w:rPr>
                <w:sz w:val="20"/>
                <w:szCs w:val="20"/>
                <w:color w:val="auto"/>
              </w:rPr>
            </w:pPr>
            <w:r>
              <w:rPr>
                <w:rFonts w:ascii="Arial" w:cs="Arial" w:eastAsia="Arial" w:hAnsi="Arial"/>
                <w:sz w:val="15"/>
                <w:szCs w:val="15"/>
                <w:color w:val="183964"/>
              </w:rPr>
              <w:t>11,732</w:t>
            </w:r>
          </w:p>
        </w:tc>
      </w:tr>
      <w:tr>
        <w:trPr>
          <w:trHeight w:val="25"/>
        </w:trPr>
        <w:tc>
          <w:tcPr>
            <w:tcW w:w="7660" w:type="dxa"/>
            <w:vAlign w:val="bottom"/>
            <w:tcBorders>
              <w:bottom w:val="single" w:sz="8" w:color="001544"/>
            </w:tcBorders>
          </w:tcPr>
          <w:p>
            <w:pPr>
              <w:spacing w:after="0"/>
              <w:rPr>
                <w:sz w:val="2"/>
                <w:szCs w:val="2"/>
                <w:color w:val="auto"/>
              </w:rPr>
            </w:pPr>
          </w:p>
        </w:tc>
        <w:tc>
          <w:tcPr>
            <w:tcW w:w="2600" w:type="dxa"/>
            <w:vAlign w:val="bottom"/>
            <w:tcBorders>
              <w:bottom w:val="single" w:sz="8" w:color="001544"/>
            </w:tcBorders>
          </w:tcPr>
          <w:p>
            <w:pPr>
              <w:spacing w:after="0"/>
              <w:rPr>
                <w:sz w:val="2"/>
                <w:szCs w:val="2"/>
                <w:color w:val="auto"/>
              </w:rPr>
            </w:pPr>
          </w:p>
        </w:tc>
        <w:tc>
          <w:tcPr>
            <w:tcW w:w="960" w:type="dxa"/>
            <w:vAlign w:val="bottom"/>
            <w:tcBorders>
              <w:bottom w:val="single" w:sz="8" w:color="001544"/>
            </w:tcBorders>
          </w:tcPr>
          <w:p>
            <w:pPr>
              <w:spacing w:after="0"/>
              <w:rPr>
                <w:sz w:val="2"/>
                <w:szCs w:val="2"/>
                <w:color w:val="auto"/>
              </w:rPr>
            </w:pPr>
          </w:p>
        </w:tc>
      </w:tr>
      <w:tr>
        <w:trPr>
          <w:trHeight w:val="211"/>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Total finance income</w:t>
            </w:r>
          </w:p>
        </w:tc>
        <w:tc>
          <w:tcPr>
            <w:tcW w:w="2600" w:type="dxa"/>
            <w:vAlign w:val="bottom"/>
          </w:tcPr>
          <w:p>
            <w:pPr>
              <w:jc w:val="right"/>
              <w:ind w:right="346"/>
              <w:spacing w:after="0"/>
              <w:rPr>
                <w:sz w:val="20"/>
                <w:szCs w:val="20"/>
                <w:color w:val="auto"/>
              </w:rPr>
            </w:pPr>
            <w:r>
              <w:rPr>
                <w:rFonts w:ascii="Arial" w:cs="Arial" w:eastAsia="Arial" w:hAnsi="Arial"/>
                <w:sz w:val="15"/>
                <w:szCs w:val="15"/>
                <w:b w:val="1"/>
                <w:bCs w:val="1"/>
                <w:color w:val="auto"/>
              </w:rPr>
              <w:t>7,076</w:t>
            </w:r>
          </w:p>
        </w:tc>
        <w:tc>
          <w:tcPr>
            <w:tcW w:w="960" w:type="dxa"/>
            <w:vAlign w:val="bottom"/>
          </w:tcPr>
          <w:p>
            <w:pPr>
              <w:jc w:val="right"/>
              <w:spacing w:after="0"/>
              <w:rPr>
                <w:sz w:val="20"/>
                <w:szCs w:val="20"/>
                <w:color w:val="auto"/>
              </w:rPr>
            </w:pPr>
            <w:r>
              <w:rPr>
                <w:rFonts w:ascii="Arial" w:cs="Arial" w:eastAsia="Arial" w:hAnsi="Arial"/>
                <w:sz w:val="15"/>
                <w:szCs w:val="15"/>
                <w:color w:val="183964"/>
              </w:rPr>
              <w:t>11,732</w:t>
            </w:r>
          </w:p>
        </w:tc>
      </w:tr>
      <w:tr>
        <w:trPr>
          <w:trHeight w:val="25"/>
        </w:trPr>
        <w:tc>
          <w:tcPr>
            <w:tcW w:w="7660" w:type="dxa"/>
            <w:vAlign w:val="bottom"/>
            <w:tcBorders>
              <w:bottom w:val="single" w:sz="8" w:color="001544"/>
            </w:tcBorders>
          </w:tcPr>
          <w:p>
            <w:pPr>
              <w:spacing w:after="0"/>
              <w:rPr>
                <w:sz w:val="2"/>
                <w:szCs w:val="2"/>
                <w:color w:val="auto"/>
              </w:rPr>
            </w:pPr>
          </w:p>
        </w:tc>
        <w:tc>
          <w:tcPr>
            <w:tcW w:w="2600" w:type="dxa"/>
            <w:vAlign w:val="bottom"/>
            <w:tcBorders>
              <w:bottom w:val="single" w:sz="8" w:color="001544"/>
            </w:tcBorders>
          </w:tcPr>
          <w:p>
            <w:pPr>
              <w:spacing w:after="0"/>
              <w:rPr>
                <w:sz w:val="2"/>
                <w:szCs w:val="2"/>
                <w:color w:val="auto"/>
              </w:rPr>
            </w:pPr>
          </w:p>
        </w:tc>
        <w:tc>
          <w:tcPr>
            <w:tcW w:w="960" w:type="dxa"/>
            <w:vAlign w:val="bottom"/>
            <w:tcBorders>
              <w:bottom w:val="single" w:sz="8" w:color="001544"/>
            </w:tcBorders>
          </w:tcPr>
          <w:p>
            <w:pPr>
              <w:spacing w:after="0"/>
              <w:rPr>
                <w:sz w:val="2"/>
                <w:szCs w:val="2"/>
                <w:color w:val="auto"/>
              </w:rPr>
            </w:pPr>
          </w:p>
        </w:tc>
      </w:tr>
      <w:tr>
        <w:trPr>
          <w:trHeight w:val="211"/>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Finance costs</w:t>
            </w:r>
          </w:p>
        </w:tc>
        <w:tc>
          <w:tcPr>
            <w:tcW w:w="2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5"/>
                <w:szCs w:val="15"/>
                <w:color w:val="auto"/>
              </w:rPr>
              <w:t>Contractual interest expense on notes payable</w:t>
            </w:r>
          </w:p>
        </w:tc>
        <w:tc>
          <w:tcPr>
            <w:tcW w:w="2600" w:type="dxa"/>
            <w:vAlign w:val="bottom"/>
          </w:tcPr>
          <w:p>
            <w:pPr>
              <w:jc w:val="right"/>
              <w:ind w:right="286"/>
              <w:spacing w:after="0"/>
              <w:rPr>
                <w:sz w:val="20"/>
                <w:szCs w:val="20"/>
                <w:color w:val="auto"/>
              </w:rPr>
            </w:pPr>
            <w:r>
              <w:rPr>
                <w:rFonts w:ascii="Arial" w:cs="Arial" w:eastAsia="Arial" w:hAnsi="Arial"/>
                <w:sz w:val="15"/>
                <w:szCs w:val="15"/>
                <w:b w:val="1"/>
                <w:bCs w:val="1"/>
                <w:color w:val="auto"/>
              </w:rPr>
              <w:t>(384)</w:t>
            </w:r>
          </w:p>
        </w:tc>
        <w:tc>
          <w:tcPr>
            <w:tcW w:w="960" w:type="dxa"/>
            <w:vAlign w:val="bottom"/>
          </w:tcPr>
          <w:p>
            <w:pPr>
              <w:jc w:val="right"/>
              <w:spacing w:after="0"/>
              <w:rPr>
                <w:sz w:val="20"/>
                <w:szCs w:val="20"/>
                <w:color w:val="auto"/>
              </w:rPr>
            </w:pPr>
            <w:r>
              <w:rPr>
                <w:rFonts w:ascii="Arial" w:cs="Arial" w:eastAsia="Arial" w:hAnsi="Arial"/>
                <w:sz w:val="15"/>
                <w:szCs w:val="15"/>
                <w:color w:val="183964"/>
              </w:rPr>
              <w:t>(328)</w:t>
            </w:r>
          </w:p>
        </w:tc>
      </w:tr>
      <w:tr>
        <w:trPr>
          <w:trHeight w:val="243"/>
        </w:trPr>
        <w:tc>
          <w:tcPr>
            <w:tcW w:w="7660" w:type="dxa"/>
            <w:vAlign w:val="bottom"/>
          </w:tcPr>
          <w:p>
            <w:pPr>
              <w:ind w:left="20"/>
              <w:spacing w:after="0"/>
              <w:rPr>
                <w:sz w:val="20"/>
                <w:szCs w:val="20"/>
                <w:color w:val="auto"/>
              </w:rPr>
            </w:pPr>
            <w:r>
              <w:rPr>
                <w:rFonts w:ascii="Arial" w:cs="Arial" w:eastAsia="Arial" w:hAnsi="Arial"/>
                <w:sz w:val="15"/>
                <w:szCs w:val="15"/>
                <w:color w:val="auto"/>
              </w:rPr>
              <w:t>Interest expense on lease liability</w:t>
            </w:r>
          </w:p>
        </w:tc>
        <w:tc>
          <w:tcPr>
            <w:tcW w:w="2600" w:type="dxa"/>
            <w:vAlign w:val="bottom"/>
          </w:tcPr>
          <w:p>
            <w:pPr>
              <w:jc w:val="right"/>
              <w:ind w:right="286"/>
              <w:spacing w:after="0"/>
              <w:rPr>
                <w:sz w:val="20"/>
                <w:szCs w:val="20"/>
                <w:color w:val="auto"/>
              </w:rPr>
            </w:pPr>
            <w:r>
              <w:rPr>
                <w:rFonts w:ascii="Arial" w:cs="Arial" w:eastAsia="Arial" w:hAnsi="Arial"/>
                <w:sz w:val="15"/>
                <w:szCs w:val="15"/>
                <w:b w:val="1"/>
                <w:bCs w:val="1"/>
                <w:color w:val="auto"/>
              </w:rPr>
              <w:t>(562)</w:t>
            </w:r>
          </w:p>
        </w:tc>
        <w:tc>
          <w:tcPr>
            <w:tcW w:w="960" w:type="dxa"/>
            <w:vAlign w:val="bottom"/>
          </w:tcPr>
          <w:p>
            <w:pPr>
              <w:jc w:val="right"/>
              <w:spacing w:after="0"/>
              <w:rPr>
                <w:sz w:val="20"/>
                <w:szCs w:val="20"/>
                <w:color w:val="auto"/>
              </w:rPr>
            </w:pPr>
            <w:r>
              <w:rPr>
                <w:rFonts w:ascii="Arial" w:cs="Arial" w:eastAsia="Arial" w:hAnsi="Arial"/>
                <w:sz w:val="15"/>
                <w:szCs w:val="15"/>
                <w:color w:val="183964"/>
              </w:rPr>
              <w:t>(675)</w:t>
            </w:r>
          </w:p>
        </w:tc>
      </w:tr>
      <w:tr>
        <w:trPr>
          <w:trHeight w:val="243"/>
        </w:trPr>
        <w:tc>
          <w:tcPr>
            <w:tcW w:w="7660" w:type="dxa"/>
            <w:vAlign w:val="bottom"/>
          </w:tcPr>
          <w:p>
            <w:pPr>
              <w:ind w:left="20"/>
              <w:spacing w:after="0"/>
              <w:rPr>
                <w:sz w:val="20"/>
                <w:szCs w:val="20"/>
                <w:color w:val="auto"/>
              </w:rPr>
            </w:pPr>
            <w:r>
              <w:rPr>
                <w:rFonts w:ascii="Arial" w:cs="Arial" w:eastAsia="Arial" w:hAnsi="Arial"/>
                <w:sz w:val="15"/>
                <w:szCs w:val="15"/>
                <w:color w:val="auto"/>
              </w:rPr>
              <w:t>Gain/(loss) on foreign currency exchange</w:t>
            </w:r>
          </w:p>
        </w:tc>
        <w:tc>
          <w:tcPr>
            <w:tcW w:w="2600" w:type="dxa"/>
            <w:vAlign w:val="bottom"/>
          </w:tcPr>
          <w:p>
            <w:pPr>
              <w:jc w:val="right"/>
              <w:ind w:right="286"/>
              <w:spacing w:after="0"/>
              <w:rPr>
                <w:sz w:val="20"/>
                <w:szCs w:val="20"/>
                <w:color w:val="auto"/>
              </w:rPr>
            </w:pPr>
            <w:r>
              <w:rPr>
                <w:rFonts w:ascii="Arial" w:cs="Arial" w:eastAsia="Arial" w:hAnsi="Arial"/>
                <w:sz w:val="15"/>
                <w:szCs w:val="15"/>
                <w:b w:val="1"/>
                <w:bCs w:val="1"/>
                <w:color w:val="auto"/>
              </w:rPr>
              <w:t>(14)</w:t>
            </w:r>
          </w:p>
        </w:tc>
        <w:tc>
          <w:tcPr>
            <w:tcW w:w="960" w:type="dxa"/>
            <w:vAlign w:val="bottom"/>
          </w:tcPr>
          <w:p>
            <w:pPr>
              <w:jc w:val="right"/>
              <w:spacing w:after="0"/>
              <w:rPr>
                <w:sz w:val="20"/>
                <w:szCs w:val="20"/>
                <w:color w:val="auto"/>
              </w:rPr>
            </w:pPr>
            <w:r>
              <w:rPr>
                <w:rFonts w:ascii="Arial" w:cs="Arial" w:eastAsia="Arial" w:hAnsi="Arial"/>
                <w:sz w:val="15"/>
                <w:szCs w:val="15"/>
                <w:color w:val="183964"/>
              </w:rPr>
              <w:t>(33)</w:t>
            </w:r>
          </w:p>
        </w:tc>
      </w:tr>
      <w:tr>
        <w:trPr>
          <w:trHeight w:val="25"/>
        </w:trPr>
        <w:tc>
          <w:tcPr>
            <w:tcW w:w="7660" w:type="dxa"/>
            <w:vAlign w:val="bottom"/>
            <w:tcBorders>
              <w:bottom w:val="single" w:sz="8" w:color="001544"/>
            </w:tcBorders>
          </w:tcPr>
          <w:p>
            <w:pPr>
              <w:spacing w:after="0"/>
              <w:rPr>
                <w:sz w:val="2"/>
                <w:szCs w:val="2"/>
                <w:color w:val="auto"/>
              </w:rPr>
            </w:pPr>
          </w:p>
        </w:tc>
        <w:tc>
          <w:tcPr>
            <w:tcW w:w="2600" w:type="dxa"/>
            <w:vAlign w:val="bottom"/>
            <w:tcBorders>
              <w:bottom w:val="single" w:sz="8" w:color="001544"/>
            </w:tcBorders>
          </w:tcPr>
          <w:p>
            <w:pPr>
              <w:spacing w:after="0"/>
              <w:rPr>
                <w:sz w:val="2"/>
                <w:szCs w:val="2"/>
                <w:color w:val="auto"/>
              </w:rPr>
            </w:pPr>
          </w:p>
        </w:tc>
        <w:tc>
          <w:tcPr>
            <w:tcW w:w="960" w:type="dxa"/>
            <w:vAlign w:val="bottom"/>
            <w:tcBorders>
              <w:bottom w:val="single" w:sz="8" w:color="001544"/>
            </w:tcBorders>
          </w:tcPr>
          <w:p>
            <w:pPr>
              <w:spacing w:after="0"/>
              <w:rPr>
                <w:sz w:val="2"/>
                <w:szCs w:val="2"/>
                <w:color w:val="auto"/>
              </w:rPr>
            </w:pPr>
          </w:p>
        </w:tc>
      </w:tr>
      <w:tr>
        <w:trPr>
          <w:trHeight w:val="212"/>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Total finance costs – contractual</w:t>
            </w:r>
          </w:p>
        </w:tc>
        <w:tc>
          <w:tcPr>
            <w:tcW w:w="2600" w:type="dxa"/>
            <w:vAlign w:val="bottom"/>
          </w:tcPr>
          <w:p>
            <w:pPr>
              <w:jc w:val="right"/>
              <w:ind w:right="286"/>
              <w:spacing w:after="0"/>
              <w:rPr>
                <w:sz w:val="20"/>
                <w:szCs w:val="20"/>
                <w:color w:val="auto"/>
              </w:rPr>
            </w:pPr>
            <w:r>
              <w:rPr>
                <w:rFonts w:ascii="Arial" w:cs="Arial" w:eastAsia="Arial" w:hAnsi="Arial"/>
                <w:sz w:val="15"/>
                <w:szCs w:val="15"/>
                <w:b w:val="1"/>
                <w:bCs w:val="1"/>
                <w:color w:val="auto"/>
              </w:rPr>
              <w:t>(960)</w:t>
            </w:r>
          </w:p>
        </w:tc>
        <w:tc>
          <w:tcPr>
            <w:tcW w:w="960" w:type="dxa"/>
            <w:vAlign w:val="bottom"/>
          </w:tcPr>
          <w:p>
            <w:pPr>
              <w:jc w:val="right"/>
              <w:spacing w:after="0"/>
              <w:rPr>
                <w:sz w:val="20"/>
                <w:szCs w:val="20"/>
                <w:color w:val="auto"/>
              </w:rPr>
            </w:pPr>
            <w:r>
              <w:rPr>
                <w:rFonts w:ascii="Arial" w:cs="Arial" w:eastAsia="Arial" w:hAnsi="Arial"/>
                <w:sz w:val="15"/>
                <w:szCs w:val="15"/>
                <w:color w:val="183964"/>
              </w:rPr>
              <w:t>(1,036)</w:t>
            </w:r>
          </w:p>
        </w:tc>
      </w:tr>
      <w:tr>
        <w:trPr>
          <w:trHeight w:val="25"/>
        </w:trPr>
        <w:tc>
          <w:tcPr>
            <w:tcW w:w="7660" w:type="dxa"/>
            <w:vAlign w:val="bottom"/>
            <w:tcBorders>
              <w:bottom w:val="single" w:sz="8" w:color="001544"/>
            </w:tcBorders>
          </w:tcPr>
          <w:p>
            <w:pPr>
              <w:spacing w:after="0"/>
              <w:rPr>
                <w:sz w:val="2"/>
                <w:szCs w:val="2"/>
                <w:color w:val="auto"/>
              </w:rPr>
            </w:pPr>
          </w:p>
        </w:tc>
        <w:tc>
          <w:tcPr>
            <w:tcW w:w="2600" w:type="dxa"/>
            <w:vAlign w:val="bottom"/>
            <w:tcBorders>
              <w:bottom w:val="single" w:sz="8" w:color="001544"/>
            </w:tcBorders>
          </w:tcPr>
          <w:p>
            <w:pPr>
              <w:spacing w:after="0"/>
              <w:rPr>
                <w:sz w:val="2"/>
                <w:szCs w:val="2"/>
                <w:color w:val="auto"/>
              </w:rPr>
            </w:pPr>
          </w:p>
        </w:tc>
        <w:tc>
          <w:tcPr>
            <w:tcW w:w="960" w:type="dxa"/>
            <w:vAlign w:val="bottom"/>
            <w:tcBorders>
              <w:bottom w:val="single" w:sz="8" w:color="001544"/>
            </w:tcBorders>
          </w:tcPr>
          <w:p>
            <w:pPr>
              <w:spacing w:after="0"/>
              <w:rPr>
                <w:sz w:val="2"/>
                <w:szCs w:val="2"/>
                <w:color w:val="auto"/>
              </w:rPr>
            </w:pPr>
          </w:p>
        </w:tc>
      </w:tr>
      <w:tr>
        <w:trPr>
          <w:trHeight w:val="211"/>
        </w:trPr>
        <w:tc>
          <w:tcPr>
            <w:tcW w:w="7660" w:type="dxa"/>
            <w:vAlign w:val="bottom"/>
          </w:tcPr>
          <w:p>
            <w:pPr>
              <w:ind w:left="20"/>
              <w:spacing w:after="0"/>
              <w:rPr>
                <w:sz w:val="20"/>
                <w:szCs w:val="20"/>
                <w:color w:val="auto"/>
              </w:rPr>
            </w:pPr>
            <w:r>
              <w:rPr>
                <w:rFonts w:ascii="Arial" w:cs="Arial" w:eastAsia="Arial" w:hAnsi="Arial"/>
                <w:sz w:val="15"/>
                <w:szCs w:val="15"/>
                <w:color w:val="auto"/>
              </w:rPr>
              <w:t>Gain/(loss) from changes in fair value of preferred shares</w:t>
            </w:r>
          </w:p>
        </w:tc>
        <w:tc>
          <w:tcPr>
            <w:tcW w:w="2600" w:type="dxa"/>
            <w:vAlign w:val="bottom"/>
          </w:tcPr>
          <w:p>
            <w:pPr>
              <w:jc w:val="right"/>
              <w:ind w:right="346"/>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183964"/>
              </w:rPr>
              <w:t>(1,613)</w:t>
            </w:r>
          </w:p>
        </w:tc>
      </w:tr>
      <w:tr>
        <w:trPr>
          <w:trHeight w:val="243"/>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Total finance income/(costs) – fair value accounting</w:t>
            </w:r>
          </w:p>
        </w:tc>
        <w:tc>
          <w:tcPr>
            <w:tcW w:w="2600" w:type="dxa"/>
            <w:vAlign w:val="bottom"/>
          </w:tcPr>
          <w:p>
            <w:pPr>
              <w:jc w:val="right"/>
              <w:ind w:right="346"/>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183964"/>
              </w:rPr>
              <w:t>(1,613)</w:t>
            </w:r>
          </w:p>
        </w:tc>
      </w:tr>
      <w:tr>
        <w:trPr>
          <w:trHeight w:val="25"/>
        </w:trPr>
        <w:tc>
          <w:tcPr>
            <w:tcW w:w="7660" w:type="dxa"/>
            <w:vAlign w:val="bottom"/>
            <w:tcBorders>
              <w:bottom w:val="single" w:sz="8" w:color="001544"/>
            </w:tcBorders>
          </w:tcPr>
          <w:p>
            <w:pPr>
              <w:spacing w:after="0"/>
              <w:rPr>
                <w:sz w:val="2"/>
                <w:szCs w:val="2"/>
                <w:color w:val="auto"/>
              </w:rPr>
            </w:pPr>
          </w:p>
        </w:tc>
        <w:tc>
          <w:tcPr>
            <w:tcW w:w="2600" w:type="dxa"/>
            <w:vAlign w:val="bottom"/>
            <w:tcBorders>
              <w:bottom w:val="single" w:sz="8" w:color="001544"/>
            </w:tcBorders>
          </w:tcPr>
          <w:p>
            <w:pPr>
              <w:spacing w:after="0"/>
              <w:rPr>
                <w:sz w:val="2"/>
                <w:szCs w:val="2"/>
                <w:color w:val="auto"/>
              </w:rPr>
            </w:pPr>
          </w:p>
        </w:tc>
        <w:tc>
          <w:tcPr>
            <w:tcW w:w="960" w:type="dxa"/>
            <w:vAlign w:val="bottom"/>
            <w:tcBorders>
              <w:bottom w:val="single" w:sz="8" w:color="001544"/>
            </w:tcBorders>
          </w:tcPr>
          <w:p>
            <w:pPr>
              <w:spacing w:after="0"/>
              <w:rPr>
                <w:sz w:val="2"/>
                <w:szCs w:val="2"/>
                <w:color w:val="auto"/>
              </w:rPr>
            </w:pPr>
          </w:p>
        </w:tc>
      </w:tr>
      <w:tr>
        <w:trPr>
          <w:trHeight w:val="212"/>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Total finance costs - non-cash interest expense related to sale of future royalties</w:t>
            </w:r>
          </w:p>
        </w:tc>
        <w:tc>
          <w:tcPr>
            <w:tcW w:w="2600" w:type="dxa"/>
            <w:vAlign w:val="bottom"/>
          </w:tcPr>
          <w:p>
            <w:pPr>
              <w:jc w:val="right"/>
              <w:ind w:right="346"/>
              <w:spacing w:after="0"/>
              <w:rPr>
                <w:sz w:val="20"/>
                <w:szCs w:val="20"/>
                <w:color w:val="auto"/>
              </w:rPr>
            </w:pPr>
            <w:r>
              <w:rPr>
                <w:rFonts w:ascii="Arial" w:cs="Arial" w:eastAsia="Arial" w:hAnsi="Arial"/>
                <w:sz w:val="15"/>
                <w:szCs w:val="15"/>
                <w:b w:val="1"/>
                <w:bCs w:val="1"/>
                <w:color w:val="auto"/>
              </w:rPr>
              <w:t>247</w:t>
            </w:r>
          </w:p>
        </w:tc>
        <w:tc>
          <w:tcPr>
            <w:tcW w:w="960" w:type="dxa"/>
            <w:vAlign w:val="bottom"/>
          </w:tcPr>
          <w:p>
            <w:pPr>
              <w:jc w:val="right"/>
              <w:spacing w:after="0"/>
              <w:rPr>
                <w:sz w:val="20"/>
                <w:szCs w:val="20"/>
                <w:color w:val="auto"/>
              </w:rPr>
            </w:pPr>
            <w:r>
              <w:rPr>
                <w:rFonts w:ascii="Arial" w:cs="Arial" w:eastAsia="Arial" w:hAnsi="Arial"/>
                <w:sz w:val="15"/>
                <w:szCs w:val="15"/>
                <w:color w:val="183964"/>
              </w:rPr>
              <w:t>(10,551)</w:t>
            </w:r>
          </w:p>
        </w:tc>
      </w:tr>
      <w:tr>
        <w:trPr>
          <w:trHeight w:val="25"/>
        </w:trPr>
        <w:tc>
          <w:tcPr>
            <w:tcW w:w="7660" w:type="dxa"/>
            <w:vAlign w:val="bottom"/>
            <w:tcBorders>
              <w:bottom w:val="single" w:sz="8" w:color="001544"/>
            </w:tcBorders>
          </w:tcPr>
          <w:p>
            <w:pPr>
              <w:spacing w:after="0"/>
              <w:rPr>
                <w:sz w:val="2"/>
                <w:szCs w:val="2"/>
                <w:color w:val="auto"/>
              </w:rPr>
            </w:pPr>
          </w:p>
        </w:tc>
        <w:tc>
          <w:tcPr>
            <w:tcW w:w="2600" w:type="dxa"/>
            <w:vAlign w:val="bottom"/>
            <w:tcBorders>
              <w:bottom w:val="single" w:sz="8" w:color="001544"/>
            </w:tcBorders>
          </w:tcPr>
          <w:p>
            <w:pPr>
              <w:spacing w:after="0"/>
              <w:rPr>
                <w:sz w:val="2"/>
                <w:szCs w:val="2"/>
                <w:color w:val="auto"/>
              </w:rPr>
            </w:pPr>
          </w:p>
        </w:tc>
        <w:tc>
          <w:tcPr>
            <w:tcW w:w="960" w:type="dxa"/>
            <w:vAlign w:val="bottom"/>
            <w:tcBorders>
              <w:bottom w:val="single" w:sz="8" w:color="001544"/>
            </w:tcBorders>
          </w:tcPr>
          <w:p>
            <w:pPr>
              <w:spacing w:after="0"/>
              <w:rPr>
                <w:sz w:val="2"/>
                <w:szCs w:val="2"/>
                <w:color w:val="auto"/>
              </w:rPr>
            </w:pPr>
          </w:p>
        </w:tc>
      </w:tr>
      <w:tr>
        <w:trPr>
          <w:trHeight w:val="212"/>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Finance income/(costs), net</w:t>
            </w:r>
          </w:p>
        </w:tc>
        <w:tc>
          <w:tcPr>
            <w:tcW w:w="2600" w:type="dxa"/>
            <w:vAlign w:val="bottom"/>
          </w:tcPr>
          <w:p>
            <w:pPr>
              <w:jc w:val="right"/>
              <w:ind w:right="346"/>
              <w:spacing w:after="0"/>
              <w:rPr>
                <w:sz w:val="20"/>
                <w:szCs w:val="20"/>
                <w:color w:val="auto"/>
              </w:rPr>
            </w:pPr>
            <w:r>
              <w:rPr>
                <w:rFonts w:ascii="Arial" w:cs="Arial" w:eastAsia="Arial" w:hAnsi="Arial"/>
                <w:sz w:val="15"/>
                <w:szCs w:val="15"/>
                <w:b w:val="1"/>
                <w:bCs w:val="1"/>
                <w:color w:val="auto"/>
              </w:rPr>
              <w:t>6,363</w:t>
            </w:r>
          </w:p>
        </w:tc>
        <w:tc>
          <w:tcPr>
            <w:tcW w:w="960" w:type="dxa"/>
            <w:vAlign w:val="bottom"/>
          </w:tcPr>
          <w:p>
            <w:pPr>
              <w:jc w:val="right"/>
              <w:spacing w:after="0"/>
              <w:rPr>
                <w:sz w:val="20"/>
                <w:szCs w:val="20"/>
                <w:color w:val="auto"/>
              </w:rPr>
            </w:pPr>
            <w:r>
              <w:rPr>
                <w:rFonts w:ascii="Arial" w:cs="Arial" w:eastAsia="Arial" w:hAnsi="Arial"/>
                <w:sz w:val="15"/>
                <w:szCs w:val="15"/>
                <w:color w:val="183964"/>
              </w:rPr>
              <w:t>(1,468)</w:t>
            </w:r>
          </w:p>
        </w:tc>
      </w:tr>
      <w:tr>
        <w:trPr>
          <w:trHeight w:val="25"/>
        </w:trPr>
        <w:tc>
          <w:tcPr>
            <w:tcW w:w="7660" w:type="dxa"/>
            <w:vAlign w:val="bottom"/>
            <w:tcBorders>
              <w:bottom w:val="single" w:sz="8" w:color="001544"/>
            </w:tcBorders>
          </w:tcPr>
          <w:p>
            <w:pPr>
              <w:spacing w:after="0"/>
              <w:rPr>
                <w:sz w:val="2"/>
                <w:szCs w:val="2"/>
                <w:color w:val="auto"/>
              </w:rPr>
            </w:pPr>
          </w:p>
        </w:tc>
        <w:tc>
          <w:tcPr>
            <w:tcW w:w="2600" w:type="dxa"/>
            <w:vAlign w:val="bottom"/>
            <w:tcBorders>
              <w:bottom w:val="single" w:sz="8" w:color="001544"/>
            </w:tcBorders>
          </w:tcPr>
          <w:p>
            <w:pPr>
              <w:spacing w:after="0"/>
              <w:rPr>
                <w:sz w:val="2"/>
                <w:szCs w:val="2"/>
                <w:color w:val="auto"/>
              </w:rPr>
            </w:pPr>
          </w:p>
        </w:tc>
        <w:tc>
          <w:tcPr>
            <w:tcW w:w="960" w:type="dxa"/>
            <w:vAlign w:val="bottom"/>
            <w:tcBorders>
              <w:bottom w:val="single" w:sz="8" w:color="001544"/>
            </w:tcBorders>
          </w:tcPr>
          <w:p>
            <w:pPr>
              <w:spacing w:after="0"/>
              <w:rPr>
                <w:sz w:val="2"/>
                <w:szCs w:val="2"/>
                <w:color w:val="auto"/>
              </w:rPr>
            </w:pPr>
          </w:p>
        </w:tc>
      </w:tr>
    </w:tbl>
    <w:p>
      <w:pPr>
        <w:spacing w:after="0" w:line="251" w:lineRule="exact"/>
        <w:rPr>
          <w:sz w:val="20"/>
          <w:szCs w:val="20"/>
          <w:color w:val="auto"/>
        </w:rPr>
      </w:pPr>
    </w:p>
    <w:p>
      <w:pPr>
        <w:ind w:left="300" w:hanging="292"/>
        <w:spacing w:after="0"/>
        <w:tabs>
          <w:tab w:leader="none" w:pos="300" w:val="left"/>
        </w:tabs>
        <w:numPr>
          <w:ilvl w:val="0"/>
          <w:numId w:val="23"/>
        </w:numPr>
        <w:rPr>
          <w:rFonts w:ascii="Arial" w:cs="Arial" w:eastAsia="Arial" w:hAnsi="Arial"/>
          <w:sz w:val="15"/>
          <w:szCs w:val="15"/>
          <w:b w:val="1"/>
          <w:bCs w:val="1"/>
          <w:color w:val="183964"/>
        </w:rPr>
      </w:pPr>
      <w:r>
        <w:rPr>
          <w:rFonts w:ascii="Arial" w:cs="Arial" w:eastAsia="Arial" w:hAnsi="Arial"/>
          <w:sz w:val="15"/>
          <w:szCs w:val="15"/>
          <w:b w:val="1"/>
          <w:bCs w:val="1"/>
          <w:color w:val="183964"/>
        </w:rPr>
        <w:t>Earnings/(Loss) per Share</w:t>
      </w:r>
    </w:p>
    <w:p>
      <w:pPr>
        <w:spacing w:after="0" w:line="100" w:lineRule="exact"/>
        <w:rPr>
          <w:sz w:val="20"/>
          <w:szCs w:val="20"/>
          <w:color w:val="auto"/>
        </w:rPr>
      </w:pPr>
    </w:p>
    <w:p>
      <w:pPr>
        <w:ind w:right="200"/>
        <w:spacing w:after="0" w:line="301" w:lineRule="auto"/>
        <w:rPr>
          <w:sz w:val="20"/>
          <w:szCs w:val="20"/>
          <w:color w:val="auto"/>
        </w:rPr>
      </w:pPr>
      <w:r>
        <w:rPr>
          <w:rFonts w:ascii="Arial" w:cs="Arial" w:eastAsia="Arial" w:hAnsi="Arial"/>
          <w:sz w:val="15"/>
          <w:szCs w:val="15"/>
          <w:color w:val="auto"/>
        </w:rPr>
        <w:t>Basic earnings/(loss) per share is calculated by dividing the Group's net income or loss for the period attributable to ordinary shareholders by the weighted average number of ordinary shares outstanding, net of treasury shares.</w:t>
      </w:r>
    </w:p>
    <w:p>
      <w:pPr>
        <w:spacing w:after="0" w:line="26" w:lineRule="exact"/>
        <w:rPr>
          <w:sz w:val="20"/>
          <w:szCs w:val="20"/>
          <w:color w:val="auto"/>
        </w:rPr>
      </w:pPr>
    </w:p>
    <w:p>
      <w:pPr>
        <w:ind w:right="100"/>
        <w:spacing w:after="0" w:line="273" w:lineRule="auto"/>
        <w:rPr>
          <w:sz w:val="20"/>
          <w:szCs w:val="20"/>
          <w:color w:val="auto"/>
        </w:rPr>
      </w:pPr>
      <w:r>
        <w:rPr>
          <w:rFonts w:ascii="Arial" w:cs="Arial" w:eastAsia="Arial" w:hAnsi="Arial"/>
          <w:sz w:val="15"/>
          <w:szCs w:val="15"/>
          <w:color w:val="auto"/>
        </w:rPr>
        <w:t>Diluted earnings/(loss) per share is calculated by dividing the Group's net income or loss for the period attributable to ordinary shareholders by the weighted average number of ordinary shares outstanding, net of treasury shares, plus the weighted average number of ordinary shares that would be issued at conversion of all the dilutive potential securities into ordinary shares. Dilutive effects arise from equity-settled shares from the Group's share-based plans.</w:t>
      </w:r>
    </w:p>
    <w:p>
      <w:pPr>
        <w:spacing w:after="0" w:line="59"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During the six months ended June 30, 2025 and June 30, 2024, the Group incurred a net loss, and therefore, all outstanding potential securities were considered anti-dilutive. The amount of potential securities that were excluded from the diluted calculation amounted to 1,569,477 and 1,637,694 shares for the six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380" w:type="dxa"/>
            <w:vAlign w:val="bottom"/>
          </w:tcPr>
          <w:p>
            <w:pPr>
              <w:spacing w:after="0"/>
              <w:rPr>
                <w:sz w:val="20"/>
                <w:szCs w:val="20"/>
                <w:color w:val="auto"/>
              </w:rPr>
            </w:pPr>
            <w:r>
              <w:rPr>
                <w:rFonts w:ascii="Arial" w:cs="Arial" w:eastAsia="Arial" w:hAnsi="Arial"/>
                <w:sz w:val="15"/>
                <w:szCs w:val="15"/>
                <w:color w:val="auto"/>
              </w:rPr>
              <w:t>June 30, 2025 and 2024, respectively.</w:t>
            </w: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9"/>
        </w:trPr>
        <w:tc>
          <w:tcPr>
            <w:tcW w:w="8380" w:type="dxa"/>
            <w:vAlign w:val="bottom"/>
          </w:tcPr>
          <w:p>
            <w:pPr>
              <w:spacing w:after="0"/>
              <w:rPr>
                <w:sz w:val="20"/>
                <w:szCs w:val="20"/>
                <w:color w:val="auto"/>
              </w:rPr>
            </w:pPr>
            <w:r>
              <w:rPr>
                <w:rFonts w:ascii="Arial" w:cs="Arial" w:eastAsia="Arial" w:hAnsi="Arial"/>
                <w:sz w:val="15"/>
                <w:szCs w:val="15"/>
                <w:color w:val="auto"/>
              </w:rPr>
              <w:t>The following table sets forth the calculation of basic and diluted earnings/(loss) per share for the periods presented:</w:t>
            </w:r>
          </w:p>
        </w:tc>
        <w:tc>
          <w:tcPr>
            <w:tcW w:w="16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35"/>
        </w:trPr>
        <w:tc>
          <w:tcPr>
            <w:tcW w:w="8380" w:type="dxa"/>
            <w:vAlign w:val="bottom"/>
          </w:tcPr>
          <w:p>
            <w:pPr>
              <w:ind w:left="20"/>
              <w:spacing w:after="0"/>
              <w:rPr>
                <w:sz w:val="20"/>
                <w:szCs w:val="20"/>
                <w:color w:val="auto"/>
              </w:rPr>
            </w:pPr>
            <w:r>
              <w:rPr>
                <w:rFonts w:ascii="Arial" w:cs="Arial" w:eastAsia="Arial" w:hAnsi="Arial"/>
                <w:sz w:val="15"/>
                <w:szCs w:val="15"/>
                <w:color w:val="auto"/>
              </w:rPr>
              <w:t>For the six months ended June 30,</w:t>
            </w:r>
          </w:p>
        </w:tc>
        <w:tc>
          <w:tcPr>
            <w:tcW w:w="1680" w:type="dxa"/>
            <w:vAlign w:val="bottom"/>
          </w:tcPr>
          <w:p>
            <w:pPr>
              <w:jc w:val="right"/>
              <w:ind w:right="165"/>
              <w:spacing w:after="0"/>
              <w:rPr>
                <w:sz w:val="20"/>
                <w:szCs w:val="20"/>
                <w:color w:val="auto"/>
              </w:rPr>
            </w:pPr>
            <w:r>
              <w:rPr>
                <w:rFonts w:ascii="Arial" w:cs="Arial" w:eastAsia="Arial" w:hAnsi="Arial"/>
                <w:sz w:val="13"/>
                <w:szCs w:val="13"/>
                <w:b w:val="1"/>
                <w:bCs w:val="1"/>
                <w:color w:val="auto"/>
              </w:rPr>
              <w:t>2025</w:t>
            </w:r>
          </w:p>
        </w:tc>
        <w:tc>
          <w:tcPr>
            <w:tcW w:w="1160" w:type="dxa"/>
            <w:vAlign w:val="bottom"/>
          </w:tcPr>
          <w:p>
            <w:pPr>
              <w:jc w:val="right"/>
              <w:spacing w:after="0"/>
              <w:rPr>
                <w:sz w:val="20"/>
                <w:szCs w:val="20"/>
                <w:color w:val="auto"/>
              </w:rPr>
            </w:pPr>
            <w:r>
              <w:rPr>
                <w:rFonts w:ascii="Arial" w:cs="Arial" w:eastAsia="Arial" w:hAnsi="Arial"/>
                <w:sz w:val="13"/>
                <w:szCs w:val="13"/>
                <w:color w:val="183964"/>
              </w:rPr>
              <w:t>2024</w:t>
            </w:r>
          </w:p>
        </w:tc>
      </w:tr>
      <w:tr>
        <w:trPr>
          <w:trHeight w:val="22"/>
        </w:trPr>
        <w:tc>
          <w:tcPr>
            <w:tcW w:w="8380" w:type="dxa"/>
            <w:vAlign w:val="bottom"/>
            <w:tcBorders>
              <w:bottom w:val="single" w:sz="8" w:color="001544"/>
            </w:tcBorders>
          </w:tcPr>
          <w:p>
            <w:pPr>
              <w:spacing w:after="0" w:line="20" w:lineRule="exact"/>
              <w:rPr>
                <w:sz w:val="1"/>
                <w:szCs w:val="1"/>
                <w:color w:val="auto"/>
              </w:rPr>
            </w:pPr>
          </w:p>
        </w:tc>
        <w:tc>
          <w:tcPr>
            <w:tcW w:w="1680" w:type="dxa"/>
            <w:vAlign w:val="bottom"/>
            <w:tcBorders>
              <w:bottom w:val="single" w:sz="8" w:color="001544"/>
            </w:tcBorders>
          </w:tcPr>
          <w:p>
            <w:pPr>
              <w:spacing w:after="0" w:line="20" w:lineRule="exact"/>
              <w:rPr>
                <w:sz w:val="1"/>
                <w:szCs w:val="1"/>
                <w:color w:val="auto"/>
              </w:rPr>
            </w:pPr>
          </w:p>
        </w:tc>
        <w:tc>
          <w:tcPr>
            <w:tcW w:w="1160" w:type="dxa"/>
            <w:vAlign w:val="bottom"/>
            <w:tcBorders>
              <w:bottom w:val="single" w:sz="8" w:color="001544"/>
            </w:tcBorders>
          </w:tcPr>
          <w:p>
            <w:pPr>
              <w:spacing w:after="0" w:line="20" w:lineRule="exact"/>
              <w:rPr>
                <w:sz w:val="1"/>
                <w:szCs w:val="1"/>
                <w:color w:val="auto"/>
              </w:rPr>
            </w:pPr>
          </w:p>
        </w:tc>
      </w:tr>
      <w:tr>
        <w:trPr>
          <w:trHeight w:val="211"/>
        </w:trPr>
        <w:tc>
          <w:tcPr>
            <w:tcW w:w="8380" w:type="dxa"/>
            <w:vAlign w:val="bottom"/>
          </w:tcPr>
          <w:p>
            <w:pPr>
              <w:ind w:left="20"/>
              <w:spacing w:after="0"/>
              <w:rPr>
                <w:sz w:val="20"/>
                <w:szCs w:val="20"/>
                <w:color w:val="auto"/>
              </w:rPr>
            </w:pPr>
            <w:r>
              <w:rPr>
                <w:rFonts w:ascii="Arial" w:cs="Arial" w:eastAsia="Arial" w:hAnsi="Arial"/>
                <w:sz w:val="15"/>
                <w:szCs w:val="15"/>
                <w:b w:val="1"/>
                <w:bCs w:val="1"/>
                <w:color w:val="auto"/>
              </w:rPr>
              <w:t>Numerator:</w:t>
            </w:r>
          </w:p>
        </w:tc>
        <w:tc>
          <w:tcPr>
            <w:tcW w:w="16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5"/>
                <w:szCs w:val="15"/>
                <w:color w:val="auto"/>
              </w:rPr>
              <w:t>Income/(loss) attributable to the owners of the Group</w:t>
            </w:r>
          </w:p>
        </w:tc>
        <w:tc>
          <w:tcPr>
            <w:tcW w:w="1680" w:type="dxa"/>
            <w:vAlign w:val="bottom"/>
          </w:tcPr>
          <w:p>
            <w:pPr>
              <w:jc w:val="right"/>
              <w:ind w:right="185"/>
              <w:spacing w:after="0"/>
              <w:rPr>
                <w:sz w:val="20"/>
                <w:szCs w:val="20"/>
                <w:color w:val="auto"/>
              </w:rPr>
            </w:pPr>
            <w:r>
              <w:rPr>
                <w:rFonts w:ascii="Arial" w:cs="Arial" w:eastAsia="Arial" w:hAnsi="Arial"/>
                <w:sz w:val="15"/>
                <w:szCs w:val="15"/>
                <w:b w:val="1"/>
                <w:bCs w:val="1"/>
                <w:color w:val="auto"/>
              </w:rPr>
              <w:t>($44,605)</w:t>
            </w:r>
          </w:p>
        </w:tc>
        <w:tc>
          <w:tcPr>
            <w:tcW w:w="1160" w:type="dxa"/>
            <w:vAlign w:val="bottom"/>
          </w:tcPr>
          <w:p>
            <w:pPr>
              <w:jc w:val="right"/>
              <w:spacing w:after="0"/>
              <w:rPr>
                <w:sz w:val="20"/>
                <w:szCs w:val="20"/>
                <w:color w:val="auto"/>
              </w:rPr>
            </w:pPr>
            <w:r>
              <w:rPr>
                <w:rFonts w:ascii="Arial" w:cs="Arial" w:eastAsia="Arial" w:hAnsi="Arial"/>
                <w:sz w:val="15"/>
                <w:szCs w:val="15"/>
                <w:color w:val="183964"/>
              </w:rPr>
              <w:t>($41,773)</w:t>
            </w:r>
          </w:p>
        </w:tc>
      </w:tr>
      <w:tr>
        <w:trPr>
          <w:trHeight w:val="25"/>
        </w:trPr>
        <w:tc>
          <w:tcPr>
            <w:tcW w:w="8380" w:type="dxa"/>
            <w:vAlign w:val="bottom"/>
            <w:tcBorders>
              <w:bottom w:val="single" w:sz="8" w:color="183964"/>
            </w:tcBorders>
          </w:tcPr>
          <w:p>
            <w:pPr>
              <w:spacing w:after="0"/>
              <w:rPr>
                <w:sz w:val="2"/>
                <w:szCs w:val="2"/>
                <w:color w:val="auto"/>
              </w:rPr>
            </w:pPr>
          </w:p>
        </w:tc>
        <w:tc>
          <w:tcPr>
            <w:tcW w:w="1680" w:type="dxa"/>
            <w:vAlign w:val="bottom"/>
            <w:tcBorders>
              <w:bottom w:val="single" w:sz="8" w:color="183964"/>
            </w:tcBorders>
          </w:tcPr>
          <w:p>
            <w:pPr>
              <w:spacing w:after="0"/>
              <w:rPr>
                <w:sz w:val="2"/>
                <w:szCs w:val="2"/>
                <w:color w:val="auto"/>
              </w:rPr>
            </w:pPr>
          </w:p>
        </w:tc>
        <w:tc>
          <w:tcPr>
            <w:tcW w:w="1160" w:type="dxa"/>
            <w:vAlign w:val="bottom"/>
            <w:tcBorders>
              <w:bottom w:val="single" w:sz="8" w:color="183964"/>
            </w:tcBorders>
          </w:tcPr>
          <w:p>
            <w:pPr>
              <w:spacing w:after="0"/>
              <w:rPr>
                <w:sz w:val="2"/>
                <w:szCs w:val="2"/>
                <w:color w:val="auto"/>
              </w:rPr>
            </w:pPr>
          </w:p>
        </w:tc>
      </w:tr>
      <w:tr>
        <w:trPr>
          <w:trHeight w:val="211"/>
        </w:trPr>
        <w:tc>
          <w:tcPr>
            <w:tcW w:w="8380" w:type="dxa"/>
            <w:vAlign w:val="bottom"/>
          </w:tcPr>
          <w:p>
            <w:pPr>
              <w:ind w:left="20"/>
              <w:spacing w:after="0"/>
              <w:rPr>
                <w:sz w:val="20"/>
                <w:szCs w:val="20"/>
                <w:color w:val="auto"/>
              </w:rPr>
            </w:pPr>
            <w:r>
              <w:rPr>
                <w:rFonts w:ascii="Arial" w:cs="Arial" w:eastAsia="Arial" w:hAnsi="Arial"/>
                <w:sz w:val="15"/>
                <w:szCs w:val="15"/>
                <w:b w:val="1"/>
                <w:bCs w:val="1"/>
                <w:color w:val="auto"/>
              </w:rPr>
              <w:t>Denominator:</w:t>
            </w:r>
          </w:p>
        </w:tc>
        <w:tc>
          <w:tcPr>
            <w:tcW w:w="16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5"/>
                <w:szCs w:val="15"/>
                <w:color w:val="auto"/>
              </w:rPr>
              <w:t>Issued ordinary shares at January 1</w:t>
            </w:r>
          </w:p>
        </w:tc>
        <w:tc>
          <w:tcPr>
            <w:tcW w:w="1680" w:type="dxa"/>
            <w:vAlign w:val="bottom"/>
          </w:tcPr>
          <w:p>
            <w:pPr>
              <w:jc w:val="right"/>
              <w:ind w:right="225"/>
              <w:spacing w:after="0"/>
              <w:rPr>
                <w:sz w:val="20"/>
                <w:szCs w:val="20"/>
                <w:color w:val="auto"/>
              </w:rPr>
            </w:pPr>
            <w:r>
              <w:rPr>
                <w:rFonts w:ascii="Arial" w:cs="Arial" w:eastAsia="Arial" w:hAnsi="Arial"/>
                <w:sz w:val="15"/>
                <w:szCs w:val="15"/>
                <w:b w:val="1"/>
                <w:bCs w:val="1"/>
                <w:color w:val="auto"/>
              </w:rPr>
              <w:t>239,421,312</w:t>
            </w:r>
          </w:p>
        </w:tc>
        <w:tc>
          <w:tcPr>
            <w:tcW w:w="1160" w:type="dxa"/>
            <w:vAlign w:val="bottom"/>
          </w:tcPr>
          <w:p>
            <w:pPr>
              <w:jc w:val="right"/>
              <w:spacing w:after="0"/>
              <w:rPr>
                <w:sz w:val="20"/>
                <w:szCs w:val="20"/>
                <w:color w:val="auto"/>
              </w:rPr>
            </w:pPr>
            <w:r>
              <w:rPr>
                <w:rFonts w:ascii="Arial" w:cs="Arial" w:eastAsia="Arial" w:hAnsi="Arial"/>
                <w:sz w:val="15"/>
                <w:szCs w:val="15"/>
                <w:color w:val="183964"/>
              </w:rPr>
              <w:t>271,853,731</w:t>
            </w:r>
          </w:p>
        </w:tc>
      </w:tr>
      <w:tr>
        <w:trPr>
          <w:trHeight w:val="243"/>
        </w:trPr>
        <w:tc>
          <w:tcPr>
            <w:tcW w:w="8380" w:type="dxa"/>
            <w:vAlign w:val="bottom"/>
          </w:tcPr>
          <w:p>
            <w:pPr>
              <w:ind w:left="20"/>
              <w:spacing w:after="0"/>
              <w:rPr>
                <w:sz w:val="20"/>
                <w:szCs w:val="20"/>
                <w:color w:val="auto"/>
              </w:rPr>
            </w:pPr>
            <w:r>
              <w:rPr>
                <w:rFonts w:ascii="Arial" w:cs="Arial" w:eastAsia="Arial" w:hAnsi="Arial"/>
                <w:sz w:val="15"/>
                <w:szCs w:val="15"/>
                <w:color w:val="auto"/>
              </w:rPr>
              <w:t>Effect of shares issued &amp; treasury shares purchased and cancelled</w:t>
            </w:r>
          </w:p>
        </w:tc>
        <w:tc>
          <w:tcPr>
            <w:tcW w:w="1680" w:type="dxa"/>
            <w:vAlign w:val="bottom"/>
          </w:tcPr>
          <w:p>
            <w:pPr>
              <w:jc w:val="right"/>
              <w:ind w:right="225"/>
              <w:spacing w:after="0"/>
              <w:rPr>
                <w:sz w:val="20"/>
                <w:szCs w:val="20"/>
                <w:color w:val="auto"/>
              </w:rPr>
            </w:pPr>
            <w:r>
              <w:rPr>
                <w:rFonts w:ascii="Arial" w:cs="Arial" w:eastAsia="Arial" w:hAnsi="Arial"/>
                <w:sz w:val="15"/>
                <w:szCs w:val="15"/>
                <w:b w:val="1"/>
                <w:bCs w:val="1"/>
                <w:color w:val="auto"/>
              </w:rPr>
              <w:t>542,880</w:t>
            </w:r>
          </w:p>
        </w:tc>
        <w:tc>
          <w:tcPr>
            <w:tcW w:w="1160" w:type="dxa"/>
            <w:vAlign w:val="bottom"/>
          </w:tcPr>
          <w:p>
            <w:pPr>
              <w:jc w:val="right"/>
              <w:spacing w:after="0"/>
              <w:rPr>
                <w:sz w:val="20"/>
                <w:szCs w:val="20"/>
                <w:color w:val="auto"/>
              </w:rPr>
            </w:pPr>
            <w:r>
              <w:rPr>
                <w:rFonts w:ascii="Arial" w:cs="Arial" w:eastAsia="Arial" w:hAnsi="Arial"/>
                <w:sz w:val="15"/>
                <w:szCs w:val="15"/>
                <w:color w:val="183964"/>
              </w:rPr>
              <w:t>(2,197,209)</w:t>
            </w:r>
          </w:p>
        </w:tc>
      </w:tr>
      <w:tr>
        <w:trPr>
          <w:trHeight w:val="25"/>
        </w:trPr>
        <w:tc>
          <w:tcPr>
            <w:tcW w:w="8380" w:type="dxa"/>
            <w:vAlign w:val="bottom"/>
            <w:tcBorders>
              <w:bottom w:val="single" w:sz="8" w:color="001544"/>
            </w:tcBorders>
          </w:tcPr>
          <w:p>
            <w:pPr>
              <w:spacing w:after="0"/>
              <w:rPr>
                <w:sz w:val="2"/>
                <w:szCs w:val="2"/>
                <w:color w:val="auto"/>
              </w:rPr>
            </w:pPr>
          </w:p>
        </w:tc>
        <w:tc>
          <w:tcPr>
            <w:tcW w:w="1680" w:type="dxa"/>
            <w:vAlign w:val="bottom"/>
            <w:tcBorders>
              <w:bottom w:val="single" w:sz="8" w:color="001544"/>
            </w:tcBorders>
          </w:tcPr>
          <w:p>
            <w:pPr>
              <w:spacing w:after="0"/>
              <w:rPr>
                <w:sz w:val="2"/>
                <w:szCs w:val="2"/>
                <w:color w:val="auto"/>
              </w:rPr>
            </w:pPr>
          </w:p>
        </w:tc>
        <w:tc>
          <w:tcPr>
            <w:tcW w:w="1160" w:type="dxa"/>
            <w:vAlign w:val="bottom"/>
            <w:tcBorders>
              <w:bottom w:val="single" w:sz="8" w:color="001544"/>
            </w:tcBorders>
          </w:tcPr>
          <w:p>
            <w:pPr>
              <w:spacing w:after="0"/>
              <w:rPr>
                <w:sz w:val="2"/>
                <w:szCs w:val="2"/>
                <w:color w:val="auto"/>
              </w:rPr>
            </w:pPr>
          </w:p>
        </w:tc>
      </w:tr>
      <w:tr>
        <w:trPr>
          <w:trHeight w:val="211"/>
        </w:trPr>
        <w:tc>
          <w:tcPr>
            <w:tcW w:w="8380" w:type="dxa"/>
            <w:vAlign w:val="bottom"/>
          </w:tcPr>
          <w:p>
            <w:pPr>
              <w:ind w:left="20"/>
              <w:spacing w:after="0"/>
              <w:rPr>
                <w:sz w:val="20"/>
                <w:szCs w:val="20"/>
                <w:color w:val="auto"/>
              </w:rPr>
            </w:pPr>
            <w:r>
              <w:rPr>
                <w:rFonts w:ascii="Arial" w:cs="Arial" w:eastAsia="Arial" w:hAnsi="Arial"/>
                <w:sz w:val="15"/>
                <w:szCs w:val="15"/>
                <w:color w:val="auto"/>
              </w:rPr>
              <w:t>Weighted average ordinary shares for basic EPS</w:t>
            </w:r>
          </w:p>
        </w:tc>
        <w:tc>
          <w:tcPr>
            <w:tcW w:w="1680" w:type="dxa"/>
            <w:vAlign w:val="bottom"/>
          </w:tcPr>
          <w:p>
            <w:pPr>
              <w:jc w:val="right"/>
              <w:ind w:right="225"/>
              <w:spacing w:after="0"/>
              <w:rPr>
                <w:sz w:val="20"/>
                <w:szCs w:val="20"/>
                <w:color w:val="auto"/>
              </w:rPr>
            </w:pPr>
            <w:r>
              <w:rPr>
                <w:rFonts w:ascii="Arial" w:cs="Arial" w:eastAsia="Arial" w:hAnsi="Arial"/>
                <w:sz w:val="15"/>
                <w:szCs w:val="15"/>
                <w:b w:val="1"/>
                <w:bCs w:val="1"/>
                <w:color w:val="auto"/>
              </w:rPr>
              <w:t>239,964,192</w:t>
            </w:r>
          </w:p>
        </w:tc>
        <w:tc>
          <w:tcPr>
            <w:tcW w:w="1160" w:type="dxa"/>
            <w:vAlign w:val="bottom"/>
          </w:tcPr>
          <w:p>
            <w:pPr>
              <w:jc w:val="right"/>
              <w:spacing w:after="0"/>
              <w:rPr>
                <w:sz w:val="20"/>
                <w:szCs w:val="20"/>
                <w:color w:val="auto"/>
              </w:rPr>
            </w:pPr>
            <w:r>
              <w:rPr>
                <w:rFonts w:ascii="Arial" w:cs="Arial" w:eastAsia="Arial" w:hAnsi="Arial"/>
                <w:sz w:val="15"/>
                <w:szCs w:val="15"/>
                <w:color w:val="183964"/>
              </w:rPr>
              <w:t>269,656,522</w:t>
            </w:r>
          </w:p>
        </w:tc>
      </w:tr>
      <w:tr>
        <w:trPr>
          <w:trHeight w:val="243"/>
        </w:trPr>
        <w:tc>
          <w:tcPr>
            <w:tcW w:w="8380" w:type="dxa"/>
            <w:vAlign w:val="bottom"/>
          </w:tcPr>
          <w:p>
            <w:pPr>
              <w:ind w:left="20"/>
              <w:spacing w:after="0"/>
              <w:rPr>
                <w:sz w:val="20"/>
                <w:szCs w:val="20"/>
                <w:color w:val="auto"/>
              </w:rPr>
            </w:pPr>
            <w:r>
              <w:rPr>
                <w:rFonts w:ascii="Arial" w:cs="Arial" w:eastAsia="Arial" w:hAnsi="Arial"/>
                <w:sz w:val="15"/>
                <w:szCs w:val="15"/>
                <w:color w:val="auto"/>
              </w:rPr>
              <w:t>Effect of dilutive securities</w:t>
            </w:r>
          </w:p>
        </w:tc>
        <w:tc>
          <w:tcPr>
            <w:tcW w:w="1680" w:type="dxa"/>
            <w:vAlign w:val="bottom"/>
          </w:tcPr>
          <w:p>
            <w:pPr>
              <w:jc w:val="right"/>
              <w:ind w:right="225"/>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183964"/>
              </w:rPr>
              <w:t>—</w:t>
            </w:r>
          </w:p>
        </w:tc>
      </w:tr>
      <w:tr>
        <w:trPr>
          <w:trHeight w:val="243"/>
        </w:trPr>
        <w:tc>
          <w:tcPr>
            <w:tcW w:w="8380" w:type="dxa"/>
            <w:vAlign w:val="bottom"/>
          </w:tcPr>
          <w:p>
            <w:pPr>
              <w:ind w:left="20"/>
              <w:spacing w:after="0"/>
              <w:rPr>
                <w:sz w:val="20"/>
                <w:szCs w:val="20"/>
                <w:color w:val="auto"/>
              </w:rPr>
            </w:pPr>
            <w:r>
              <w:rPr>
                <w:rFonts w:ascii="Arial" w:cs="Arial" w:eastAsia="Arial" w:hAnsi="Arial"/>
                <w:sz w:val="15"/>
                <w:szCs w:val="15"/>
                <w:color w:val="auto"/>
              </w:rPr>
              <w:t>Weighted average ordinary shares for diluted EPS</w:t>
            </w:r>
          </w:p>
        </w:tc>
        <w:tc>
          <w:tcPr>
            <w:tcW w:w="1680" w:type="dxa"/>
            <w:vAlign w:val="bottom"/>
          </w:tcPr>
          <w:p>
            <w:pPr>
              <w:jc w:val="right"/>
              <w:ind w:right="225"/>
              <w:spacing w:after="0"/>
              <w:rPr>
                <w:sz w:val="20"/>
                <w:szCs w:val="20"/>
                <w:color w:val="auto"/>
              </w:rPr>
            </w:pPr>
            <w:r>
              <w:rPr>
                <w:rFonts w:ascii="Arial" w:cs="Arial" w:eastAsia="Arial" w:hAnsi="Arial"/>
                <w:sz w:val="15"/>
                <w:szCs w:val="15"/>
                <w:b w:val="1"/>
                <w:bCs w:val="1"/>
                <w:color w:val="auto"/>
              </w:rPr>
              <w:t>239,964,192</w:t>
            </w:r>
          </w:p>
        </w:tc>
        <w:tc>
          <w:tcPr>
            <w:tcW w:w="1160" w:type="dxa"/>
            <w:vAlign w:val="bottom"/>
          </w:tcPr>
          <w:p>
            <w:pPr>
              <w:jc w:val="right"/>
              <w:spacing w:after="0"/>
              <w:rPr>
                <w:sz w:val="20"/>
                <w:szCs w:val="20"/>
                <w:color w:val="auto"/>
              </w:rPr>
            </w:pPr>
            <w:r>
              <w:rPr>
                <w:rFonts w:ascii="Arial" w:cs="Arial" w:eastAsia="Arial" w:hAnsi="Arial"/>
                <w:sz w:val="15"/>
                <w:szCs w:val="15"/>
                <w:color w:val="183964"/>
              </w:rPr>
              <w:t>269,656,522</w:t>
            </w:r>
          </w:p>
        </w:tc>
      </w:tr>
      <w:tr>
        <w:trPr>
          <w:trHeight w:val="25"/>
        </w:trPr>
        <w:tc>
          <w:tcPr>
            <w:tcW w:w="8380" w:type="dxa"/>
            <w:vAlign w:val="bottom"/>
            <w:tcBorders>
              <w:bottom w:val="single" w:sz="8" w:color="001544"/>
            </w:tcBorders>
          </w:tcPr>
          <w:p>
            <w:pPr>
              <w:spacing w:after="0"/>
              <w:rPr>
                <w:sz w:val="2"/>
                <w:szCs w:val="2"/>
                <w:color w:val="auto"/>
              </w:rPr>
            </w:pPr>
          </w:p>
        </w:tc>
        <w:tc>
          <w:tcPr>
            <w:tcW w:w="1680" w:type="dxa"/>
            <w:vAlign w:val="bottom"/>
            <w:tcBorders>
              <w:bottom w:val="single" w:sz="8" w:color="001544"/>
            </w:tcBorders>
          </w:tcPr>
          <w:p>
            <w:pPr>
              <w:spacing w:after="0"/>
              <w:rPr>
                <w:sz w:val="2"/>
                <w:szCs w:val="2"/>
                <w:color w:val="auto"/>
              </w:rPr>
            </w:pPr>
          </w:p>
        </w:tc>
        <w:tc>
          <w:tcPr>
            <w:tcW w:w="1160" w:type="dxa"/>
            <w:vAlign w:val="bottom"/>
            <w:tcBorders>
              <w:bottom w:val="single" w:sz="8" w:color="001544"/>
            </w:tcBorders>
          </w:tcPr>
          <w:p>
            <w:pPr>
              <w:spacing w:after="0"/>
              <w:rPr>
                <w:sz w:val="2"/>
                <w:szCs w:val="2"/>
                <w:color w:val="auto"/>
              </w:rPr>
            </w:pPr>
          </w:p>
        </w:tc>
      </w:tr>
      <w:tr>
        <w:trPr>
          <w:trHeight w:val="212"/>
        </w:trPr>
        <w:tc>
          <w:tcPr>
            <w:tcW w:w="8380" w:type="dxa"/>
            <w:vAlign w:val="bottom"/>
          </w:tcPr>
          <w:p>
            <w:pPr>
              <w:ind w:left="20"/>
              <w:spacing w:after="0"/>
              <w:rPr>
                <w:sz w:val="20"/>
                <w:szCs w:val="20"/>
                <w:color w:val="auto"/>
              </w:rPr>
            </w:pPr>
            <w:r>
              <w:rPr>
                <w:rFonts w:ascii="Arial" w:cs="Arial" w:eastAsia="Arial" w:hAnsi="Arial"/>
                <w:sz w:val="15"/>
                <w:szCs w:val="15"/>
                <w:color w:val="auto"/>
              </w:rPr>
              <w:t>Basic earnings/(loss) per ordinary share</w:t>
            </w:r>
          </w:p>
        </w:tc>
        <w:tc>
          <w:tcPr>
            <w:tcW w:w="1680" w:type="dxa"/>
            <w:vAlign w:val="bottom"/>
          </w:tcPr>
          <w:p>
            <w:pPr>
              <w:jc w:val="right"/>
              <w:ind w:right="185"/>
              <w:spacing w:after="0"/>
              <w:rPr>
                <w:sz w:val="20"/>
                <w:szCs w:val="20"/>
                <w:color w:val="auto"/>
              </w:rPr>
            </w:pPr>
            <w:r>
              <w:rPr>
                <w:rFonts w:ascii="Arial" w:cs="Arial" w:eastAsia="Arial" w:hAnsi="Arial"/>
                <w:sz w:val="15"/>
                <w:szCs w:val="15"/>
                <w:b w:val="1"/>
                <w:bCs w:val="1"/>
                <w:color w:val="auto"/>
              </w:rPr>
              <w:t>($0.19)</w:t>
            </w:r>
          </w:p>
        </w:tc>
        <w:tc>
          <w:tcPr>
            <w:tcW w:w="1160" w:type="dxa"/>
            <w:vAlign w:val="bottom"/>
          </w:tcPr>
          <w:p>
            <w:pPr>
              <w:jc w:val="right"/>
              <w:spacing w:after="0"/>
              <w:rPr>
                <w:sz w:val="20"/>
                <w:szCs w:val="20"/>
                <w:color w:val="auto"/>
              </w:rPr>
            </w:pPr>
            <w:r>
              <w:rPr>
                <w:rFonts w:ascii="Arial" w:cs="Arial" w:eastAsia="Arial" w:hAnsi="Arial"/>
                <w:sz w:val="15"/>
                <w:szCs w:val="15"/>
                <w:color w:val="183964"/>
              </w:rPr>
              <w:t>($0.15)</w:t>
            </w:r>
          </w:p>
        </w:tc>
      </w:tr>
      <w:tr>
        <w:trPr>
          <w:trHeight w:val="243"/>
        </w:trPr>
        <w:tc>
          <w:tcPr>
            <w:tcW w:w="8380" w:type="dxa"/>
            <w:vAlign w:val="bottom"/>
          </w:tcPr>
          <w:p>
            <w:pPr>
              <w:ind w:left="20"/>
              <w:spacing w:after="0"/>
              <w:rPr>
                <w:sz w:val="20"/>
                <w:szCs w:val="20"/>
                <w:color w:val="auto"/>
              </w:rPr>
            </w:pPr>
            <w:r>
              <w:rPr>
                <w:rFonts w:ascii="Arial" w:cs="Arial" w:eastAsia="Arial" w:hAnsi="Arial"/>
                <w:sz w:val="15"/>
                <w:szCs w:val="15"/>
                <w:color w:val="auto"/>
              </w:rPr>
              <w:t>Diluted earnings/(loss) per ordinary share</w:t>
            </w:r>
          </w:p>
        </w:tc>
        <w:tc>
          <w:tcPr>
            <w:tcW w:w="1680" w:type="dxa"/>
            <w:vAlign w:val="bottom"/>
          </w:tcPr>
          <w:p>
            <w:pPr>
              <w:jc w:val="right"/>
              <w:ind w:right="185"/>
              <w:spacing w:after="0"/>
              <w:rPr>
                <w:sz w:val="20"/>
                <w:szCs w:val="20"/>
                <w:color w:val="auto"/>
              </w:rPr>
            </w:pPr>
            <w:r>
              <w:rPr>
                <w:rFonts w:ascii="Arial" w:cs="Arial" w:eastAsia="Arial" w:hAnsi="Arial"/>
                <w:sz w:val="15"/>
                <w:szCs w:val="15"/>
                <w:b w:val="1"/>
                <w:bCs w:val="1"/>
                <w:color w:val="auto"/>
              </w:rPr>
              <w:t>($0.19)</w:t>
            </w:r>
          </w:p>
        </w:tc>
        <w:tc>
          <w:tcPr>
            <w:tcW w:w="1160" w:type="dxa"/>
            <w:vAlign w:val="bottom"/>
          </w:tcPr>
          <w:p>
            <w:pPr>
              <w:jc w:val="right"/>
              <w:spacing w:after="0"/>
              <w:rPr>
                <w:sz w:val="20"/>
                <w:szCs w:val="20"/>
                <w:color w:val="auto"/>
              </w:rPr>
            </w:pPr>
            <w:r>
              <w:rPr>
                <w:rFonts w:ascii="Arial" w:cs="Arial" w:eastAsia="Arial" w:hAnsi="Arial"/>
                <w:sz w:val="15"/>
                <w:szCs w:val="15"/>
                <w:color w:val="183964"/>
              </w:rPr>
              <w:t>($0.15)</w:t>
            </w:r>
          </w:p>
        </w:tc>
      </w:tr>
      <w:tr>
        <w:trPr>
          <w:trHeight w:val="25"/>
        </w:trPr>
        <w:tc>
          <w:tcPr>
            <w:tcW w:w="8380" w:type="dxa"/>
            <w:vAlign w:val="bottom"/>
            <w:tcBorders>
              <w:bottom w:val="single" w:sz="8" w:color="183964"/>
            </w:tcBorders>
          </w:tcPr>
          <w:p>
            <w:pPr>
              <w:spacing w:after="0"/>
              <w:rPr>
                <w:sz w:val="2"/>
                <w:szCs w:val="2"/>
                <w:color w:val="auto"/>
              </w:rPr>
            </w:pPr>
          </w:p>
        </w:tc>
        <w:tc>
          <w:tcPr>
            <w:tcW w:w="1680" w:type="dxa"/>
            <w:vAlign w:val="bottom"/>
            <w:tcBorders>
              <w:bottom w:val="single" w:sz="8" w:color="183964"/>
            </w:tcBorders>
          </w:tcPr>
          <w:p>
            <w:pPr>
              <w:spacing w:after="0"/>
              <w:rPr>
                <w:sz w:val="2"/>
                <w:szCs w:val="2"/>
                <w:color w:val="auto"/>
              </w:rPr>
            </w:pPr>
          </w:p>
        </w:tc>
        <w:tc>
          <w:tcPr>
            <w:tcW w:w="1160" w:type="dxa"/>
            <w:vAlign w:val="bottom"/>
            <w:tcBorders>
              <w:bottom w:val="single" w:sz="8" w:color="183964"/>
            </w:tcBorders>
          </w:tcPr>
          <w:p>
            <w:pPr>
              <w:spacing w:after="0"/>
              <w:rPr>
                <w:sz w:val="2"/>
                <w:szCs w:val="2"/>
                <w:color w:val="auto"/>
              </w:rPr>
            </w:pPr>
          </w:p>
        </w:tc>
      </w:tr>
    </w:tbl>
    <w:p>
      <w:pPr>
        <w:spacing w:after="0" w:line="251" w:lineRule="exact"/>
        <w:rPr>
          <w:sz w:val="20"/>
          <w:szCs w:val="20"/>
          <w:color w:val="auto"/>
        </w:rPr>
      </w:pPr>
    </w:p>
    <w:p>
      <w:pPr>
        <w:ind w:left="440" w:hanging="432"/>
        <w:spacing w:after="0"/>
        <w:tabs>
          <w:tab w:leader="none" w:pos="440" w:val="left"/>
        </w:tabs>
        <w:numPr>
          <w:ilvl w:val="0"/>
          <w:numId w:val="24"/>
        </w:numPr>
        <w:rPr>
          <w:rFonts w:ascii="Arial" w:cs="Arial" w:eastAsia="Arial" w:hAnsi="Arial"/>
          <w:sz w:val="15"/>
          <w:szCs w:val="15"/>
          <w:b w:val="1"/>
          <w:bCs w:val="1"/>
          <w:color w:val="183964"/>
        </w:rPr>
      </w:pPr>
      <w:r>
        <w:rPr>
          <w:rFonts w:ascii="Arial" w:cs="Arial" w:eastAsia="Arial" w:hAnsi="Arial"/>
          <w:sz w:val="15"/>
          <w:szCs w:val="15"/>
          <w:b w:val="1"/>
          <w:bCs w:val="1"/>
          <w:color w:val="183964"/>
        </w:rPr>
        <w:t>Equity</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color w:val="auto"/>
        </w:rPr>
        <w:t>On May 9, 2022, the Group announced the commencement of a $50,000 share repurchase program (the "Program") of its ordinary shares of one pence each. The Group executed the Program in two equal tranches. It entered into an irrevocable non-discretionary instruction with Jefferies International Limited (“Jefferies”) in relation to the purchase by Jefferies of the ordinary shares for an aggregate consideration (excluding expenses) of no greater than $ 25,000 for each tranche and the simultaneous on-sale of such ordinary shares by Jefferies to the Group, subject to certain volume and price restrictions. In February 2024, the Group completed the Program and has repurchased an aggregate of 20,182,863 ordinary shares under the Program. These shares have been held as treasury shares and are being used to settle the vesting of restricted stock units or exercise of stock options.</w:t>
      </w:r>
    </w:p>
    <w:p>
      <w:pPr>
        <w:spacing w:after="0" w:line="71" w:lineRule="exact"/>
        <w:rPr>
          <w:sz w:val="20"/>
          <w:szCs w:val="20"/>
          <w:color w:val="auto"/>
        </w:rPr>
      </w:pPr>
    </w:p>
    <w:p>
      <w:pPr>
        <w:ind w:right="180"/>
        <w:spacing w:after="0" w:line="269" w:lineRule="auto"/>
        <w:rPr>
          <w:sz w:val="20"/>
          <w:szCs w:val="20"/>
          <w:color w:val="auto"/>
        </w:rPr>
      </w:pPr>
      <w:r>
        <w:rPr>
          <w:rFonts w:ascii="Arial" w:cs="Arial" w:eastAsia="Arial" w:hAnsi="Arial"/>
          <w:sz w:val="15"/>
          <w:szCs w:val="15"/>
          <w:color w:val="auto"/>
        </w:rPr>
        <w:t>In March 2024, the Group announced a proposed capital return of $100,000 to its shareholders by way of a tender offer (the "Tender Offer"). The proposed Tender Offer was approved by shareholders at the Annual General Meeting of Stockholders held on June 6, 2024, to acquire a maximum number of 33,500,000 ordinary shares (including ordinary shares represented by American Depository Shares (''ADSs'')) for a fixed price of 250 pence per ordinary share (equivalent to £25.00 per ADS) for a maximum aggregate amount of $100,000 excluding expenses.</w:t>
      </w:r>
    </w:p>
    <w:p>
      <w:pPr>
        <w:spacing w:after="0" w:line="50"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The Tender Offer was completed on June 24, 2024. The Group repurchased 31,540,670 ordinary shares under the Tender Offer. Following such repurchase, the Group cancelled these shares repurchased. As a result of the cancellation, the nominal value of $600 related to the cancelled shares was reduced from share capital and transferred to a capital redemption reserve, increasing the capital redemption reserve balance to $600 which was included in other reserve in the Condensed Consolidated Statement of Changes in Equity.</w:t>
      </w:r>
    </w:p>
    <w:p>
      <w:pPr>
        <w:spacing w:after="0" w:line="50"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As of December 31, 2024, the Group had 239,421,312 common shares outstanding, including 257,927,489 issued shares net of 18,506,177 shares held by the Group in Treasury. As of June 30, 2025, the Group had 240,254,449 common shares outstanding, including 257,927,489 issued shares net of 17,673,040 shares held by the Group in Treasury.</w:t>
      </w:r>
    </w:p>
    <w:p>
      <w:pPr>
        <w:sectPr>
          <w:pgSz w:w="11900" w:h="16838" w:orient="portrait"/>
          <w:cols w:equalWidth="0" w:num="1">
            <w:col w:w="11220"/>
          </w:cols>
          <w:pgMar w:left="320" w:top="1241" w:right="359" w:bottom="1440" w:gutter="0" w:footer="0" w:header="0"/>
        </w:sectPr>
      </w:pPr>
    </w:p>
    <w:bookmarkStart w:id="36" w:name="page37"/>
    <w:bookmarkEnd w:id="36"/>
    <w:p>
      <w:pPr>
        <w:ind w:left="420" w:hanging="412"/>
        <w:spacing w:after="0"/>
        <w:tabs>
          <w:tab w:leader="none" w:pos="420" w:val="left"/>
        </w:tabs>
        <w:numPr>
          <w:ilvl w:val="0"/>
          <w:numId w:val="25"/>
        </w:numPr>
        <w:rPr>
          <w:rFonts w:ascii="Arial" w:cs="Arial" w:eastAsia="Arial" w:hAnsi="Arial"/>
          <w:sz w:val="15"/>
          <w:szCs w:val="15"/>
          <w:b w:val="1"/>
          <w:bCs w:val="1"/>
          <w:color w:val="183964"/>
        </w:rPr>
      </w:pPr>
      <w:r>
        <w:rPr>
          <w:rFonts w:ascii="Arial" w:cs="Arial" w:eastAsia="Arial" w:hAnsi="Arial"/>
          <w:sz w:val="15"/>
          <w:szCs w:val="15"/>
          <w:b w:val="1"/>
          <w:bCs w:val="1"/>
          <w:color w:val="183964"/>
        </w:rPr>
        <w:t>Subsidiary Preferred Shares</w:t>
      </w:r>
    </w:p>
    <w:p>
      <w:pPr>
        <w:spacing w:after="0" w:line="100" w:lineRule="exact"/>
        <w:rPr>
          <w:sz w:val="20"/>
          <w:szCs w:val="20"/>
          <w:color w:val="auto"/>
        </w:rPr>
      </w:pPr>
    </w:p>
    <w:p>
      <w:pPr>
        <w:ind w:right="400"/>
        <w:spacing w:after="0" w:line="283" w:lineRule="auto"/>
        <w:rPr>
          <w:sz w:val="20"/>
          <w:szCs w:val="20"/>
          <w:color w:val="auto"/>
        </w:rPr>
      </w:pPr>
      <w:r>
        <w:rPr>
          <w:rFonts w:ascii="Arial" w:cs="Arial" w:eastAsia="Arial" w:hAnsi="Arial"/>
          <w:sz w:val="15"/>
          <w:szCs w:val="15"/>
          <w:color w:val="auto"/>
        </w:rPr>
        <w:t>Preferred shares issued by subsidiaries often contain redemption and conversion features that are assessed under IFRS 9 in conjunction with the host preferred share instrument. This balance represents subsidiary preferred shares issued to third parties.</w:t>
      </w:r>
    </w:p>
    <w:p>
      <w:pPr>
        <w:spacing w:after="0" w:line="52"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subsidiary preferred shares are redeemable upon the occurrence of a contingent event, other than full liquidation of the subsidiaries, that is not considered to be within the control of the subsidiaries. Therefore, these subsidiary preferred shares are classified as liabilities. These liabilities are measured at fair value through profit and loss. The preferred shares are convertible into ordinary shares of the subsidiaries at the option of the holders and are mandatorily convertible into ordinary shares under certain circumstances. Under certain scenarios, the number of ordinary shares receivable on conversion will change and therefore, the number of shares that will be issued is not fixed. As such, the conversion feature is considered to be an embedded derivative that normally would require bifurcation. However, since the subsidiary preferred share liability is measured at fair value through profit and loss, as mentioned above, no bifurcation is required.</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The preferred shares are entitled to vote with holders of common shares on an as converted basis.</w:t>
      </w:r>
    </w:p>
    <w:p>
      <w:pPr>
        <w:spacing w:after="0" w:line="98"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In April 2024, Seaport closed a Series A-2 preferred share financing with aggregate proceeds of $100,100 of which $68,100 was from outside investors and $32,000 was from the Group. The $68,100 received from the outside investors was recorded as a subsidiary preferred share liability within the Group’s balance sheet. In October 2024, Seaport closed a Series B preferred share financing with aggregate proceeds of $226,000 of which $211,600 was from outside investors and $14,400 was from the Group. As a result of the Series B preferred share financing, the Group lost control of Seaport, and the Group derecognized the assets, liabilities and non-controlling interest in respect of Seaport from its financial statements. As such, the balance of subsidiary preferred share liability in Seaport is reduced to $0 upon deconsolidation.</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all subsidiary preferred shares as of June 30, 2025 and December 31, 2024,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Balance as of June 30, 2025 and December 31, 2024</w:t>
            </w:r>
          </w:p>
        </w:tc>
        <w:tc>
          <w:tcPr>
            <w:tcW w:w="3700" w:type="dxa"/>
            <w:vAlign w:val="bottom"/>
          </w:tcPr>
          <w:p>
            <w:pPr>
              <w:jc w:val="right"/>
              <w:ind w:right="410"/>
              <w:spacing w:after="0"/>
              <w:rPr>
                <w:sz w:val="20"/>
                <w:szCs w:val="20"/>
                <w:color w:val="auto"/>
              </w:rPr>
            </w:pPr>
            <w:r>
              <w:rPr>
                <w:rFonts w:ascii="Arial" w:cs="Arial" w:eastAsia="Arial" w:hAnsi="Arial"/>
                <w:sz w:val="13"/>
                <w:szCs w:val="13"/>
                <w:b w:val="1"/>
                <w:bCs w:val="1"/>
                <w:color w:val="auto"/>
              </w:rPr>
              <w:t>2025</w:t>
            </w:r>
          </w:p>
        </w:tc>
        <w:tc>
          <w:tcPr>
            <w:tcW w:w="820" w:type="dxa"/>
            <w:vAlign w:val="bottom"/>
          </w:tcPr>
          <w:p>
            <w:pPr>
              <w:jc w:val="right"/>
              <w:spacing w:after="0"/>
              <w:rPr>
                <w:sz w:val="20"/>
                <w:szCs w:val="20"/>
                <w:color w:val="auto"/>
              </w:rPr>
            </w:pPr>
            <w:r>
              <w:rPr>
                <w:rFonts w:ascii="Arial" w:cs="Arial" w:eastAsia="Arial" w:hAnsi="Arial"/>
                <w:sz w:val="13"/>
                <w:szCs w:val="13"/>
                <w:color w:val="183964"/>
              </w:rPr>
              <w:t>2024</w:t>
            </w:r>
          </w:p>
        </w:tc>
        <w:tc>
          <w:tcPr>
            <w:tcW w:w="0" w:type="dxa"/>
            <w:vAlign w:val="bottom"/>
          </w:tcPr>
          <w:p>
            <w:pPr>
              <w:spacing w:after="0"/>
              <w:rPr>
                <w:sz w:val="1"/>
                <w:szCs w:val="1"/>
                <w:color w:val="auto"/>
              </w:rPr>
            </w:pPr>
          </w:p>
        </w:tc>
      </w:tr>
      <w:tr>
        <w:trPr>
          <w:trHeight w:val="172"/>
        </w:trPr>
        <w:tc>
          <w:tcPr>
            <w:tcW w:w="6700" w:type="dxa"/>
            <w:vAlign w:val="bottom"/>
            <w:vMerge w:val="continue"/>
          </w:tcPr>
          <w:p>
            <w:pPr>
              <w:spacing w:after="0"/>
              <w:rPr>
                <w:sz w:val="14"/>
                <w:szCs w:val="14"/>
                <w:color w:val="auto"/>
              </w:rPr>
            </w:pPr>
          </w:p>
        </w:tc>
        <w:tc>
          <w:tcPr>
            <w:tcW w:w="3700" w:type="dxa"/>
            <w:vAlign w:val="bottom"/>
          </w:tcPr>
          <w:p>
            <w:pPr>
              <w:jc w:val="right"/>
              <w:ind w:right="41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183964"/>
              </w:rPr>
              <w:t>$</w:t>
            </w:r>
          </w:p>
        </w:tc>
        <w:tc>
          <w:tcPr>
            <w:tcW w:w="0" w:type="dxa"/>
            <w:vAlign w:val="bottom"/>
          </w:tcPr>
          <w:p>
            <w:pPr>
              <w:spacing w:after="0"/>
              <w:rPr>
                <w:sz w:val="1"/>
                <w:szCs w:val="1"/>
                <w:color w:val="auto"/>
              </w:rPr>
            </w:pPr>
          </w:p>
        </w:tc>
      </w:tr>
      <w:tr>
        <w:trPr>
          <w:trHeight w:val="22"/>
        </w:trPr>
        <w:tc>
          <w:tcPr>
            <w:tcW w:w="6700" w:type="dxa"/>
            <w:vAlign w:val="bottom"/>
            <w:tcBorders>
              <w:bottom w:val="single" w:sz="8" w:color="001544"/>
            </w:tcBorders>
          </w:tcPr>
          <w:p>
            <w:pPr>
              <w:spacing w:after="0" w:line="20" w:lineRule="exact"/>
              <w:rPr>
                <w:sz w:val="1"/>
                <w:szCs w:val="1"/>
                <w:color w:val="auto"/>
              </w:rPr>
            </w:pPr>
          </w:p>
        </w:tc>
        <w:tc>
          <w:tcPr>
            <w:tcW w:w="3700" w:type="dxa"/>
            <w:vAlign w:val="bottom"/>
            <w:tcBorders>
              <w:bottom w:val="single" w:sz="8" w:color="001544"/>
            </w:tcBorders>
          </w:tcPr>
          <w:p>
            <w:pPr>
              <w:spacing w:after="0" w:line="20" w:lineRule="exact"/>
              <w:rPr>
                <w:sz w:val="1"/>
                <w:szCs w:val="1"/>
                <w:color w:val="auto"/>
              </w:rPr>
            </w:pPr>
          </w:p>
        </w:tc>
        <w:tc>
          <w:tcPr>
            <w:tcW w:w="820" w:type="dxa"/>
            <w:vAlign w:val="bottom"/>
            <w:tcBorders>
              <w:bottom w:val="single" w:sz="8" w:color="00154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6700" w:type="dxa"/>
            <w:vAlign w:val="bottom"/>
          </w:tcPr>
          <w:p>
            <w:pPr>
              <w:ind w:left="20"/>
              <w:spacing w:after="0"/>
              <w:rPr>
                <w:sz w:val="20"/>
                <w:szCs w:val="20"/>
                <w:color w:val="auto"/>
              </w:rPr>
            </w:pPr>
            <w:r>
              <w:rPr>
                <w:rFonts w:ascii="Arial" w:cs="Arial" w:eastAsia="Arial" w:hAnsi="Arial"/>
                <w:sz w:val="15"/>
                <w:szCs w:val="15"/>
                <w:color w:val="auto"/>
              </w:rPr>
              <w:t>Entrega</w:t>
            </w:r>
          </w:p>
        </w:tc>
        <w:tc>
          <w:tcPr>
            <w:tcW w:w="3700" w:type="dxa"/>
            <w:vAlign w:val="bottom"/>
          </w:tcPr>
          <w:p>
            <w:pPr>
              <w:jc w:val="right"/>
              <w:ind w:right="470"/>
              <w:spacing w:after="0"/>
              <w:rPr>
                <w:sz w:val="20"/>
                <w:szCs w:val="20"/>
                <w:color w:val="auto"/>
              </w:rPr>
            </w:pPr>
            <w:r>
              <w:rPr>
                <w:rFonts w:ascii="Arial" w:cs="Arial" w:eastAsia="Arial" w:hAnsi="Arial"/>
                <w:sz w:val="15"/>
                <w:szCs w:val="15"/>
                <w:b w:val="1"/>
                <w:bCs w:val="1"/>
                <w:color w:val="auto"/>
              </w:rPr>
              <w:t>169</w:t>
            </w:r>
          </w:p>
        </w:tc>
        <w:tc>
          <w:tcPr>
            <w:tcW w:w="820" w:type="dxa"/>
            <w:vAlign w:val="bottom"/>
          </w:tcPr>
          <w:p>
            <w:pPr>
              <w:jc w:val="right"/>
              <w:spacing w:after="0"/>
              <w:rPr>
                <w:sz w:val="20"/>
                <w:szCs w:val="20"/>
                <w:color w:val="auto"/>
              </w:rPr>
            </w:pPr>
            <w:r>
              <w:rPr>
                <w:rFonts w:ascii="Arial" w:cs="Arial" w:eastAsia="Arial" w:hAnsi="Arial"/>
                <w:sz w:val="15"/>
                <w:szCs w:val="15"/>
                <w:color w:val="183964"/>
              </w:rPr>
              <w:t>169</w:t>
            </w:r>
          </w:p>
        </w:tc>
        <w:tc>
          <w:tcPr>
            <w:tcW w:w="0" w:type="dxa"/>
            <w:vAlign w:val="bottom"/>
          </w:tcPr>
          <w:p>
            <w:pPr>
              <w:spacing w:after="0"/>
              <w:rPr>
                <w:sz w:val="1"/>
                <w:szCs w:val="1"/>
                <w:color w:val="auto"/>
              </w:rPr>
            </w:pPr>
          </w:p>
        </w:tc>
      </w:tr>
      <w:tr>
        <w:trPr>
          <w:trHeight w:val="25"/>
        </w:trPr>
        <w:tc>
          <w:tcPr>
            <w:tcW w:w="6700" w:type="dxa"/>
            <w:vAlign w:val="bottom"/>
            <w:tcBorders>
              <w:bottom w:val="single" w:sz="8" w:color="001544"/>
            </w:tcBorders>
          </w:tcPr>
          <w:p>
            <w:pPr>
              <w:spacing w:after="0"/>
              <w:rPr>
                <w:sz w:val="2"/>
                <w:szCs w:val="2"/>
                <w:color w:val="auto"/>
              </w:rPr>
            </w:pPr>
          </w:p>
        </w:tc>
        <w:tc>
          <w:tcPr>
            <w:tcW w:w="3700" w:type="dxa"/>
            <w:vAlign w:val="bottom"/>
            <w:tcBorders>
              <w:bottom w:val="single" w:sz="8" w:color="001544"/>
            </w:tcBorders>
          </w:tcPr>
          <w:p>
            <w:pPr>
              <w:spacing w:after="0"/>
              <w:rPr>
                <w:sz w:val="2"/>
                <w:szCs w:val="2"/>
                <w:color w:val="auto"/>
              </w:rPr>
            </w:pPr>
          </w:p>
        </w:tc>
        <w:tc>
          <w:tcPr>
            <w:tcW w:w="820" w:type="dxa"/>
            <w:vAlign w:val="bottom"/>
            <w:tcBorders>
              <w:bottom w:val="single" w:sz="8" w:color="001544"/>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700" w:type="dxa"/>
            <w:vAlign w:val="bottom"/>
          </w:tcPr>
          <w:p>
            <w:pPr>
              <w:ind w:left="20"/>
              <w:spacing w:after="0"/>
              <w:rPr>
                <w:sz w:val="20"/>
                <w:szCs w:val="20"/>
                <w:color w:val="auto"/>
              </w:rPr>
            </w:pPr>
            <w:r>
              <w:rPr>
                <w:rFonts w:ascii="Arial" w:cs="Arial" w:eastAsia="Arial" w:hAnsi="Arial"/>
                <w:sz w:val="15"/>
                <w:szCs w:val="15"/>
                <w:b w:val="1"/>
                <w:bCs w:val="1"/>
                <w:color w:val="auto"/>
              </w:rPr>
              <w:t>Total subsidiary preferred share balance</w:t>
            </w:r>
          </w:p>
        </w:tc>
        <w:tc>
          <w:tcPr>
            <w:tcW w:w="3700" w:type="dxa"/>
            <w:vAlign w:val="bottom"/>
          </w:tcPr>
          <w:p>
            <w:pPr>
              <w:jc w:val="right"/>
              <w:ind w:right="470"/>
              <w:spacing w:after="0"/>
              <w:rPr>
                <w:sz w:val="20"/>
                <w:szCs w:val="20"/>
                <w:color w:val="auto"/>
              </w:rPr>
            </w:pPr>
            <w:r>
              <w:rPr>
                <w:rFonts w:ascii="Arial" w:cs="Arial" w:eastAsia="Arial" w:hAnsi="Arial"/>
                <w:sz w:val="15"/>
                <w:szCs w:val="15"/>
                <w:b w:val="1"/>
                <w:bCs w:val="1"/>
                <w:color w:val="auto"/>
              </w:rPr>
              <w:t>169</w:t>
            </w:r>
          </w:p>
        </w:tc>
        <w:tc>
          <w:tcPr>
            <w:tcW w:w="820" w:type="dxa"/>
            <w:vAlign w:val="bottom"/>
          </w:tcPr>
          <w:p>
            <w:pPr>
              <w:jc w:val="right"/>
              <w:spacing w:after="0"/>
              <w:rPr>
                <w:sz w:val="20"/>
                <w:szCs w:val="20"/>
                <w:color w:val="auto"/>
              </w:rPr>
            </w:pPr>
            <w:r>
              <w:rPr>
                <w:rFonts w:ascii="Arial" w:cs="Arial" w:eastAsia="Arial" w:hAnsi="Arial"/>
                <w:sz w:val="15"/>
                <w:szCs w:val="15"/>
                <w:color w:val="183964"/>
              </w:rPr>
              <w:t>169</w:t>
            </w:r>
          </w:p>
        </w:tc>
        <w:tc>
          <w:tcPr>
            <w:tcW w:w="0" w:type="dxa"/>
            <w:vAlign w:val="bottom"/>
          </w:tcPr>
          <w:p>
            <w:pPr>
              <w:spacing w:after="0"/>
              <w:rPr>
                <w:sz w:val="1"/>
                <w:szCs w:val="1"/>
                <w:color w:val="auto"/>
              </w:rPr>
            </w:pPr>
          </w:p>
        </w:tc>
      </w:tr>
      <w:tr>
        <w:trPr>
          <w:trHeight w:val="25"/>
        </w:trPr>
        <w:tc>
          <w:tcPr>
            <w:tcW w:w="6700" w:type="dxa"/>
            <w:vAlign w:val="bottom"/>
            <w:tcBorders>
              <w:bottom w:val="single" w:sz="8" w:color="001544"/>
            </w:tcBorders>
          </w:tcPr>
          <w:p>
            <w:pPr>
              <w:spacing w:after="0"/>
              <w:rPr>
                <w:sz w:val="2"/>
                <w:szCs w:val="2"/>
                <w:color w:val="auto"/>
              </w:rPr>
            </w:pPr>
          </w:p>
        </w:tc>
        <w:tc>
          <w:tcPr>
            <w:tcW w:w="3700" w:type="dxa"/>
            <w:vAlign w:val="bottom"/>
            <w:tcBorders>
              <w:bottom w:val="single" w:sz="8" w:color="001544"/>
            </w:tcBorders>
          </w:tcPr>
          <w:p>
            <w:pPr>
              <w:spacing w:after="0"/>
              <w:rPr>
                <w:sz w:val="2"/>
                <w:szCs w:val="2"/>
                <w:color w:val="auto"/>
              </w:rPr>
            </w:pPr>
          </w:p>
        </w:tc>
        <w:tc>
          <w:tcPr>
            <w:tcW w:w="820" w:type="dxa"/>
            <w:vAlign w:val="bottom"/>
            <w:tcBorders>
              <w:bottom w:val="single" w:sz="8" w:color="00154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auto"/>
        </w:rPr>
        <w:t>As is customary, in the event of any voluntary or involuntary liquidation, dissolution or winding up of a subsidiary, the holders of outstanding subsidiary preferred shares shall be entitled to be paid out of the assets of the subsidiary available for distribution to shareholders and before any payment shall be made to holders of ordinary shares. A merger, acquisition, sale of voting control or other transaction of a subsidiary in which the shareholders of the subsidiary immediately before the transaction do not own a majority of the outstanding shares of the surviving company shall be deemed to be a liquidation event. Additionally, a sale, lease, transfer or other disposition of all or substantially all of the assets of the subsidiary shall also be deemed a liquidation event.</w:t>
      </w:r>
    </w:p>
    <w:p>
      <w:pPr>
        <w:spacing w:after="0" w:line="49" w:lineRule="exact"/>
        <w:rPr>
          <w:sz w:val="20"/>
          <w:szCs w:val="20"/>
          <w:color w:val="auto"/>
        </w:rPr>
      </w:pPr>
    </w:p>
    <w:p>
      <w:pPr>
        <w:ind w:right="260"/>
        <w:spacing w:after="0" w:line="283" w:lineRule="auto"/>
        <w:rPr>
          <w:sz w:val="20"/>
          <w:szCs w:val="20"/>
          <w:color w:val="auto"/>
        </w:rPr>
      </w:pPr>
      <w:r>
        <w:rPr>
          <w:rFonts w:ascii="Arial" w:cs="Arial" w:eastAsia="Arial" w:hAnsi="Arial"/>
          <w:sz w:val="15"/>
          <w:szCs w:val="15"/>
          <w:color w:val="auto"/>
        </w:rPr>
        <w:t>As of June 30, 2025 and December 31, 2024, the minimum liquidation preference reflecting the amounts that would be payable to the subsidiary preferred holders upon a liquidation event of the subsidiaries,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Balance as of June 30, 2025 and December 31, 2024</w:t>
            </w:r>
          </w:p>
        </w:tc>
        <w:tc>
          <w:tcPr>
            <w:tcW w:w="3700" w:type="dxa"/>
            <w:vAlign w:val="bottom"/>
          </w:tcPr>
          <w:p>
            <w:pPr>
              <w:jc w:val="right"/>
              <w:ind w:right="349"/>
              <w:spacing w:after="0"/>
              <w:rPr>
                <w:sz w:val="20"/>
                <w:szCs w:val="20"/>
                <w:color w:val="auto"/>
              </w:rPr>
            </w:pPr>
            <w:r>
              <w:rPr>
                <w:rFonts w:ascii="Arial" w:cs="Arial" w:eastAsia="Arial" w:hAnsi="Arial"/>
                <w:sz w:val="13"/>
                <w:szCs w:val="13"/>
                <w:b w:val="1"/>
                <w:bCs w:val="1"/>
                <w:color w:val="auto"/>
              </w:rPr>
              <w:t>2025</w:t>
            </w:r>
          </w:p>
        </w:tc>
        <w:tc>
          <w:tcPr>
            <w:tcW w:w="880" w:type="dxa"/>
            <w:vAlign w:val="bottom"/>
          </w:tcPr>
          <w:p>
            <w:pPr>
              <w:jc w:val="right"/>
              <w:spacing w:after="0"/>
              <w:rPr>
                <w:sz w:val="20"/>
                <w:szCs w:val="20"/>
                <w:color w:val="auto"/>
              </w:rPr>
            </w:pPr>
            <w:r>
              <w:rPr>
                <w:rFonts w:ascii="Arial" w:cs="Arial" w:eastAsia="Arial" w:hAnsi="Arial"/>
                <w:sz w:val="13"/>
                <w:szCs w:val="13"/>
                <w:color w:val="183964"/>
              </w:rPr>
              <w:t>2024</w:t>
            </w:r>
          </w:p>
        </w:tc>
        <w:tc>
          <w:tcPr>
            <w:tcW w:w="0" w:type="dxa"/>
            <w:vAlign w:val="bottom"/>
          </w:tcPr>
          <w:p>
            <w:pPr>
              <w:spacing w:after="0"/>
              <w:rPr>
                <w:sz w:val="1"/>
                <w:szCs w:val="1"/>
                <w:color w:val="auto"/>
              </w:rPr>
            </w:pPr>
          </w:p>
        </w:tc>
      </w:tr>
      <w:tr>
        <w:trPr>
          <w:trHeight w:val="172"/>
        </w:trPr>
        <w:tc>
          <w:tcPr>
            <w:tcW w:w="6640" w:type="dxa"/>
            <w:vAlign w:val="bottom"/>
            <w:vMerge w:val="continue"/>
          </w:tcPr>
          <w:p>
            <w:pPr>
              <w:spacing w:after="0"/>
              <w:rPr>
                <w:sz w:val="14"/>
                <w:szCs w:val="14"/>
                <w:color w:val="auto"/>
              </w:rPr>
            </w:pPr>
          </w:p>
        </w:tc>
        <w:tc>
          <w:tcPr>
            <w:tcW w:w="3700" w:type="dxa"/>
            <w:vAlign w:val="bottom"/>
          </w:tcPr>
          <w:p>
            <w:pPr>
              <w:jc w:val="right"/>
              <w:ind w:right="349"/>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183964"/>
              </w:rPr>
              <w:t>$</w:t>
            </w:r>
          </w:p>
        </w:tc>
        <w:tc>
          <w:tcPr>
            <w:tcW w:w="0" w:type="dxa"/>
            <w:vAlign w:val="bottom"/>
          </w:tcPr>
          <w:p>
            <w:pPr>
              <w:spacing w:after="0"/>
              <w:rPr>
                <w:sz w:val="1"/>
                <w:szCs w:val="1"/>
                <w:color w:val="auto"/>
              </w:rPr>
            </w:pPr>
          </w:p>
        </w:tc>
      </w:tr>
      <w:tr>
        <w:trPr>
          <w:trHeight w:val="22"/>
        </w:trPr>
        <w:tc>
          <w:tcPr>
            <w:tcW w:w="6640" w:type="dxa"/>
            <w:vAlign w:val="bottom"/>
            <w:tcBorders>
              <w:bottom w:val="single" w:sz="8" w:color="001544"/>
            </w:tcBorders>
          </w:tcPr>
          <w:p>
            <w:pPr>
              <w:spacing w:after="0" w:line="20" w:lineRule="exact"/>
              <w:rPr>
                <w:sz w:val="1"/>
                <w:szCs w:val="1"/>
                <w:color w:val="auto"/>
              </w:rPr>
            </w:pPr>
          </w:p>
        </w:tc>
        <w:tc>
          <w:tcPr>
            <w:tcW w:w="3700" w:type="dxa"/>
            <w:vAlign w:val="bottom"/>
            <w:tcBorders>
              <w:bottom w:val="single" w:sz="8" w:color="001544"/>
            </w:tcBorders>
          </w:tcPr>
          <w:p>
            <w:pPr>
              <w:spacing w:after="0" w:line="20" w:lineRule="exact"/>
              <w:rPr>
                <w:sz w:val="1"/>
                <w:szCs w:val="1"/>
                <w:color w:val="auto"/>
              </w:rPr>
            </w:pPr>
          </w:p>
        </w:tc>
        <w:tc>
          <w:tcPr>
            <w:tcW w:w="880" w:type="dxa"/>
            <w:vAlign w:val="bottom"/>
            <w:tcBorders>
              <w:bottom w:val="single" w:sz="8" w:color="00154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6640" w:type="dxa"/>
            <w:vAlign w:val="bottom"/>
          </w:tcPr>
          <w:p>
            <w:pPr>
              <w:ind w:left="20"/>
              <w:spacing w:after="0"/>
              <w:rPr>
                <w:sz w:val="20"/>
                <w:szCs w:val="20"/>
                <w:color w:val="auto"/>
              </w:rPr>
            </w:pPr>
            <w:r>
              <w:rPr>
                <w:rFonts w:ascii="Arial" w:cs="Arial" w:eastAsia="Arial" w:hAnsi="Arial"/>
                <w:sz w:val="15"/>
                <w:szCs w:val="15"/>
                <w:color w:val="auto"/>
              </w:rPr>
              <w:t>Entrega</w:t>
            </w:r>
          </w:p>
        </w:tc>
        <w:tc>
          <w:tcPr>
            <w:tcW w:w="3700" w:type="dxa"/>
            <w:vAlign w:val="bottom"/>
          </w:tcPr>
          <w:p>
            <w:pPr>
              <w:jc w:val="right"/>
              <w:ind w:right="409"/>
              <w:spacing w:after="0"/>
              <w:rPr>
                <w:sz w:val="20"/>
                <w:szCs w:val="20"/>
                <w:color w:val="auto"/>
              </w:rPr>
            </w:pPr>
            <w:r>
              <w:rPr>
                <w:rFonts w:ascii="Arial" w:cs="Arial" w:eastAsia="Arial" w:hAnsi="Arial"/>
                <w:sz w:val="15"/>
                <w:szCs w:val="15"/>
                <w:b w:val="1"/>
                <w:bCs w:val="1"/>
                <w:color w:val="auto"/>
              </w:rPr>
              <w:t>2,216</w:t>
            </w:r>
          </w:p>
        </w:tc>
        <w:tc>
          <w:tcPr>
            <w:tcW w:w="880" w:type="dxa"/>
            <w:vAlign w:val="bottom"/>
          </w:tcPr>
          <w:p>
            <w:pPr>
              <w:jc w:val="right"/>
              <w:spacing w:after="0"/>
              <w:rPr>
                <w:sz w:val="20"/>
                <w:szCs w:val="20"/>
                <w:color w:val="auto"/>
              </w:rPr>
            </w:pPr>
            <w:r>
              <w:rPr>
                <w:rFonts w:ascii="Arial" w:cs="Arial" w:eastAsia="Arial" w:hAnsi="Arial"/>
                <w:sz w:val="15"/>
                <w:szCs w:val="15"/>
                <w:color w:val="183964"/>
              </w:rPr>
              <w:t>2,216</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5"/>
                <w:szCs w:val="15"/>
                <w:color w:val="auto"/>
              </w:rPr>
              <w:t>Follica</w:t>
            </w:r>
          </w:p>
        </w:tc>
        <w:tc>
          <w:tcPr>
            <w:tcW w:w="3700" w:type="dxa"/>
            <w:vAlign w:val="bottom"/>
          </w:tcPr>
          <w:p>
            <w:pPr>
              <w:jc w:val="right"/>
              <w:ind w:right="409"/>
              <w:spacing w:after="0"/>
              <w:rPr>
                <w:sz w:val="20"/>
                <w:szCs w:val="20"/>
                <w:color w:val="auto"/>
              </w:rPr>
            </w:pPr>
            <w:r>
              <w:rPr>
                <w:rFonts w:ascii="Arial" w:cs="Arial" w:eastAsia="Arial" w:hAnsi="Arial"/>
                <w:sz w:val="15"/>
                <w:szCs w:val="15"/>
                <w:b w:val="1"/>
                <w:bCs w:val="1"/>
                <w:color w:val="auto"/>
              </w:rPr>
              <w:t>6,405</w:t>
            </w:r>
          </w:p>
        </w:tc>
        <w:tc>
          <w:tcPr>
            <w:tcW w:w="880" w:type="dxa"/>
            <w:vAlign w:val="bottom"/>
          </w:tcPr>
          <w:p>
            <w:pPr>
              <w:jc w:val="right"/>
              <w:spacing w:after="0"/>
              <w:rPr>
                <w:sz w:val="20"/>
                <w:szCs w:val="20"/>
                <w:color w:val="auto"/>
              </w:rPr>
            </w:pPr>
            <w:r>
              <w:rPr>
                <w:rFonts w:ascii="Arial" w:cs="Arial" w:eastAsia="Arial" w:hAnsi="Arial"/>
                <w:sz w:val="15"/>
                <w:szCs w:val="15"/>
                <w:color w:val="183964"/>
              </w:rPr>
              <w:t>6,405</w:t>
            </w:r>
          </w:p>
        </w:tc>
        <w:tc>
          <w:tcPr>
            <w:tcW w:w="0" w:type="dxa"/>
            <w:vAlign w:val="bottom"/>
          </w:tcPr>
          <w:p>
            <w:pPr>
              <w:spacing w:after="0"/>
              <w:rPr>
                <w:sz w:val="1"/>
                <w:szCs w:val="1"/>
                <w:color w:val="auto"/>
              </w:rPr>
            </w:pPr>
          </w:p>
        </w:tc>
      </w:tr>
      <w:tr>
        <w:trPr>
          <w:trHeight w:val="25"/>
        </w:trPr>
        <w:tc>
          <w:tcPr>
            <w:tcW w:w="6640" w:type="dxa"/>
            <w:vAlign w:val="bottom"/>
            <w:tcBorders>
              <w:bottom w:val="single" w:sz="8" w:color="001544"/>
            </w:tcBorders>
          </w:tcPr>
          <w:p>
            <w:pPr>
              <w:spacing w:after="0"/>
              <w:rPr>
                <w:sz w:val="2"/>
                <w:szCs w:val="2"/>
                <w:color w:val="auto"/>
              </w:rPr>
            </w:pPr>
          </w:p>
        </w:tc>
        <w:tc>
          <w:tcPr>
            <w:tcW w:w="3700" w:type="dxa"/>
            <w:vAlign w:val="bottom"/>
            <w:tcBorders>
              <w:bottom w:val="single" w:sz="8" w:color="001544"/>
            </w:tcBorders>
          </w:tcPr>
          <w:p>
            <w:pPr>
              <w:spacing w:after="0"/>
              <w:rPr>
                <w:sz w:val="2"/>
                <w:szCs w:val="2"/>
                <w:color w:val="auto"/>
              </w:rPr>
            </w:pPr>
          </w:p>
        </w:tc>
        <w:tc>
          <w:tcPr>
            <w:tcW w:w="880" w:type="dxa"/>
            <w:vAlign w:val="bottom"/>
            <w:tcBorders>
              <w:bottom w:val="single" w:sz="8" w:color="001544"/>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640" w:type="dxa"/>
            <w:vAlign w:val="bottom"/>
          </w:tcPr>
          <w:p>
            <w:pPr>
              <w:ind w:left="20"/>
              <w:spacing w:after="0"/>
              <w:rPr>
                <w:sz w:val="20"/>
                <w:szCs w:val="20"/>
                <w:color w:val="auto"/>
              </w:rPr>
            </w:pPr>
            <w:r>
              <w:rPr>
                <w:rFonts w:ascii="Arial" w:cs="Arial" w:eastAsia="Arial" w:hAnsi="Arial"/>
                <w:sz w:val="15"/>
                <w:szCs w:val="15"/>
                <w:b w:val="1"/>
                <w:bCs w:val="1"/>
                <w:color w:val="auto"/>
              </w:rPr>
              <w:t>Total minimum liquidation preference</w:t>
            </w:r>
          </w:p>
        </w:tc>
        <w:tc>
          <w:tcPr>
            <w:tcW w:w="3700" w:type="dxa"/>
            <w:vAlign w:val="bottom"/>
          </w:tcPr>
          <w:p>
            <w:pPr>
              <w:jc w:val="right"/>
              <w:ind w:right="409"/>
              <w:spacing w:after="0"/>
              <w:rPr>
                <w:sz w:val="20"/>
                <w:szCs w:val="20"/>
                <w:color w:val="auto"/>
              </w:rPr>
            </w:pPr>
            <w:r>
              <w:rPr>
                <w:rFonts w:ascii="Arial" w:cs="Arial" w:eastAsia="Arial" w:hAnsi="Arial"/>
                <w:sz w:val="15"/>
                <w:szCs w:val="15"/>
                <w:b w:val="1"/>
                <w:bCs w:val="1"/>
                <w:color w:val="auto"/>
              </w:rPr>
              <w:t>8,621</w:t>
            </w:r>
          </w:p>
        </w:tc>
        <w:tc>
          <w:tcPr>
            <w:tcW w:w="880" w:type="dxa"/>
            <w:vAlign w:val="bottom"/>
          </w:tcPr>
          <w:p>
            <w:pPr>
              <w:jc w:val="right"/>
              <w:spacing w:after="0"/>
              <w:rPr>
                <w:sz w:val="20"/>
                <w:szCs w:val="20"/>
                <w:color w:val="auto"/>
              </w:rPr>
            </w:pPr>
            <w:r>
              <w:rPr>
                <w:rFonts w:ascii="Arial" w:cs="Arial" w:eastAsia="Arial" w:hAnsi="Arial"/>
                <w:sz w:val="15"/>
                <w:szCs w:val="15"/>
                <w:color w:val="183964"/>
              </w:rPr>
              <w:t>8,621</w:t>
            </w:r>
          </w:p>
        </w:tc>
        <w:tc>
          <w:tcPr>
            <w:tcW w:w="0" w:type="dxa"/>
            <w:vAlign w:val="bottom"/>
          </w:tcPr>
          <w:p>
            <w:pPr>
              <w:spacing w:after="0"/>
              <w:rPr>
                <w:sz w:val="1"/>
                <w:szCs w:val="1"/>
                <w:color w:val="auto"/>
              </w:rPr>
            </w:pPr>
          </w:p>
        </w:tc>
      </w:tr>
      <w:tr>
        <w:trPr>
          <w:trHeight w:val="25"/>
        </w:trPr>
        <w:tc>
          <w:tcPr>
            <w:tcW w:w="6640" w:type="dxa"/>
            <w:vAlign w:val="bottom"/>
            <w:tcBorders>
              <w:bottom w:val="single" w:sz="8" w:color="001544"/>
            </w:tcBorders>
          </w:tcPr>
          <w:p>
            <w:pPr>
              <w:spacing w:after="0"/>
              <w:rPr>
                <w:sz w:val="2"/>
                <w:szCs w:val="2"/>
                <w:color w:val="auto"/>
              </w:rPr>
            </w:pPr>
          </w:p>
        </w:tc>
        <w:tc>
          <w:tcPr>
            <w:tcW w:w="3700" w:type="dxa"/>
            <w:vAlign w:val="bottom"/>
            <w:tcBorders>
              <w:bottom w:val="single" w:sz="8" w:color="001544"/>
            </w:tcBorders>
          </w:tcPr>
          <w:p>
            <w:pPr>
              <w:spacing w:after="0"/>
              <w:rPr>
                <w:sz w:val="2"/>
                <w:szCs w:val="2"/>
                <w:color w:val="auto"/>
              </w:rPr>
            </w:pPr>
          </w:p>
        </w:tc>
        <w:tc>
          <w:tcPr>
            <w:tcW w:w="880" w:type="dxa"/>
            <w:vAlign w:val="bottom"/>
            <w:tcBorders>
              <w:bottom w:val="single" w:sz="8" w:color="00154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For the six months ended June 30, 2025 and June 30, 2024, the Group recognized the following changes in the value of subsidiary preferred shares: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40" w:type="dxa"/>
            <w:vAlign w:val="bottom"/>
          </w:tcPr>
          <w:p>
            <w:pPr>
              <w:spacing w:after="0"/>
              <w:rPr>
                <w:sz w:val="12"/>
                <w:szCs w:val="12"/>
                <w:color w:val="auto"/>
              </w:rPr>
            </w:pPr>
          </w:p>
        </w:tc>
        <w:tc>
          <w:tcPr>
            <w:tcW w:w="1660" w:type="dxa"/>
            <w:vAlign w:val="bottom"/>
          </w:tcPr>
          <w:p>
            <w:pPr>
              <w:jc w:val="right"/>
              <w:ind w:right="308"/>
              <w:spacing w:after="0"/>
              <w:rPr>
                <w:sz w:val="20"/>
                <w:szCs w:val="20"/>
                <w:color w:val="auto"/>
              </w:rPr>
            </w:pPr>
            <w:r>
              <w:rPr>
                <w:rFonts w:ascii="Arial" w:cs="Arial" w:eastAsia="Arial" w:hAnsi="Arial"/>
                <w:sz w:val="13"/>
                <w:szCs w:val="13"/>
                <w:b w:val="1"/>
                <w:bCs w:val="1"/>
                <w:color w:val="auto"/>
              </w:rPr>
              <w:t>2025</w:t>
            </w:r>
          </w:p>
        </w:tc>
        <w:tc>
          <w:tcPr>
            <w:tcW w:w="920" w:type="dxa"/>
            <w:vAlign w:val="bottom"/>
          </w:tcPr>
          <w:p>
            <w:pPr>
              <w:jc w:val="right"/>
              <w:spacing w:after="0"/>
              <w:rPr>
                <w:sz w:val="20"/>
                <w:szCs w:val="20"/>
                <w:color w:val="auto"/>
              </w:rPr>
            </w:pPr>
            <w:r>
              <w:rPr>
                <w:rFonts w:ascii="Arial" w:cs="Arial" w:eastAsia="Arial" w:hAnsi="Arial"/>
                <w:sz w:val="13"/>
                <w:szCs w:val="13"/>
                <w:color w:val="auto"/>
              </w:rPr>
              <w:t>2024</w:t>
            </w:r>
          </w:p>
        </w:tc>
        <w:tc>
          <w:tcPr>
            <w:tcW w:w="0" w:type="dxa"/>
            <w:vAlign w:val="bottom"/>
          </w:tcPr>
          <w:p>
            <w:pPr>
              <w:spacing w:after="0"/>
              <w:rPr>
                <w:sz w:val="1"/>
                <w:szCs w:val="1"/>
                <w:color w:val="auto"/>
              </w:rPr>
            </w:pPr>
          </w:p>
        </w:tc>
      </w:tr>
      <w:tr>
        <w:trPr>
          <w:trHeight w:val="172"/>
        </w:trPr>
        <w:tc>
          <w:tcPr>
            <w:tcW w:w="8640" w:type="dxa"/>
            <w:vAlign w:val="bottom"/>
          </w:tcPr>
          <w:p>
            <w:pPr>
              <w:spacing w:after="0"/>
              <w:rPr>
                <w:sz w:val="14"/>
                <w:szCs w:val="14"/>
                <w:color w:val="auto"/>
              </w:rPr>
            </w:pPr>
          </w:p>
        </w:tc>
        <w:tc>
          <w:tcPr>
            <w:tcW w:w="1660" w:type="dxa"/>
            <w:vAlign w:val="bottom"/>
          </w:tcPr>
          <w:p>
            <w:pPr>
              <w:jc w:val="right"/>
              <w:ind w:right="308"/>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
        </w:trPr>
        <w:tc>
          <w:tcPr>
            <w:tcW w:w="8640" w:type="dxa"/>
            <w:vAlign w:val="bottom"/>
            <w:tcBorders>
              <w:bottom w:val="single" w:sz="8" w:color="00497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8640" w:type="dxa"/>
            <w:vAlign w:val="bottom"/>
          </w:tcPr>
          <w:p>
            <w:pPr>
              <w:ind w:left="20"/>
              <w:spacing w:after="0"/>
              <w:rPr>
                <w:sz w:val="20"/>
                <w:szCs w:val="20"/>
                <w:color w:val="auto"/>
              </w:rPr>
            </w:pPr>
            <w:r>
              <w:rPr>
                <w:rFonts w:ascii="Arial" w:cs="Arial" w:eastAsia="Arial" w:hAnsi="Arial"/>
                <w:sz w:val="15"/>
                <w:szCs w:val="15"/>
                <w:b w:val="1"/>
                <w:bCs w:val="1"/>
                <w:color w:val="auto"/>
              </w:rPr>
              <w:t>Balance as of January 1</w:t>
            </w:r>
          </w:p>
        </w:tc>
        <w:tc>
          <w:tcPr>
            <w:tcW w:w="1660" w:type="dxa"/>
            <w:vAlign w:val="bottom"/>
          </w:tcPr>
          <w:p>
            <w:pPr>
              <w:jc w:val="right"/>
              <w:ind w:right="368"/>
              <w:spacing w:after="0"/>
              <w:rPr>
                <w:sz w:val="20"/>
                <w:szCs w:val="20"/>
                <w:color w:val="auto"/>
              </w:rPr>
            </w:pPr>
            <w:r>
              <w:rPr>
                <w:rFonts w:ascii="Arial" w:cs="Arial" w:eastAsia="Arial" w:hAnsi="Arial"/>
                <w:sz w:val="15"/>
                <w:szCs w:val="15"/>
                <w:b w:val="1"/>
                <w:bCs w:val="1"/>
                <w:color w:val="auto"/>
              </w:rPr>
              <w:t>169</w:t>
            </w:r>
          </w:p>
        </w:tc>
        <w:tc>
          <w:tcPr>
            <w:tcW w:w="920" w:type="dxa"/>
            <w:vAlign w:val="bottom"/>
          </w:tcPr>
          <w:p>
            <w:pPr>
              <w:jc w:val="right"/>
              <w:spacing w:after="0"/>
              <w:rPr>
                <w:sz w:val="20"/>
                <w:szCs w:val="20"/>
                <w:color w:val="auto"/>
              </w:rPr>
            </w:pPr>
            <w:r>
              <w:rPr>
                <w:rFonts w:ascii="Arial" w:cs="Arial" w:eastAsia="Arial" w:hAnsi="Arial"/>
                <w:sz w:val="15"/>
                <w:szCs w:val="15"/>
                <w:color w:val="183964"/>
              </w:rPr>
              <w:t>169</w:t>
            </w:r>
          </w:p>
        </w:tc>
        <w:tc>
          <w:tcPr>
            <w:tcW w:w="0" w:type="dxa"/>
            <w:vAlign w:val="bottom"/>
          </w:tcPr>
          <w:p>
            <w:pPr>
              <w:spacing w:after="0"/>
              <w:rPr>
                <w:sz w:val="1"/>
                <w:szCs w:val="1"/>
                <w:color w:val="auto"/>
              </w:rPr>
            </w:pPr>
          </w:p>
        </w:tc>
      </w:tr>
      <w:tr>
        <w:trPr>
          <w:trHeight w:val="235"/>
        </w:trPr>
        <w:tc>
          <w:tcPr>
            <w:tcW w:w="8640" w:type="dxa"/>
            <w:vAlign w:val="bottom"/>
          </w:tcPr>
          <w:p>
            <w:pPr>
              <w:ind w:left="20"/>
              <w:spacing w:after="0"/>
              <w:rPr>
                <w:sz w:val="20"/>
                <w:szCs w:val="20"/>
                <w:color w:val="auto"/>
              </w:rPr>
            </w:pPr>
            <w:r>
              <w:rPr>
                <w:rFonts w:ascii="Arial" w:cs="Arial" w:eastAsia="Arial" w:hAnsi="Arial"/>
                <w:sz w:val="15"/>
                <w:szCs w:val="15"/>
                <w:color w:val="auto"/>
              </w:rPr>
              <w:t>Issuance of new preferred shares</w:t>
            </w:r>
          </w:p>
        </w:tc>
        <w:tc>
          <w:tcPr>
            <w:tcW w:w="1660" w:type="dxa"/>
            <w:vAlign w:val="bottom"/>
          </w:tcPr>
          <w:p>
            <w:pPr>
              <w:jc w:val="right"/>
              <w:ind w:right="368"/>
              <w:spacing w:after="0"/>
              <w:rPr>
                <w:sz w:val="20"/>
                <w:szCs w:val="20"/>
                <w:color w:val="auto"/>
              </w:rPr>
            </w:pPr>
            <w:r>
              <w:rPr>
                <w:rFonts w:ascii="Arial" w:cs="Arial" w:eastAsia="Arial" w:hAnsi="Arial"/>
                <w:sz w:val="15"/>
                <w:szCs w:val="15"/>
                <w:color w:val="183964"/>
              </w:rPr>
              <w:t>—</w:t>
            </w:r>
          </w:p>
        </w:tc>
        <w:tc>
          <w:tcPr>
            <w:tcW w:w="920" w:type="dxa"/>
            <w:vAlign w:val="bottom"/>
          </w:tcPr>
          <w:p>
            <w:pPr>
              <w:jc w:val="right"/>
              <w:spacing w:after="0"/>
              <w:rPr>
                <w:sz w:val="20"/>
                <w:szCs w:val="20"/>
                <w:color w:val="auto"/>
              </w:rPr>
            </w:pPr>
            <w:r>
              <w:rPr>
                <w:rFonts w:ascii="Arial" w:cs="Arial" w:eastAsia="Arial" w:hAnsi="Arial"/>
                <w:sz w:val="15"/>
                <w:szCs w:val="15"/>
                <w:color w:val="183964"/>
              </w:rPr>
              <w:t>68,100</w:t>
            </w:r>
          </w:p>
        </w:tc>
        <w:tc>
          <w:tcPr>
            <w:tcW w:w="0" w:type="dxa"/>
            <w:vAlign w:val="bottom"/>
          </w:tcPr>
          <w:p>
            <w:pPr>
              <w:spacing w:after="0"/>
              <w:rPr>
                <w:sz w:val="1"/>
                <w:szCs w:val="1"/>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5"/>
                <w:szCs w:val="15"/>
                <w:color w:val="auto"/>
              </w:rPr>
              <w:t>Increase/(decrease) in value of preferred shares measured at fair value*</w:t>
            </w:r>
          </w:p>
        </w:tc>
        <w:tc>
          <w:tcPr>
            <w:tcW w:w="1660" w:type="dxa"/>
            <w:vAlign w:val="bottom"/>
          </w:tcPr>
          <w:p>
            <w:pPr>
              <w:jc w:val="right"/>
              <w:ind w:right="368"/>
              <w:spacing w:after="0"/>
              <w:rPr>
                <w:sz w:val="20"/>
                <w:szCs w:val="20"/>
                <w:color w:val="auto"/>
              </w:rPr>
            </w:pPr>
            <w:r>
              <w:rPr>
                <w:rFonts w:ascii="Arial" w:cs="Arial" w:eastAsia="Arial" w:hAnsi="Arial"/>
                <w:sz w:val="15"/>
                <w:szCs w:val="15"/>
                <w:color w:val="183964"/>
              </w:rPr>
              <w:t>—</w:t>
            </w:r>
          </w:p>
        </w:tc>
        <w:tc>
          <w:tcPr>
            <w:tcW w:w="920" w:type="dxa"/>
            <w:vAlign w:val="bottom"/>
          </w:tcPr>
          <w:p>
            <w:pPr>
              <w:jc w:val="right"/>
              <w:spacing w:after="0"/>
              <w:rPr>
                <w:sz w:val="20"/>
                <w:szCs w:val="20"/>
                <w:color w:val="auto"/>
              </w:rPr>
            </w:pPr>
            <w:r>
              <w:rPr>
                <w:rFonts w:ascii="Arial" w:cs="Arial" w:eastAsia="Arial" w:hAnsi="Arial"/>
                <w:sz w:val="15"/>
                <w:szCs w:val="15"/>
                <w:color w:val="183964"/>
              </w:rPr>
              <w:t>1,613</w:t>
            </w:r>
          </w:p>
        </w:tc>
        <w:tc>
          <w:tcPr>
            <w:tcW w:w="0" w:type="dxa"/>
            <w:vAlign w:val="bottom"/>
          </w:tcPr>
          <w:p>
            <w:pPr>
              <w:spacing w:after="0"/>
              <w:rPr>
                <w:sz w:val="1"/>
                <w:szCs w:val="1"/>
                <w:color w:val="auto"/>
              </w:rPr>
            </w:pPr>
          </w:p>
        </w:tc>
      </w:tr>
      <w:tr>
        <w:trPr>
          <w:trHeight w:val="33"/>
        </w:trPr>
        <w:tc>
          <w:tcPr>
            <w:tcW w:w="8640" w:type="dxa"/>
            <w:vAlign w:val="bottom"/>
            <w:tcBorders>
              <w:bottom w:val="single" w:sz="8" w:color="B6B6B6"/>
            </w:tcBorders>
          </w:tcPr>
          <w:p>
            <w:pPr>
              <w:spacing w:after="0"/>
              <w:rPr>
                <w:sz w:val="2"/>
                <w:szCs w:val="2"/>
                <w:color w:val="auto"/>
              </w:rPr>
            </w:pPr>
          </w:p>
        </w:tc>
        <w:tc>
          <w:tcPr>
            <w:tcW w:w="1660" w:type="dxa"/>
            <w:vAlign w:val="bottom"/>
            <w:tcBorders>
              <w:bottom w:val="single" w:sz="8" w:color="B6B6B6"/>
            </w:tcBorders>
          </w:tcPr>
          <w:p>
            <w:pPr>
              <w:spacing w:after="0"/>
              <w:rPr>
                <w:sz w:val="2"/>
                <w:szCs w:val="2"/>
                <w:color w:val="auto"/>
              </w:rPr>
            </w:pPr>
          </w:p>
        </w:tc>
        <w:tc>
          <w:tcPr>
            <w:tcW w:w="92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8640" w:type="dxa"/>
            <w:vAlign w:val="bottom"/>
          </w:tcPr>
          <w:p>
            <w:pPr>
              <w:ind w:left="20"/>
              <w:spacing w:after="0"/>
              <w:rPr>
                <w:sz w:val="20"/>
                <w:szCs w:val="20"/>
                <w:color w:val="auto"/>
              </w:rPr>
            </w:pPr>
            <w:r>
              <w:rPr>
                <w:rFonts w:ascii="Arial" w:cs="Arial" w:eastAsia="Arial" w:hAnsi="Arial"/>
                <w:sz w:val="15"/>
                <w:szCs w:val="15"/>
                <w:b w:val="1"/>
                <w:bCs w:val="1"/>
                <w:color w:val="auto"/>
              </w:rPr>
              <w:t>Balance as of June 30</w:t>
            </w:r>
          </w:p>
        </w:tc>
        <w:tc>
          <w:tcPr>
            <w:tcW w:w="1660" w:type="dxa"/>
            <w:vAlign w:val="bottom"/>
            <w:vMerge w:val="restart"/>
          </w:tcPr>
          <w:p>
            <w:pPr>
              <w:jc w:val="right"/>
              <w:ind w:right="368"/>
              <w:spacing w:after="0"/>
              <w:rPr>
                <w:sz w:val="20"/>
                <w:szCs w:val="20"/>
                <w:color w:val="auto"/>
              </w:rPr>
            </w:pPr>
            <w:r>
              <w:rPr>
                <w:rFonts w:ascii="Arial" w:cs="Arial" w:eastAsia="Arial" w:hAnsi="Arial"/>
                <w:sz w:val="15"/>
                <w:szCs w:val="15"/>
                <w:b w:val="1"/>
                <w:bCs w:val="1"/>
                <w:color w:val="auto"/>
              </w:rPr>
              <w:t>169</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183964"/>
              </w:rPr>
              <w:t>69,882</w:t>
            </w:r>
          </w:p>
        </w:tc>
        <w:tc>
          <w:tcPr>
            <w:tcW w:w="0" w:type="dxa"/>
            <w:vAlign w:val="bottom"/>
          </w:tcPr>
          <w:p>
            <w:pPr>
              <w:spacing w:after="0"/>
              <w:rPr>
                <w:sz w:val="1"/>
                <w:szCs w:val="1"/>
                <w:color w:val="auto"/>
              </w:rPr>
            </w:pPr>
          </w:p>
        </w:tc>
      </w:tr>
      <w:tr>
        <w:trPr>
          <w:trHeight w:val="81"/>
        </w:trPr>
        <w:tc>
          <w:tcPr>
            <w:tcW w:w="86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86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0" w:hanging="152"/>
        <w:spacing w:after="0"/>
        <w:tabs>
          <w:tab w:leader="none" w:pos="160" w:val="left"/>
        </w:tabs>
        <w:numPr>
          <w:ilvl w:val="0"/>
          <w:numId w:val="26"/>
        </w:numPr>
        <w:rPr>
          <w:rFonts w:ascii="Arial" w:cs="Arial" w:eastAsia="Arial" w:hAnsi="Arial"/>
          <w:sz w:val="11"/>
          <w:szCs w:val="11"/>
          <w:color w:val="183964"/>
        </w:rPr>
      </w:pPr>
      <w:r>
        <w:rPr>
          <w:rFonts w:ascii="Arial" w:cs="Arial" w:eastAsia="Arial" w:hAnsi="Arial"/>
          <w:sz w:val="11"/>
          <w:szCs w:val="11"/>
          <w:color w:val="183964"/>
        </w:rPr>
        <w:t>The changes in fair value of preferred shares are included in total finance income/(costs) – fair value accounting in the Condensed Consolidated Statement of Comprehensive Income/(Loss).</w:t>
      </w:r>
    </w:p>
    <w:p>
      <w:pPr>
        <w:sectPr>
          <w:pgSz w:w="11900" w:h="16838" w:orient="portrait"/>
          <w:cols w:equalWidth="0" w:num="1">
            <w:col w:w="11220"/>
          </w:cols>
          <w:pgMar w:left="320" w:top="1241" w:right="359" w:bottom="1440" w:gutter="0" w:footer="0" w:header="0"/>
        </w:sectPr>
      </w:pPr>
    </w:p>
    <w:bookmarkStart w:id="37" w:name="page38"/>
    <w:bookmarkEnd w:id="37"/>
    <w:p>
      <w:pPr>
        <w:ind w:left="440" w:hanging="432"/>
        <w:spacing w:after="0"/>
        <w:tabs>
          <w:tab w:leader="none" w:pos="440" w:val="left"/>
        </w:tabs>
        <w:numPr>
          <w:ilvl w:val="0"/>
          <w:numId w:val="27"/>
        </w:numPr>
        <w:rPr>
          <w:rFonts w:ascii="Arial" w:cs="Arial" w:eastAsia="Arial" w:hAnsi="Arial"/>
          <w:sz w:val="15"/>
          <w:szCs w:val="15"/>
          <w:b w:val="1"/>
          <w:bCs w:val="1"/>
          <w:color w:val="183964"/>
        </w:rPr>
      </w:pPr>
      <w:r>
        <w:rPr>
          <w:rFonts w:ascii="Arial" w:cs="Arial" w:eastAsia="Arial" w:hAnsi="Arial"/>
          <w:sz w:val="15"/>
          <w:szCs w:val="15"/>
          <w:b w:val="1"/>
          <w:bCs w:val="1"/>
          <w:color w:val="183964"/>
        </w:rPr>
        <w:t>Sale of Future Royalties Liability</w:t>
      </w:r>
    </w:p>
    <w:p>
      <w:pPr>
        <w:spacing w:after="0" w:line="100" w:lineRule="exact"/>
        <w:rPr>
          <w:sz w:val="20"/>
          <w:szCs w:val="20"/>
          <w:color w:val="auto"/>
        </w:rPr>
      </w:pPr>
    </w:p>
    <w:p>
      <w:pPr>
        <w:ind w:right="80"/>
        <w:spacing w:after="0" w:line="273" w:lineRule="auto"/>
        <w:rPr>
          <w:sz w:val="20"/>
          <w:szCs w:val="20"/>
          <w:color w:val="auto"/>
        </w:rPr>
      </w:pPr>
      <w:r>
        <w:rPr>
          <w:rFonts w:ascii="Arial" w:cs="Arial" w:eastAsia="Arial" w:hAnsi="Arial"/>
          <w:sz w:val="15"/>
          <w:szCs w:val="15"/>
          <w:color w:val="auto"/>
        </w:rPr>
        <w:t>On March 4, 2011, the Group entered into a license agreement (the “License Agreement”) with Karuna, according to which the Group granted Karuna an exclusive license to research, develop and sell KarXT in exchange for a royalty on annual net sales, development and regulatory milestones and a fixed portion of sublicensing income, if any.</w:t>
      </w:r>
    </w:p>
    <w:p>
      <w:pPr>
        <w:spacing w:after="0" w:line="46"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On March 22, 2023, the Group signed an agreement with Royalty Pharma (the "Royalty Purchase Agreement"), according to which the Group sold Royalty Pharma a partial right to receive royalty payments from Karuna in respect of net sales of KarXT, if and when received. According to the Royalty Purchase Agreement, all royalties due to the Group under the License Agreement will be paid to Royalty Pharma up to an annual royalties threshold of $60,000, while all royalties above such annual threshold in a given year will be split 33% to Royalty Pharma and 67% to the Group. Under the terms of the Royalty Purchase Agreement, the Group received a non-refundable initial payment of $100,000 at the execution of the Royalty Purchase Agreement and is eligible to receive additional payments in the aggregate of up to an additional $400,000 based on the achievement of certain regulatory and commercial milestones.</w:t>
      </w:r>
    </w:p>
    <w:p>
      <w:pPr>
        <w:spacing w:after="0" w:line="54"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The Group continues to hold the rights under the License Agreement and has a contractual obligation to deliver cash to Royalty Pharma for a portion of the royalties it receives. Therefore, the Group will continue to account for any royalties and milestones due to the Group under the License Agreement as revenue in its Condensed Consolidated Statement of Comprehensive Income/(Loss) and record the proceeds from the Royalty Purchase Agreement as a financial liability on its Condensed Consolidated Statement of Financial Position. In determining the appropriate accounting treatment for the Royalty Purchase Agreement, management applied significant judgment.</w:t>
      </w:r>
    </w:p>
    <w:p>
      <w:pPr>
        <w:spacing w:after="0" w:line="49" w:lineRule="exact"/>
        <w:rPr>
          <w:sz w:val="20"/>
          <w:szCs w:val="20"/>
          <w:color w:val="auto"/>
        </w:rPr>
      </w:pPr>
    </w:p>
    <w:p>
      <w:pPr>
        <w:ind w:right="260"/>
        <w:spacing w:after="0" w:line="301" w:lineRule="auto"/>
        <w:rPr>
          <w:sz w:val="20"/>
          <w:szCs w:val="20"/>
          <w:color w:val="auto"/>
        </w:rPr>
      </w:pPr>
      <w:r>
        <w:rPr>
          <w:rFonts w:ascii="Arial" w:cs="Arial" w:eastAsia="Arial" w:hAnsi="Arial"/>
          <w:sz w:val="15"/>
          <w:szCs w:val="15"/>
          <w:color w:val="auto"/>
        </w:rPr>
        <w:t>The acquisition of Karuna by Bristol Myers Squibb ("BMS"), which closed on March 18, 2024, had no impact on the Group's rights or obligations under the License Agreement or the Royalty Purchase Agreement, each of which remains in full force and effect.</w:t>
      </w:r>
    </w:p>
    <w:p>
      <w:pPr>
        <w:spacing w:after="0" w:line="26" w:lineRule="exact"/>
        <w:rPr>
          <w:sz w:val="20"/>
          <w:szCs w:val="20"/>
          <w:color w:val="auto"/>
        </w:rPr>
      </w:pPr>
    </w:p>
    <w:p>
      <w:pPr>
        <w:ind w:right="160"/>
        <w:spacing w:after="0" w:line="269" w:lineRule="auto"/>
        <w:rPr>
          <w:sz w:val="20"/>
          <w:szCs w:val="20"/>
          <w:color w:val="auto"/>
        </w:rPr>
      </w:pPr>
      <w:r>
        <w:rPr>
          <w:rFonts w:ascii="Arial" w:cs="Arial" w:eastAsia="Arial" w:hAnsi="Arial"/>
          <w:sz w:val="15"/>
          <w:szCs w:val="15"/>
          <w:color w:val="auto"/>
        </w:rPr>
        <w:t>In order to determine the amortized cost of the sale of future royalties liability, management is required to estimate the total amount of future receipts from and payments to Royalty Pharma under the Royalty Purchase Agreement over the life of the agreement. The $ 100,000 liability, recorded at execution of the Royalty Purchase Agreement, is accreted to the total of these receipts and payments as interest expense over the life of the Royalty Purchase Agreement. These estimates contain assumptions that impact both the amortized cost of the liability and the interest expense that are recognized in each reporting period.</w:t>
      </w:r>
    </w:p>
    <w:p>
      <w:pPr>
        <w:spacing w:after="0" w:line="50"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Additional proceeds received from Royalty Pharma increase the Group’s financial liability. As royalty payments are made to Royalty Pharma, the balance of the liability is effectively repaid over the life of the Royalty Purchase Agreement. The estimated timing and amount of royalty payments to and proceeds from Royalty Pharma are likely to change over the life of the Royalty Purchase Agreement. A significant increase or decrease in estimated royalty payments, or a significant shift in the timing of cash flows, will materially impact the sale of future royalties liability, interest expense and the time period for repayment. The Group periodically assesses the expected payments to, or proceeds from, Royalty Pharma. Any such changes in amount or timing of cash flows requires the Group to re-calculate the amortized cost of the sale of future royalties liability as the present value of the estimated future cash flows from the Royalty Purchase Agreement that are discounted at the liability’s original effective interest rate. The adjustment is recognized immediately in profit or loss as income or expense.</w:t>
      </w:r>
    </w:p>
    <w:p>
      <w:pPr>
        <w:spacing w:after="0" w:line="54" w:lineRule="exact"/>
        <w:rPr>
          <w:sz w:val="20"/>
          <w:szCs w:val="20"/>
          <w:color w:val="auto"/>
        </w:rPr>
      </w:pPr>
    </w:p>
    <w:p>
      <w:pPr>
        <w:ind w:right="220"/>
        <w:spacing w:after="0" w:line="273" w:lineRule="auto"/>
        <w:rPr>
          <w:sz w:val="20"/>
          <w:szCs w:val="20"/>
          <w:color w:val="auto"/>
        </w:rPr>
      </w:pPr>
      <w:r>
        <w:rPr>
          <w:rFonts w:ascii="Arial" w:cs="Arial" w:eastAsia="Arial" w:hAnsi="Arial"/>
          <w:sz w:val="15"/>
          <w:szCs w:val="15"/>
          <w:color w:val="auto"/>
        </w:rPr>
        <w:t>On October 1, 2024, the Group received $25,000 from Royalty Pharma upon the FDA's approval for BMS to market KarXT as Cobenfy. The Group paid Royalty Pharma $315 in the first quarter of 2025 for the royalties received from BMS for the sale of Cobenfy in the fourth quarter of 2024. In the six months ended June 30, 2025, the Group recognized $1,851 royalty revenue from BMS’ sale of Cobenfy and paid Royalty Pharma such amount in July 2025.</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shows the activity in respect of the sale of future royalties liability: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4280" w:type="dxa"/>
            <w:vAlign w:val="bottom"/>
          </w:tcPr>
          <w:p>
            <w:pPr>
              <w:jc w:val="right"/>
              <w:spacing w:after="0"/>
              <w:rPr>
                <w:sz w:val="20"/>
                <w:szCs w:val="20"/>
                <w:color w:val="auto"/>
              </w:rPr>
            </w:pPr>
            <w:r>
              <w:rPr>
                <w:rFonts w:ascii="Arial" w:cs="Arial" w:eastAsia="Arial" w:hAnsi="Arial"/>
                <w:sz w:val="13"/>
                <w:szCs w:val="13"/>
                <w:color w:val="auto"/>
              </w:rPr>
              <w:t>Sale of future royalties</w:t>
            </w:r>
          </w:p>
        </w:tc>
      </w:tr>
      <w:tr>
        <w:trPr>
          <w:trHeight w:val="149"/>
        </w:trPr>
        <w:tc>
          <w:tcPr>
            <w:tcW w:w="6940" w:type="dxa"/>
            <w:vAlign w:val="bottom"/>
          </w:tcPr>
          <w:p>
            <w:pPr>
              <w:spacing w:after="0"/>
              <w:rPr>
                <w:sz w:val="12"/>
                <w:szCs w:val="12"/>
                <w:color w:val="auto"/>
              </w:rPr>
            </w:pPr>
          </w:p>
        </w:tc>
        <w:tc>
          <w:tcPr>
            <w:tcW w:w="4280" w:type="dxa"/>
            <w:vAlign w:val="bottom"/>
          </w:tcPr>
          <w:p>
            <w:pPr>
              <w:jc w:val="right"/>
              <w:spacing w:after="0"/>
              <w:rPr>
                <w:sz w:val="20"/>
                <w:szCs w:val="20"/>
                <w:color w:val="auto"/>
              </w:rPr>
            </w:pPr>
            <w:r>
              <w:rPr>
                <w:rFonts w:ascii="Arial" w:cs="Arial" w:eastAsia="Arial" w:hAnsi="Arial"/>
                <w:sz w:val="13"/>
                <w:szCs w:val="13"/>
                <w:color w:val="auto"/>
              </w:rPr>
              <w:t>liability</w:t>
            </w:r>
          </w:p>
        </w:tc>
      </w:tr>
      <w:tr>
        <w:trPr>
          <w:trHeight w:val="166"/>
        </w:trPr>
        <w:tc>
          <w:tcPr>
            <w:tcW w:w="6940" w:type="dxa"/>
            <w:vAlign w:val="bottom"/>
          </w:tcPr>
          <w:p>
            <w:pPr>
              <w:spacing w:after="0"/>
              <w:rPr>
                <w:sz w:val="14"/>
                <w:szCs w:val="14"/>
                <w:color w:val="auto"/>
              </w:rPr>
            </w:pPr>
          </w:p>
        </w:tc>
        <w:tc>
          <w:tcPr>
            <w:tcW w:w="4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8"/>
        </w:trPr>
        <w:tc>
          <w:tcPr>
            <w:tcW w:w="6940" w:type="dxa"/>
            <w:vAlign w:val="bottom"/>
            <w:tcBorders>
              <w:bottom w:val="single" w:sz="8" w:color="001544"/>
            </w:tcBorders>
          </w:tcPr>
          <w:p>
            <w:pPr>
              <w:spacing w:after="0"/>
              <w:rPr>
                <w:sz w:val="2"/>
                <w:szCs w:val="2"/>
                <w:color w:val="auto"/>
              </w:rPr>
            </w:pPr>
          </w:p>
        </w:tc>
        <w:tc>
          <w:tcPr>
            <w:tcW w:w="4280" w:type="dxa"/>
            <w:vAlign w:val="bottom"/>
            <w:tcBorders>
              <w:bottom w:val="single" w:sz="8" w:color="001544"/>
            </w:tcBorders>
          </w:tcPr>
          <w:p>
            <w:pPr>
              <w:spacing w:after="0"/>
              <w:rPr>
                <w:sz w:val="2"/>
                <w:szCs w:val="2"/>
                <w:color w:val="auto"/>
              </w:rPr>
            </w:pPr>
          </w:p>
        </w:tc>
      </w:tr>
      <w:tr>
        <w:trPr>
          <w:trHeight w:val="211"/>
        </w:trPr>
        <w:tc>
          <w:tcPr>
            <w:tcW w:w="6940" w:type="dxa"/>
            <w:vAlign w:val="bottom"/>
          </w:tcPr>
          <w:p>
            <w:pPr>
              <w:ind w:left="20"/>
              <w:spacing w:after="0"/>
              <w:rPr>
                <w:sz w:val="20"/>
                <w:szCs w:val="20"/>
                <w:color w:val="auto"/>
              </w:rPr>
            </w:pPr>
            <w:r>
              <w:rPr>
                <w:rFonts w:ascii="Arial" w:cs="Arial" w:eastAsia="Arial" w:hAnsi="Arial"/>
                <w:sz w:val="15"/>
                <w:szCs w:val="15"/>
                <w:b w:val="1"/>
                <w:bCs w:val="1"/>
                <w:color w:val="auto"/>
              </w:rPr>
              <w:t>Balance as of December 31, 2024 and January 1, 2025</w:t>
            </w:r>
          </w:p>
        </w:tc>
        <w:tc>
          <w:tcPr>
            <w:tcW w:w="4280" w:type="dxa"/>
            <w:vAlign w:val="bottom"/>
          </w:tcPr>
          <w:p>
            <w:pPr>
              <w:jc w:val="right"/>
              <w:spacing w:after="0"/>
              <w:rPr>
                <w:sz w:val="20"/>
                <w:szCs w:val="20"/>
                <w:color w:val="auto"/>
              </w:rPr>
            </w:pPr>
            <w:r>
              <w:rPr>
                <w:rFonts w:ascii="Arial" w:cs="Arial" w:eastAsia="Arial" w:hAnsi="Arial"/>
                <w:sz w:val="15"/>
                <w:szCs w:val="15"/>
                <w:b w:val="1"/>
                <w:bCs w:val="1"/>
                <w:color w:val="auto"/>
              </w:rPr>
              <w:t>143,217</w:t>
            </w:r>
          </w:p>
        </w:tc>
      </w:tr>
      <w:tr>
        <w:trPr>
          <w:trHeight w:val="25"/>
        </w:trPr>
        <w:tc>
          <w:tcPr>
            <w:tcW w:w="6940" w:type="dxa"/>
            <w:vAlign w:val="bottom"/>
            <w:tcBorders>
              <w:bottom w:val="single" w:sz="8" w:color="001544"/>
            </w:tcBorders>
          </w:tcPr>
          <w:p>
            <w:pPr>
              <w:spacing w:after="0"/>
              <w:rPr>
                <w:sz w:val="2"/>
                <w:szCs w:val="2"/>
                <w:color w:val="auto"/>
              </w:rPr>
            </w:pPr>
          </w:p>
        </w:tc>
        <w:tc>
          <w:tcPr>
            <w:tcW w:w="4280" w:type="dxa"/>
            <w:vAlign w:val="bottom"/>
            <w:tcBorders>
              <w:bottom w:val="single" w:sz="8" w:color="001544"/>
            </w:tcBorders>
          </w:tcPr>
          <w:p>
            <w:pPr>
              <w:spacing w:after="0"/>
              <w:rPr>
                <w:sz w:val="2"/>
                <w:szCs w:val="2"/>
                <w:color w:val="auto"/>
              </w:rPr>
            </w:pPr>
          </w:p>
        </w:tc>
      </w:tr>
      <w:tr>
        <w:trPr>
          <w:trHeight w:val="204"/>
        </w:trPr>
        <w:tc>
          <w:tcPr>
            <w:tcW w:w="6940" w:type="dxa"/>
            <w:vAlign w:val="bottom"/>
          </w:tcPr>
          <w:p>
            <w:pPr>
              <w:ind w:left="20"/>
              <w:spacing w:after="0"/>
              <w:rPr>
                <w:sz w:val="20"/>
                <w:szCs w:val="20"/>
                <w:color w:val="auto"/>
              </w:rPr>
            </w:pPr>
            <w:r>
              <w:rPr>
                <w:rFonts w:ascii="Arial" w:cs="Arial" w:eastAsia="Arial" w:hAnsi="Arial"/>
                <w:sz w:val="15"/>
                <w:szCs w:val="15"/>
                <w:color w:val="auto"/>
              </w:rPr>
              <w:t>Payment to Royalty Pharma</w:t>
            </w:r>
          </w:p>
        </w:tc>
        <w:tc>
          <w:tcPr>
            <w:tcW w:w="4280" w:type="dxa"/>
            <w:vAlign w:val="bottom"/>
          </w:tcPr>
          <w:p>
            <w:pPr>
              <w:jc w:val="right"/>
              <w:spacing w:after="0"/>
              <w:rPr>
                <w:sz w:val="20"/>
                <w:szCs w:val="20"/>
                <w:color w:val="auto"/>
              </w:rPr>
            </w:pPr>
            <w:r>
              <w:rPr>
                <w:rFonts w:ascii="Arial" w:cs="Arial" w:eastAsia="Arial" w:hAnsi="Arial"/>
                <w:sz w:val="15"/>
                <w:szCs w:val="15"/>
                <w:color w:val="183964"/>
              </w:rPr>
              <w:t>(315)</w:t>
            </w:r>
          </w:p>
        </w:tc>
      </w:tr>
      <w:tr>
        <w:trPr>
          <w:trHeight w:val="243"/>
        </w:trPr>
        <w:tc>
          <w:tcPr>
            <w:tcW w:w="6940" w:type="dxa"/>
            <w:vAlign w:val="bottom"/>
          </w:tcPr>
          <w:p>
            <w:pPr>
              <w:ind w:left="20"/>
              <w:spacing w:after="0"/>
              <w:rPr>
                <w:sz w:val="20"/>
                <w:szCs w:val="20"/>
                <w:color w:val="auto"/>
              </w:rPr>
            </w:pPr>
            <w:r>
              <w:rPr>
                <w:rFonts w:ascii="Arial" w:cs="Arial" w:eastAsia="Arial" w:hAnsi="Arial"/>
                <w:sz w:val="15"/>
                <w:szCs w:val="15"/>
                <w:color w:val="auto"/>
              </w:rPr>
              <w:t>Non-cash interest expense recognized</w:t>
            </w:r>
          </w:p>
        </w:tc>
        <w:tc>
          <w:tcPr>
            <w:tcW w:w="4280" w:type="dxa"/>
            <w:vAlign w:val="bottom"/>
          </w:tcPr>
          <w:p>
            <w:pPr>
              <w:jc w:val="right"/>
              <w:spacing w:after="0"/>
              <w:rPr>
                <w:sz w:val="20"/>
                <w:szCs w:val="20"/>
                <w:color w:val="auto"/>
              </w:rPr>
            </w:pPr>
            <w:r>
              <w:rPr>
                <w:rFonts w:ascii="Arial" w:cs="Arial" w:eastAsia="Arial" w:hAnsi="Arial"/>
                <w:sz w:val="15"/>
                <w:szCs w:val="15"/>
                <w:color w:val="183964"/>
              </w:rPr>
              <w:t>(247)</w:t>
            </w:r>
          </w:p>
        </w:tc>
      </w:tr>
      <w:tr>
        <w:trPr>
          <w:trHeight w:val="33"/>
        </w:trPr>
        <w:tc>
          <w:tcPr>
            <w:tcW w:w="6940" w:type="dxa"/>
            <w:vAlign w:val="bottom"/>
            <w:tcBorders>
              <w:bottom w:val="single" w:sz="8" w:color="001544"/>
            </w:tcBorders>
          </w:tcPr>
          <w:p>
            <w:pPr>
              <w:spacing w:after="0"/>
              <w:rPr>
                <w:sz w:val="2"/>
                <w:szCs w:val="2"/>
                <w:color w:val="auto"/>
              </w:rPr>
            </w:pPr>
          </w:p>
        </w:tc>
        <w:tc>
          <w:tcPr>
            <w:tcW w:w="4280" w:type="dxa"/>
            <w:vAlign w:val="bottom"/>
            <w:tcBorders>
              <w:bottom w:val="single" w:sz="8" w:color="001544"/>
            </w:tcBorders>
          </w:tcPr>
          <w:p>
            <w:pPr>
              <w:spacing w:after="0"/>
              <w:rPr>
                <w:sz w:val="2"/>
                <w:szCs w:val="2"/>
                <w:color w:val="auto"/>
              </w:rPr>
            </w:pPr>
          </w:p>
        </w:tc>
      </w:tr>
      <w:tr>
        <w:trPr>
          <w:trHeight w:val="211"/>
        </w:trPr>
        <w:tc>
          <w:tcPr>
            <w:tcW w:w="6940" w:type="dxa"/>
            <w:vAlign w:val="bottom"/>
          </w:tcPr>
          <w:p>
            <w:pPr>
              <w:ind w:left="20"/>
              <w:spacing w:after="0"/>
              <w:rPr>
                <w:sz w:val="20"/>
                <w:szCs w:val="20"/>
                <w:color w:val="auto"/>
              </w:rPr>
            </w:pPr>
            <w:r>
              <w:rPr>
                <w:rFonts w:ascii="Arial" w:cs="Arial" w:eastAsia="Arial" w:hAnsi="Arial"/>
                <w:sz w:val="15"/>
                <w:szCs w:val="15"/>
                <w:b w:val="1"/>
                <w:bCs w:val="1"/>
                <w:color w:val="auto"/>
              </w:rPr>
              <w:t>Balance as of June 30, 2025</w:t>
            </w:r>
          </w:p>
        </w:tc>
        <w:tc>
          <w:tcPr>
            <w:tcW w:w="4280" w:type="dxa"/>
            <w:vAlign w:val="bottom"/>
          </w:tcPr>
          <w:p>
            <w:pPr>
              <w:jc w:val="right"/>
              <w:spacing w:after="0"/>
              <w:rPr>
                <w:sz w:val="20"/>
                <w:szCs w:val="20"/>
                <w:color w:val="auto"/>
              </w:rPr>
            </w:pPr>
            <w:r>
              <w:rPr>
                <w:rFonts w:ascii="Arial" w:cs="Arial" w:eastAsia="Arial" w:hAnsi="Arial"/>
                <w:sz w:val="15"/>
                <w:szCs w:val="15"/>
                <w:b w:val="1"/>
                <w:bCs w:val="1"/>
                <w:color w:val="auto"/>
              </w:rPr>
              <w:t>142,655</w:t>
            </w:r>
          </w:p>
        </w:tc>
      </w:tr>
      <w:tr>
        <w:trPr>
          <w:trHeight w:val="25"/>
        </w:trPr>
        <w:tc>
          <w:tcPr>
            <w:tcW w:w="6940" w:type="dxa"/>
            <w:vAlign w:val="bottom"/>
            <w:tcBorders>
              <w:bottom w:val="single" w:sz="8" w:color="001544"/>
            </w:tcBorders>
          </w:tcPr>
          <w:p>
            <w:pPr>
              <w:spacing w:after="0"/>
              <w:rPr>
                <w:sz w:val="2"/>
                <w:szCs w:val="2"/>
                <w:color w:val="auto"/>
              </w:rPr>
            </w:pPr>
          </w:p>
        </w:tc>
        <w:tc>
          <w:tcPr>
            <w:tcW w:w="4280" w:type="dxa"/>
            <w:vAlign w:val="bottom"/>
            <w:tcBorders>
              <w:bottom w:val="single" w:sz="8" w:color="001544"/>
            </w:tcBorders>
          </w:tcPr>
          <w:p>
            <w:pPr>
              <w:spacing w:after="0"/>
              <w:rPr>
                <w:sz w:val="2"/>
                <w:szCs w:val="2"/>
                <w:color w:val="auto"/>
              </w:rPr>
            </w:pPr>
          </w:p>
        </w:tc>
      </w:tr>
      <w:tr>
        <w:trPr>
          <w:trHeight w:val="203"/>
        </w:trPr>
        <w:tc>
          <w:tcPr>
            <w:tcW w:w="6940" w:type="dxa"/>
            <w:vAlign w:val="bottom"/>
          </w:tcPr>
          <w:p>
            <w:pPr>
              <w:ind w:left="20"/>
              <w:spacing w:after="0"/>
              <w:rPr>
                <w:sz w:val="20"/>
                <w:szCs w:val="20"/>
                <w:color w:val="auto"/>
              </w:rPr>
            </w:pPr>
            <w:r>
              <w:rPr>
                <w:rFonts w:ascii="Arial" w:cs="Arial" w:eastAsia="Arial" w:hAnsi="Arial"/>
                <w:sz w:val="15"/>
                <w:szCs w:val="15"/>
                <w:color w:val="auto"/>
              </w:rPr>
              <w:t>Sale of future royalties liability, current</w:t>
            </w:r>
          </w:p>
        </w:tc>
        <w:tc>
          <w:tcPr>
            <w:tcW w:w="4280" w:type="dxa"/>
            <w:vAlign w:val="bottom"/>
          </w:tcPr>
          <w:p>
            <w:pPr>
              <w:jc w:val="right"/>
              <w:spacing w:after="0"/>
              <w:rPr>
                <w:sz w:val="20"/>
                <w:szCs w:val="20"/>
                <w:color w:val="auto"/>
              </w:rPr>
            </w:pPr>
            <w:r>
              <w:rPr>
                <w:rFonts w:ascii="Arial" w:cs="Arial" w:eastAsia="Arial" w:hAnsi="Arial"/>
                <w:sz w:val="15"/>
                <w:szCs w:val="15"/>
                <w:color w:val="183964"/>
              </w:rPr>
              <w:t>13,600</w:t>
            </w:r>
          </w:p>
        </w:tc>
      </w:tr>
      <w:tr>
        <w:trPr>
          <w:trHeight w:val="243"/>
        </w:trPr>
        <w:tc>
          <w:tcPr>
            <w:tcW w:w="6940" w:type="dxa"/>
            <w:vAlign w:val="bottom"/>
          </w:tcPr>
          <w:p>
            <w:pPr>
              <w:ind w:left="20"/>
              <w:spacing w:after="0"/>
              <w:rPr>
                <w:sz w:val="20"/>
                <w:szCs w:val="20"/>
                <w:color w:val="auto"/>
              </w:rPr>
            </w:pPr>
            <w:r>
              <w:rPr>
                <w:rFonts w:ascii="Arial" w:cs="Arial" w:eastAsia="Arial" w:hAnsi="Arial"/>
                <w:sz w:val="15"/>
                <w:szCs w:val="15"/>
                <w:color w:val="auto"/>
              </w:rPr>
              <w:t>Sale of future royalties liability, non-current</w:t>
            </w:r>
          </w:p>
        </w:tc>
        <w:tc>
          <w:tcPr>
            <w:tcW w:w="4280" w:type="dxa"/>
            <w:vAlign w:val="bottom"/>
          </w:tcPr>
          <w:p>
            <w:pPr>
              <w:jc w:val="right"/>
              <w:spacing w:after="0"/>
              <w:rPr>
                <w:sz w:val="20"/>
                <w:szCs w:val="20"/>
                <w:color w:val="auto"/>
              </w:rPr>
            </w:pPr>
            <w:r>
              <w:rPr>
                <w:rFonts w:ascii="Arial" w:cs="Arial" w:eastAsia="Arial" w:hAnsi="Arial"/>
                <w:sz w:val="15"/>
                <w:szCs w:val="15"/>
                <w:color w:val="183964"/>
              </w:rPr>
              <w:t>129,055</w:t>
            </w:r>
          </w:p>
        </w:tc>
      </w:tr>
      <w:tr>
        <w:trPr>
          <w:trHeight w:val="33"/>
        </w:trPr>
        <w:tc>
          <w:tcPr>
            <w:tcW w:w="6940" w:type="dxa"/>
            <w:vAlign w:val="bottom"/>
            <w:tcBorders>
              <w:bottom w:val="single" w:sz="8" w:color="001544"/>
            </w:tcBorders>
          </w:tcPr>
          <w:p>
            <w:pPr>
              <w:spacing w:after="0"/>
              <w:rPr>
                <w:sz w:val="2"/>
                <w:szCs w:val="2"/>
                <w:color w:val="auto"/>
              </w:rPr>
            </w:pPr>
          </w:p>
        </w:tc>
        <w:tc>
          <w:tcPr>
            <w:tcW w:w="4280" w:type="dxa"/>
            <w:vAlign w:val="bottom"/>
            <w:tcBorders>
              <w:bottom w:val="single" w:sz="8" w:color="001544"/>
            </w:tcBorders>
          </w:tcPr>
          <w:p>
            <w:pPr>
              <w:spacing w:after="0"/>
              <w:rPr>
                <w:sz w:val="2"/>
                <w:szCs w:val="2"/>
                <w:color w:val="auto"/>
              </w:rPr>
            </w:pPr>
          </w:p>
        </w:tc>
      </w:tr>
    </w:tbl>
    <w:p>
      <w:pPr>
        <w:sectPr>
          <w:pgSz w:w="11900" w:h="16838" w:orient="portrait"/>
          <w:cols w:equalWidth="0" w:num="1">
            <w:col w:w="11220"/>
          </w:cols>
          <w:pgMar w:left="320" w:top="1241" w:right="359" w:bottom="1440" w:gutter="0" w:footer="0" w:header="0"/>
        </w:sectPr>
      </w:pPr>
    </w:p>
    <w:bookmarkStart w:id="38" w:name="page39"/>
    <w:bookmarkEnd w:id="38"/>
    <w:p>
      <w:pPr>
        <w:ind w:left="440" w:hanging="432"/>
        <w:spacing w:after="0"/>
        <w:tabs>
          <w:tab w:leader="none" w:pos="440" w:val="left"/>
        </w:tabs>
        <w:numPr>
          <w:ilvl w:val="0"/>
          <w:numId w:val="28"/>
        </w:numPr>
        <w:rPr>
          <w:rFonts w:ascii="Arial" w:cs="Arial" w:eastAsia="Arial" w:hAnsi="Arial"/>
          <w:sz w:val="15"/>
          <w:szCs w:val="15"/>
          <w:b w:val="1"/>
          <w:bCs w:val="1"/>
          <w:color w:val="183964"/>
        </w:rPr>
      </w:pPr>
      <w:r>
        <w:rPr>
          <w:rFonts w:ascii="Arial" w:cs="Arial" w:eastAsia="Arial" w:hAnsi="Arial"/>
          <w:sz w:val="15"/>
          <w:szCs w:val="15"/>
          <w:b w:val="1"/>
          <w:bCs w:val="1"/>
          <w:color w:val="183964"/>
        </w:rPr>
        <w:t>Financial Instruments</w:t>
      </w:r>
    </w:p>
    <w:p>
      <w:pPr>
        <w:spacing w:after="0" w:line="100" w:lineRule="exact"/>
        <w:rPr>
          <w:sz w:val="20"/>
          <w:szCs w:val="20"/>
          <w:color w:val="auto"/>
        </w:rPr>
      </w:pPr>
    </w:p>
    <w:p>
      <w:pPr>
        <w:ind w:right="600"/>
        <w:spacing w:after="0" w:line="283" w:lineRule="auto"/>
        <w:rPr>
          <w:sz w:val="20"/>
          <w:szCs w:val="20"/>
          <w:color w:val="auto"/>
        </w:rPr>
      </w:pPr>
      <w:r>
        <w:rPr>
          <w:rFonts w:ascii="Arial" w:cs="Arial" w:eastAsia="Arial" w:hAnsi="Arial"/>
          <w:sz w:val="15"/>
          <w:szCs w:val="15"/>
          <w:color w:val="auto"/>
        </w:rPr>
        <w:t>The Group’s financial instruments consist of financial assets in the form of notes, convertible notes and investment in shares, and financial liabilities, including preferred shares. Many of these financial instruments are presented at fair value, with changes in fair value recorded through profit and loss.</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183964"/>
        </w:rPr>
        <w:t>Fair Value Process</w:t>
      </w:r>
    </w:p>
    <w:p>
      <w:pPr>
        <w:spacing w:after="0" w:line="17"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For financial instruments measured at fair value under IFRS 9, the change in the fair value is reflected through profit and loss. Using the guidance in IFRS 13, the total business enterprise value and allocable equity of each entity being valued can be determined using a market backsolve approach through a recent arm’s length financing round (or a future probable arm's length transaction), market/asset probability-weighted expected return method ("PWERM") approach, discounted cash flow approach, or hybrid approaches. The approaches, in order of strongest fair value evidence, are detailed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Pr>
          <w:p>
            <w:pPr>
              <w:ind w:left="20"/>
              <w:spacing w:after="0"/>
              <w:rPr>
                <w:sz w:val="20"/>
                <w:szCs w:val="20"/>
                <w:color w:val="auto"/>
              </w:rPr>
            </w:pPr>
            <w:r>
              <w:rPr>
                <w:rFonts w:ascii="Arial" w:cs="Arial" w:eastAsia="Arial" w:hAnsi="Arial"/>
                <w:sz w:val="13"/>
                <w:szCs w:val="13"/>
                <w:b w:val="1"/>
                <w:bCs w:val="1"/>
                <w:color w:val="auto"/>
              </w:rPr>
              <w:t>Valuation Method</w:t>
            </w:r>
          </w:p>
        </w:tc>
        <w:tc>
          <w:tcPr>
            <w:tcW w:w="9140" w:type="dxa"/>
            <w:vAlign w:val="bottom"/>
          </w:tcPr>
          <w:p>
            <w:pPr>
              <w:ind w:left="420"/>
              <w:spacing w:after="0"/>
              <w:rPr>
                <w:sz w:val="20"/>
                <w:szCs w:val="20"/>
                <w:color w:val="auto"/>
              </w:rPr>
            </w:pPr>
            <w:r>
              <w:rPr>
                <w:rFonts w:ascii="Arial" w:cs="Arial" w:eastAsia="Arial" w:hAnsi="Arial"/>
                <w:sz w:val="13"/>
                <w:szCs w:val="13"/>
                <w:b w:val="1"/>
                <w:bCs w:val="1"/>
                <w:color w:val="auto"/>
              </w:rPr>
              <w:t>Description</w:t>
            </w:r>
          </w:p>
        </w:tc>
      </w:tr>
      <w:tr>
        <w:trPr>
          <w:trHeight w:val="22"/>
        </w:trPr>
        <w:tc>
          <w:tcPr>
            <w:tcW w:w="2080" w:type="dxa"/>
            <w:vAlign w:val="bottom"/>
            <w:tcBorders>
              <w:bottom w:val="single" w:sz="8" w:color="183964"/>
            </w:tcBorders>
          </w:tcPr>
          <w:p>
            <w:pPr>
              <w:spacing w:after="0" w:line="20" w:lineRule="exact"/>
              <w:rPr>
                <w:sz w:val="1"/>
                <w:szCs w:val="1"/>
                <w:color w:val="auto"/>
              </w:rPr>
            </w:pPr>
          </w:p>
        </w:tc>
        <w:tc>
          <w:tcPr>
            <w:tcW w:w="9140" w:type="dxa"/>
            <w:vAlign w:val="bottom"/>
            <w:tcBorders>
              <w:bottom w:val="single" w:sz="8" w:color="183964"/>
            </w:tcBorders>
          </w:tcPr>
          <w:p>
            <w:pPr>
              <w:spacing w:after="0" w:line="20" w:lineRule="exact"/>
              <w:rPr>
                <w:sz w:val="1"/>
                <w:szCs w:val="1"/>
                <w:color w:val="auto"/>
              </w:rPr>
            </w:pPr>
          </w:p>
        </w:tc>
      </w:tr>
      <w:tr>
        <w:trPr>
          <w:trHeight w:val="192"/>
        </w:trPr>
        <w:tc>
          <w:tcPr>
            <w:tcW w:w="2080" w:type="dxa"/>
            <w:vAlign w:val="bottom"/>
          </w:tcPr>
          <w:p>
            <w:pPr>
              <w:ind w:left="20"/>
              <w:spacing w:after="0"/>
              <w:rPr>
                <w:sz w:val="20"/>
                <w:szCs w:val="20"/>
                <w:color w:val="auto"/>
              </w:rPr>
            </w:pPr>
            <w:r>
              <w:rPr>
                <w:rFonts w:ascii="Arial" w:cs="Arial" w:eastAsia="Arial" w:hAnsi="Arial"/>
                <w:sz w:val="15"/>
                <w:szCs w:val="15"/>
                <w:color w:val="auto"/>
              </w:rPr>
              <w:t>Market – Backsolve</w:t>
            </w:r>
          </w:p>
        </w:tc>
        <w:tc>
          <w:tcPr>
            <w:tcW w:w="9140" w:type="dxa"/>
            <w:vAlign w:val="bottom"/>
          </w:tcPr>
          <w:p>
            <w:pPr>
              <w:ind w:left="420"/>
              <w:spacing w:after="0"/>
              <w:rPr>
                <w:sz w:val="20"/>
                <w:szCs w:val="20"/>
                <w:color w:val="auto"/>
              </w:rPr>
            </w:pPr>
            <w:r>
              <w:rPr>
                <w:rFonts w:ascii="Arial" w:cs="Arial" w:eastAsia="Arial" w:hAnsi="Arial"/>
                <w:sz w:val="15"/>
                <w:szCs w:val="15"/>
                <w:color w:val="auto"/>
              </w:rPr>
              <w:t>The market backsolve approach benchmarks the original issue price (OIP) of the company’s latest funding transaction as current</w:t>
            </w:r>
          </w:p>
        </w:tc>
      </w:tr>
      <w:tr>
        <w:trPr>
          <w:trHeight w:val="213"/>
        </w:trPr>
        <w:tc>
          <w:tcPr>
            <w:tcW w:w="2080" w:type="dxa"/>
            <w:vAlign w:val="bottom"/>
            <w:tcBorders>
              <w:bottom w:val="single" w:sz="8" w:color="183964"/>
            </w:tcBorders>
          </w:tcPr>
          <w:p>
            <w:pPr>
              <w:spacing w:after="0"/>
              <w:rPr>
                <w:sz w:val="18"/>
                <w:szCs w:val="18"/>
                <w:color w:val="auto"/>
              </w:rPr>
            </w:pPr>
          </w:p>
        </w:tc>
        <w:tc>
          <w:tcPr>
            <w:tcW w:w="9140" w:type="dxa"/>
            <w:vAlign w:val="bottom"/>
            <w:tcBorders>
              <w:bottom w:val="single" w:sz="8" w:color="183964"/>
            </w:tcBorders>
          </w:tcPr>
          <w:p>
            <w:pPr>
              <w:ind w:left="420"/>
              <w:spacing w:after="0"/>
              <w:rPr>
                <w:sz w:val="20"/>
                <w:szCs w:val="20"/>
                <w:color w:val="auto"/>
              </w:rPr>
            </w:pPr>
            <w:r>
              <w:rPr>
                <w:rFonts w:ascii="Arial" w:cs="Arial" w:eastAsia="Arial" w:hAnsi="Arial"/>
                <w:sz w:val="15"/>
                <w:szCs w:val="15"/>
                <w:color w:val="auto"/>
              </w:rPr>
              <w:t>value.</w:t>
            </w:r>
          </w:p>
        </w:tc>
      </w:tr>
      <w:tr>
        <w:trPr>
          <w:trHeight w:val="199"/>
        </w:trPr>
        <w:tc>
          <w:tcPr>
            <w:tcW w:w="2080" w:type="dxa"/>
            <w:vAlign w:val="bottom"/>
          </w:tcPr>
          <w:p>
            <w:pPr>
              <w:ind w:left="20"/>
              <w:spacing w:after="0"/>
              <w:rPr>
                <w:sz w:val="20"/>
                <w:szCs w:val="20"/>
                <w:color w:val="auto"/>
              </w:rPr>
            </w:pPr>
            <w:r>
              <w:rPr>
                <w:rFonts w:ascii="Arial" w:cs="Arial" w:eastAsia="Arial" w:hAnsi="Arial"/>
                <w:sz w:val="15"/>
                <w:szCs w:val="15"/>
                <w:color w:val="auto"/>
              </w:rPr>
              <w:t>Market/Asset – PWERM</w:t>
            </w:r>
          </w:p>
        </w:tc>
        <w:tc>
          <w:tcPr>
            <w:tcW w:w="9140" w:type="dxa"/>
            <w:vAlign w:val="bottom"/>
          </w:tcPr>
          <w:p>
            <w:pPr>
              <w:ind w:left="420"/>
              <w:spacing w:after="0"/>
              <w:rPr>
                <w:sz w:val="20"/>
                <w:szCs w:val="20"/>
                <w:color w:val="auto"/>
              </w:rPr>
            </w:pPr>
            <w:r>
              <w:rPr>
                <w:rFonts w:ascii="Arial" w:cs="Arial" w:eastAsia="Arial" w:hAnsi="Arial"/>
                <w:sz w:val="15"/>
                <w:szCs w:val="15"/>
                <w:color w:val="auto"/>
              </w:rPr>
              <w:t>Under a PWERM, the company value is based upon the probability-weighted present value of expected future investment</w:t>
            </w:r>
          </w:p>
        </w:tc>
      </w:tr>
      <w:tr>
        <w:trPr>
          <w:trHeight w:val="176"/>
        </w:trPr>
        <w:tc>
          <w:tcPr>
            <w:tcW w:w="2080" w:type="dxa"/>
            <w:vAlign w:val="bottom"/>
          </w:tcPr>
          <w:p>
            <w:pPr>
              <w:spacing w:after="0"/>
              <w:rPr>
                <w:sz w:val="15"/>
                <w:szCs w:val="15"/>
                <w:color w:val="auto"/>
              </w:rPr>
            </w:pPr>
          </w:p>
        </w:tc>
        <w:tc>
          <w:tcPr>
            <w:tcW w:w="9140" w:type="dxa"/>
            <w:vAlign w:val="bottom"/>
          </w:tcPr>
          <w:p>
            <w:pPr>
              <w:ind w:left="420"/>
              <w:spacing w:after="0"/>
              <w:rPr>
                <w:sz w:val="20"/>
                <w:szCs w:val="20"/>
                <w:color w:val="auto"/>
              </w:rPr>
            </w:pPr>
            <w:r>
              <w:rPr>
                <w:rFonts w:ascii="Arial" w:cs="Arial" w:eastAsia="Arial" w:hAnsi="Arial"/>
                <w:sz w:val="15"/>
                <w:szCs w:val="15"/>
                <w:color w:val="auto"/>
              </w:rPr>
              <w:t>returns, considering each of the possible future outcomes available to the enterprise. Possible future outcomes can include IPO</w:t>
            </w:r>
          </w:p>
        </w:tc>
      </w:tr>
      <w:tr>
        <w:trPr>
          <w:trHeight w:val="189"/>
        </w:trPr>
        <w:tc>
          <w:tcPr>
            <w:tcW w:w="2080" w:type="dxa"/>
            <w:vAlign w:val="bottom"/>
          </w:tcPr>
          <w:p>
            <w:pPr>
              <w:spacing w:after="0"/>
              <w:rPr>
                <w:sz w:val="16"/>
                <w:szCs w:val="16"/>
                <w:color w:val="auto"/>
              </w:rPr>
            </w:pPr>
          </w:p>
        </w:tc>
        <w:tc>
          <w:tcPr>
            <w:tcW w:w="9140" w:type="dxa"/>
            <w:vAlign w:val="bottom"/>
          </w:tcPr>
          <w:p>
            <w:pPr>
              <w:ind w:left="420"/>
              <w:spacing w:after="0"/>
              <w:rPr>
                <w:sz w:val="20"/>
                <w:szCs w:val="20"/>
                <w:color w:val="auto"/>
              </w:rPr>
            </w:pPr>
            <w:r>
              <w:rPr>
                <w:rFonts w:ascii="Arial" w:cs="Arial" w:eastAsia="Arial" w:hAnsi="Arial"/>
                <w:sz w:val="15"/>
                <w:szCs w:val="15"/>
                <w:color w:val="auto"/>
              </w:rPr>
              <w:t>scenarios, potential SPAC transactions, merger and acquisition transactions as well as other similar exit transactions of the</w:t>
            </w:r>
          </w:p>
        </w:tc>
      </w:tr>
      <w:tr>
        <w:trPr>
          <w:trHeight w:val="213"/>
        </w:trPr>
        <w:tc>
          <w:tcPr>
            <w:tcW w:w="2080" w:type="dxa"/>
            <w:vAlign w:val="bottom"/>
            <w:tcBorders>
              <w:bottom w:val="single" w:sz="8" w:color="001544"/>
            </w:tcBorders>
          </w:tcPr>
          <w:p>
            <w:pPr>
              <w:spacing w:after="0"/>
              <w:rPr>
                <w:sz w:val="18"/>
                <w:szCs w:val="18"/>
                <w:color w:val="auto"/>
              </w:rPr>
            </w:pPr>
          </w:p>
        </w:tc>
        <w:tc>
          <w:tcPr>
            <w:tcW w:w="9140" w:type="dxa"/>
            <w:vAlign w:val="bottom"/>
            <w:tcBorders>
              <w:bottom w:val="single" w:sz="8" w:color="001544"/>
            </w:tcBorders>
          </w:tcPr>
          <w:p>
            <w:pPr>
              <w:ind w:left="420"/>
              <w:spacing w:after="0"/>
              <w:rPr>
                <w:sz w:val="20"/>
                <w:szCs w:val="20"/>
                <w:color w:val="auto"/>
              </w:rPr>
            </w:pPr>
            <w:r>
              <w:rPr>
                <w:rFonts w:ascii="Arial" w:cs="Arial" w:eastAsia="Arial" w:hAnsi="Arial"/>
                <w:sz w:val="15"/>
                <w:szCs w:val="15"/>
                <w:color w:val="auto"/>
              </w:rPr>
              <w:t>investee.</w:t>
            </w:r>
          </w:p>
        </w:tc>
      </w:tr>
      <w:tr>
        <w:trPr>
          <w:trHeight w:val="199"/>
        </w:trPr>
        <w:tc>
          <w:tcPr>
            <w:tcW w:w="2080" w:type="dxa"/>
            <w:vAlign w:val="bottom"/>
          </w:tcPr>
          <w:p>
            <w:pPr>
              <w:ind w:left="20"/>
              <w:spacing w:after="0"/>
              <w:rPr>
                <w:sz w:val="20"/>
                <w:szCs w:val="20"/>
                <w:color w:val="auto"/>
              </w:rPr>
            </w:pPr>
            <w:r>
              <w:rPr>
                <w:rFonts w:ascii="Arial" w:cs="Arial" w:eastAsia="Arial" w:hAnsi="Arial"/>
                <w:sz w:val="15"/>
                <w:szCs w:val="15"/>
                <w:color w:val="auto"/>
              </w:rPr>
              <w:t>Income Based – DCF</w:t>
            </w:r>
          </w:p>
        </w:tc>
        <w:tc>
          <w:tcPr>
            <w:tcW w:w="9140" w:type="dxa"/>
            <w:vAlign w:val="bottom"/>
          </w:tcPr>
          <w:p>
            <w:pPr>
              <w:ind w:left="420"/>
              <w:spacing w:after="0"/>
              <w:rPr>
                <w:sz w:val="20"/>
                <w:szCs w:val="20"/>
                <w:color w:val="auto"/>
              </w:rPr>
            </w:pPr>
            <w:r>
              <w:rPr>
                <w:rFonts w:ascii="Arial" w:cs="Arial" w:eastAsia="Arial" w:hAnsi="Arial"/>
                <w:sz w:val="15"/>
                <w:szCs w:val="15"/>
                <w:color w:val="auto"/>
              </w:rPr>
              <w:t>The income approach is used to estimate fair value based on the income streams, such as cash flows or earnings, that an asset</w:t>
            </w:r>
          </w:p>
        </w:tc>
      </w:tr>
      <w:tr>
        <w:trPr>
          <w:trHeight w:val="213"/>
        </w:trPr>
        <w:tc>
          <w:tcPr>
            <w:tcW w:w="2080" w:type="dxa"/>
            <w:vAlign w:val="bottom"/>
            <w:tcBorders>
              <w:bottom w:val="single" w:sz="8" w:color="001544"/>
            </w:tcBorders>
          </w:tcPr>
          <w:p>
            <w:pPr>
              <w:spacing w:after="0"/>
              <w:rPr>
                <w:sz w:val="18"/>
                <w:szCs w:val="18"/>
                <w:color w:val="auto"/>
              </w:rPr>
            </w:pPr>
          </w:p>
        </w:tc>
        <w:tc>
          <w:tcPr>
            <w:tcW w:w="9140" w:type="dxa"/>
            <w:vAlign w:val="bottom"/>
            <w:tcBorders>
              <w:bottom w:val="single" w:sz="8" w:color="001544"/>
            </w:tcBorders>
          </w:tcPr>
          <w:p>
            <w:pPr>
              <w:ind w:left="420"/>
              <w:spacing w:after="0"/>
              <w:rPr>
                <w:sz w:val="20"/>
                <w:szCs w:val="20"/>
                <w:color w:val="auto"/>
              </w:rPr>
            </w:pPr>
            <w:r>
              <w:rPr>
                <w:rFonts w:ascii="Arial" w:cs="Arial" w:eastAsia="Arial" w:hAnsi="Arial"/>
                <w:sz w:val="15"/>
                <w:szCs w:val="15"/>
                <w:color w:val="auto"/>
              </w:rPr>
              <w:t>or business can be expected to generate.</w:t>
            </w:r>
          </w:p>
        </w:tc>
      </w:tr>
    </w:tbl>
    <w:p>
      <w:pPr>
        <w:spacing w:after="0" w:line="158" w:lineRule="exact"/>
        <w:rPr>
          <w:sz w:val="20"/>
          <w:szCs w:val="20"/>
          <w:color w:val="auto"/>
        </w:rPr>
      </w:pPr>
    </w:p>
    <w:p>
      <w:pPr>
        <w:jc w:val="both"/>
        <w:ind w:right="540"/>
        <w:spacing w:after="0" w:line="273" w:lineRule="auto"/>
        <w:rPr>
          <w:sz w:val="20"/>
          <w:szCs w:val="20"/>
          <w:color w:val="auto"/>
        </w:rPr>
      </w:pPr>
      <w:r>
        <w:rPr>
          <w:rFonts w:ascii="Arial" w:cs="Arial" w:eastAsia="Arial" w:hAnsi="Arial"/>
          <w:sz w:val="15"/>
          <w:szCs w:val="15"/>
          <w:color w:val="auto"/>
        </w:rPr>
        <w:t>At each measurement date, investments held at fair value (that are not publicly traded) as well as the fair value of subsidiary preferred share liability, including embedded conversion rights that are not bifurcated, were determined using the following allocation methods: option pricing model (“OPM”), PWERM, or hybrid allocation framework. The methods are detailed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0" w:type="dxa"/>
            <w:vAlign w:val="bottom"/>
          </w:tcPr>
          <w:p>
            <w:pPr>
              <w:ind w:left="20"/>
              <w:spacing w:after="0"/>
              <w:rPr>
                <w:sz w:val="20"/>
                <w:szCs w:val="20"/>
                <w:color w:val="auto"/>
              </w:rPr>
            </w:pPr>
            <w:r>
              <w:rPr>
                <w:rFonts w:ascii="Arial" w:cs="Arial" w:eastAsia="Arial" w:hAnsi="Arial"/>
                <w:sz w:val="13"/>
                <w:szCs w:val="13"/>
                <w:b w:val="1"/>
                <w:bCs w:val="1"/>
                <w:color w:val="auto"/>
              </w:rPr>
              <w:t>Allocation Method</w:t>
            </w:r>
          </w:p>
        </w:tc>
        <w:tc>
          <w:tcPr>
            <w:tcW w:w="9420" w:type="dxa"/>
            <w:vAlign w:val="bottom"/>
          </w:tcPr>
          <w:p>
            <w:pPr>
              <w:ind w:left="700"/>
              <w:spacing w:after="0"/>
              <w:rPr>
                <w:sz w:val="20"/>
                <w:szCs w:val="20"/>
                <w:color w:val="auto"/>
              </w:rPr>
            </w:pPr>
            <w:r>
              <w:rPr>
                <w:rFonts w:ascii="Arial" w:cs="Arial" w:eastAsia="Arial" w:hAnsi="Arial"/>
                <w:sz w:val="13"/>
                <w:szCs w:val="13"/>
                <w:b w:val="1"/>
                <w:bCs w:val="1"/>
                <w:color w:val="auto"/>
              </w:rPr>
              <w:t>Description</w:t>
            </w:r>
          </w:p>
        </w:tc>
      </w:tr>
      <w:tr>
        <w:trPr>
          <w:trHeight w:val="22"/>
        </w:trPr>
        <w:tc>
          <w:tcPr>
            <w:tcW w:w="1800" w:type="dxa"/>
            <w:vAlign w:val="bottom"/>
            <w:tcBorders>
              <w:bottom w:val="single" w:sz="8" w:color="183964"/>
            </w:tcBorders>
          </w:tcPr>
          <w:p>
            <w:pPr>
              <w:spacing w:after="0" w:line="20" w:lineRule="exact"/>
              <w:rPr>
                <w:sz w:val="1"/>
                <w:szCs w:val="1"/>
                <w:color w:val="auto"/>
              </w:rPr>
            </w:pPr>
          </w:p>
        </w:tc>
        <w:tc>
          <w:tcPr>
            <w:tcW w:w="9420" w:type="dxa"/>
            <w:vAlign w:val="bottom"/>
            <w:tcBorders>
              <w:bottom w:val="single" w:sz="8" w:color="183964"/>
            </w:tcBorders>
          </w:tcPr>
          <w:p>
            <w:pPr>
              <w:spacing w:after="0" w:line="20" w:lineRule="exact"/>
              <w:rPr>
                <w:sz w:val="1"/>
                <w:szCs w:val="1"/>
                <w:color w:val="auto"/>
              </w:rPr>
            </w:pPr>
          </w:p>
        </w:tc>
      </w:tr>
      <w:tr>
        <w:trPr>
          <w:trHeight w:val="192"/>
        </w:trPr>
        <w:tc>
          <w:tcPr>
            <w:tcW w:w="1800" w:type="dxa"/>
            <w:vAlign w:val="bottom"/>
          </w:tcPr>
          <w:p>
            <w:pPr>
              <w:ind w:left="20"/>
              <w:spacing w:after="0"/>
              <w:rPr>
                <w:sz w:val="20"/>
                <w:szCs w:val="20"/>
                <w:color w:val="auto"/>
              </w:rPr>
            </w:pPr>
            <w:r>
              <w:rPr>
                <w:rFonts w:ascii="Arial" w:cs="Arial" w:eastAsia="Arial" w:hAnsi="Arial"/>
                <w:sz w:val="15"/>
                <w:szCs w:val="15"/>
                <w:color w:val="auto"/>
              </w:rPr>
              <w:t>OPM</w:t>
            </w:r>
          </w:p>
        </w:tc>
        <w:tc>
          <w:tcPr>
            <w:tcW w:w="9420" w:type="dxa"/>
            <w:vAlign w:val="bottom"/>
          </w:tcPr>
          <w:p>
            <w:pPr>
              <w:ind w:left="700"/>
              <w:spacing w:after="0"/>
              <w:rPr>
                <w:sz w:val="20"/>
                <w:szCs w:val="20"/>
                <w:color w:val="auto"/>
              </w:rPr>
            </w:pPr>
            <w:r>
              <w:rPr>
                <w:rFonts w:ascii="Arial" w:cs="Arial" w:eastAsia="Arial" w:hAnsi="Arial"/>
                <w:sz w:val="15"/>
                <w:szCs w:val="15"/>
                <w:color w:val="auto"/>
              </w:rPr>
              <w:t>The OPM model treats preferred stock as call options on the enterprise’s equity value, with exercise prices based on the</w:t>
            </w:r>
          </w:p>
        </w:tc>
      </w:tr>
      <w:tr>
        <w:trPr>
          <w:trHeight w:val="213"/>
        </w:trPr>
        <w:tc>
          <w:tcPr>
            <w:tcW w:w="1800" w:type="dxa"/>
            <w:vAlign w:val="bottom"/>
            <w:tcBorders>
              <w:bottom w:val="single" w:sz="8" w:color="183964"/>
            </w:tcBorders>
          </w:tcPr>
          <w:p>
            <w:pPr>
              <w:spacing w:after="0"/>
              <w:rPr>
                <w:sz w:val="18"/>
                <w:szCs w:val="18"/>
                <w:color w:val="auto"/>
              </w:rPr>
            </w:pPr>
          </w:p>
        </w:tc>
        <w:tc>
          <w:tcPr>
            <w:tcW w:w="9420" w:type="dxa"/>
            <w:vAlign w:val="bottom"/>
            <w:tcBorders>
              <w:bottom w:val="single" w:sz="8" w:color="183964"/>
            </w:tcBorders>
          </w:tcPr>
          <w:p>
            <w:pPr>
              <w:ind w:left="700"/>
              <w:spacing w:after="0"/>
              <w:rPr>
                <w:sz w:val="20"/>
                <w:szCs w:val="20"/>
                <w:color w:val="auto"/>
              </w:rPr>
            </w:pPr>
            <w:r>
              <w:rPr>
                <w:rFonts w:ascii="Arial" w:cs="Arial" w:eastAsia="Arial" w:hAnsi="Arial"/>
                <w:sz w:val="15"/>
                <w:szCs w:val="15"/>
                <w:color w:val="auto"/>
              </w:rPr>
              <w:t>liquidation preferences of the preferred stock.</w:t>
            </w:r>
          </w:p>
        </w:tc>
      </w:tr>
      <w:tr>
        <w:trPr>
          <w:trHeight w:val="199"/>
        </w:trPr>
        <w:tc>
          <w:tcPr>
            <w:tcW w:w="1800" w:type="dxa"/>
            <w:vAlign w:val="bottom"/>
          </w:tcPr>
          <w:p>
            <w:pPr>
              <w:ind w:left="20"/>
              <w:spacing w:after="0"/>
              <w:rPr>
                <w:sz w:val="20"/>
                <w:szCs w:val="20"/>
                <w:color w:val="auto"/>
              </w:rPr>
            </w:pPr>
            <w:r>
              <w:rPr>
                <w:rFonts w:ascii="Arial" w:cs="Arial" w:eastAsia="Arial" w:hAnsi="Arial"/>
                <w:sz w:val="15"/>
                <w:szCs w:val="15"/>
                <w:color w:val="auto"/>
              </w:rPr>
              <w:t>PWERM</w:t>
            </w:r>
          </w:p>
        </w:tc>
        <w:tc>
          <w:tcPr>
            <w:tcW w:w="9420" w:type="dxa"/>
            <w:vAlign w:val="bottom"/>
          </w:tcPr>
          <w:p>
            <w:pPr>
              <w:ind w:left="700"/>
              <w:spacing w:after="0"/>
              <w:rPr>
                <w:sz w:val="20"/>
                <w:szCs w:val="20"/>
                <w:color w:val="auto"/>
              </w:rPr>
            </w:pPr>
            <w:r>
              <w:rPr>
                <w:rFonts w:ascii="Arial" w:cs="Arial" w:eastAsia="Arial" w:hAnsi="Arial"/>
                <w:sz w:val="15"/>
                <w:szCs w:val="15"/>
                <w:color w:val="auto"/>
              </w:rPr>
              <w:t>Under a PWERM, share value is based upon the probability-weighted present value of expected future investment returns,</w:t>
            </w:r>
          </w:p>
        </w:tc>
      </w:tr>
      <w:tr>
        <w:trPr>
          <w:trHeight w:val="213"/>
        </w:trPr>
        <w:tc>
          <w:tcPr>
            <w:tcW w:w="1800" w:type="dxa"/>
            <w:vAlign w:val="bottom"/>
            <w:tcBorders>
              <w:bottom w:val="single" w:sz="8" w:color="183964"/>
            </w:tcBorders>
          </w:tcPr>
          <w:p>
            <w:pPr>
              <w:spacing w:after="0"/>
              <w:rPr>
                <w:sz w:val="18"/>
                <w:szCs w:val="18"/>
                <w:color w:val="auto"/>
              </w:rPr>
            </w:pPr>
          </w:p>
        </w:tc>
        <w:tc>
          <w:tcPr>
            <w:tcW w:w="9420" w:type="dxa"/>
            <w:vAlign w:val="bottom"/>
            <w:tcBorders>
              <w:bottom w:val="single" w:sz="8" w:color="183964"/>
            </w:tcBorders>
          </w:tcPr>
          <w:p>
            <w:pPr>
              <w:ind w:left="700"/>
              <w:spacing w:after="0"/>
              <w:rPr>
                <w:sz w:val="20"/>
                <w:szCs w:val="20"/>
                <w:color w:val="auto"/>
              </w:rPr>
            </w:pPr>
            <w:r>
              <w:rPr>
                <w:rFonts w:ascii="Arial" w:cs="Arial" w:eastAsia="Arial" w:hAnsi="Arial"/>
                <w:sz w:val="15"/>
                <w:szCs w:val="15"/>
                <w:color w:val="auto"/>
              </w:rPr>
              <w:t>considering each of the possible future outcomes available to the enterprise, as well as the rights of each share class.</w:t>
            </w:r>
          </w:p>
        </w:tc>
      </w:tr>
      <w:tr>
        <w:trPr>
          <w:trHeight w:val="199"/>
        </w:trPr>
        <w:tc>
          <w:tcPr>
            <w:tcW w:w="1800" w:type="dxa"/>
            <w:vAlign w:val="bottom"/>
          </w:tcPr>
          <w:p>
            <w:pPr>
              <w:ind w:left="20"/>
              <w:spacing w:after="0"/>
              <w:rPr>
                <w:sz w:val="20"/>
                <w:szCs w:val="20"/>
                <w:color w:val="auto"/>
              </w:rPr>
            </w:pPr>
            <w:r>
              <w:rPr>
                <w:rFonts w:ascii="Arial" w:cs="Arial" w:eastAsia="Arial" w:hAnsi="Arial"/>
                <w:sz w:val="15"/>
                <w:szCs w:val="15"/>
                <w:color w:val="auto"/>
              </w:rPr>
              <w:t>Hybrid</w:t>
            </w:r>
          </w:p>
        </w:tc>
        <w:tc>
          <w:tcPr>
            <w:tcW w:w="9420" w:type="dxa"/>
            <w:vAlign w:val="bottom"/>
          </w:tcPr>
          <w:p>
            <w:pPr>
              <w:ind w:left="700"/>
              <w:spacing w:after="0"/>
              <w:rPr>
                <w:sz w:val="20"/>
                <w:szCs w:val="20"/>
                <w:color w:val="auto"/>
              </w:rPr>
            </w:pPr>
            <w:r>
              <w:rPr>
                <w:rFonts w:ascii="Arial" w:cs="Arial" w:eastAsia="Arial" w:hAnsi="Arial"/>
                <w:sz w:val="15"/>
                <w:szCs w:val="15"/>
                <w:color w:val="auto"/>
              </w:rPr>
              <w:t>The hybrid method is a combination of the PWERM and OPM. Under the hybrid method, multiple liquidity scenarios are</w:t>
            </w:r>
          </w:p>
        </w:tc>
      </w:tr>
      <w:tr>
        <w:trPr>
          <w:trHeight w:val="189"/>
        </w:trPr>
        <w:tc>
          <w:tcPr>
            <w:tcW w:w="1800" w:type="dxa"/>
            <w:vAlign w:val="bottom"/>
          </w:tcPr>
          <w:p>
            <w:pPr>
              <w:spacing w:after="0"/>
              <w:rPr>
                <w:sz w:val="16"/>
                <w:szCs w:val="16"/>
                <w:color w:val="auto"/>
              </w:rPr>
            </w:pPr>
          </w:p>
        </w:tc>
        <w:tc>
          <w:tcPr>
            <w:tcW w:w="9420" w:type="dxa"/>
            <w:vAlign w:val="bottom"/>
          </w:tcPr>
          <w:p>
            <w:pPr>
              <w:ind w:left="700"/>
              <w:spacing w:after="0"/>
              <w:rPr>
                <w:sz w:val="20"/>
                <w:szCs w:val="20"/>
                <w:color w:val="auto"/>
              </w:rPr>
            </w:pPr>
            <w:r>
              <w:rPr>
                <w:rFonts w:ascii="Arial" w:cs="Arial" w:eastAsia="Arial" w:hAnsi="Arial"/>
                <w:sz w:val="15"/>
                <w:szCs w:val="15"/>
                <w:color w:val="auto"/>
              </w:rPr>
              <w:t>weighted based on the probability of the scenario's occurrence, similar to the PWERM, while also utilizing the OPM to estimate</w:t>
            </w:r>
          </w:p>
        </w:tc>
      </w:tr>
      <w:tr>
        <w:trPr>
          <w:trHeight w:val="213"/>
        </w:trPr>
        <w:tc>
          <w:tcPr>
            <w:tcW w:w="1800" w:type="dxa"/>
            <w:vAlign w:val="bottom"/>
            <w:tcBorders>
              <w:bottom w:val="single" w:sz="8" w:color="183964"/>
            </w:tcBorders>
          </w:tcPr>
          <w:p>
            <w:pPr>
              <w:spacing w:after="0"/>
              <w:rPr>
                <w:sz w:val="18"/>
                <w:szCs w:val="18"/>
                <w:color w:val="auto"/>
              </w:rPr>
            </w:pPr>
          </w:p>
        </w:tc>
        <w:tc>
          <w:tcPr>
            <w:tcW w:w="9420" w:type="dxa"/>
            <w:vAlign w:val="bottom"/>
            <w:tcBorders>
              <w:bottom w:val="single" w:sz="8" w:color="183964"/>
            </w:tcBorders>
          </w:tcPr>
          <w:p>
            <w:pPr>
              <w:ind w:left="700"/>
              <w:spacing w:after="0"/>
              <w:rPr>
                <w:sz w:val="20"/>
                <w:szCs w:val="20"/>
                <w:color w:val="auto"/>
              </w:rPr>
            </w:pPr>
            <w:r>
              <w:rPr>
                <w:rFonts w:ascii="Arial" w:cs="Arial" w:eastAsia="Arial" w:hAnsi="Arial"/>
                <w:sz w:val="15"/>
                <w:szCs w:val="15"/>
                <w:color w:val="auto"/>
              </w:rPr>
              <w:t>the allocation of value in one or more of the scenarios.</w:t>
            </w:r>
          </w:p>
        </w:tc>
      </w:tr>
    </w:tbl>
    <w:p>
      <w:pPr>
        <w:spacing w:after="0" w:line="77"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Valuation policies and procedures are regularly monitored by the Group. Fair value measurements, including those categorized within Level 3, are prepared and reviewed for reasonableness and compliance with the fair value measurements guidance under IFRS accounting standards. The Group measures fair value using the following fair value hierarchy that reflects the significance of the inputs used in making the measurements: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ind w:left="20"/>
              <w:spacing w:after="0"/>
              <w:rPr>
                <w:sz w:val="20"/>
                <w:szCs w:val="20"/>
                <w:color w:val="auto"/>
              </w:rPr>
            </w:pPr>
            <w:r>
              <w:rPr>
                <w:rFonts w:ascii="Arial" w:cs="Arial" w:eastAsia="Arial" w:hAnsi="Arial"/>
                <w:sz w:val="13"/>
                <w:szCs w:val="13"/>
                <w:b w:val="1"/>
                <w:bCs w:val="1"/>
                <w:color w:val="auto"/>
              </w:rPr>
              <w:t>Fair Value</w:t>
            </w:r>
          </w:p>
        </w:tc>
        <w:tc>
          <w:tcPr>
            <w:tcW w:w="9480" w:type="dxa"/>
            <w:vAlign w:val="bottom"/>
          </w:tcPr>
          <w:p>
            <w:pPr>
              <w:spacing w:after="0"/>
              <w:rPr>
                <w:sz w:val="12"/>
                <w:szCs w:val="12"/>
                <w:color w:val="auto"/>
              </w:rPr>
            </w:pPr>
          </w:p>
        </w:tc>
      </w:tr>
      <w:tr>
        <w:trPr>
          <w:trHeight w:val="172"/>
        </w:trPr>
        <w:tc>
          <w:tcPr>
            <w:tcW w:w="1740" w:type="dxa"/>
            <w:vAlign w:val="bottom"/>
          </w:tcPr>
          <w:p>
            <w:pPr>
              <w:ind w:left="20"/>
              <w:spacing w:after="0"/>
              <w:rPr>
                <w:sz w:val="20"/>
                <w:szCs w:val="20"/>
                <w:color w:val="auto"/>
              </w:rPr>
            </w:pPr>
            <w:r>
              <w:rPr>
                <w:rFonts w:ascii="Arial" w:cs="Arial" w:eastAsia="Arial" w:hAnsi="Arial"/>
                <w:sz w:val="13"/>
                <w:szCs w:val="13"/>
                <w:b w:val="1"/>
                <w:bCs w:val="1"/>
                <w:color w:val="auto"/>
              </w:rPr>
              <w:t>Hierarchy Level</w:t>
            </w:r>
          </w:p>
        </w:tc>
        <w:tc>
          <w:tcPr>
            <w:tcW w:w="9480" w:type="dxa"/>
            <w:vAlign w:val="bottom"/>
          </w:tcPr>
          <w:p>
            <w:pPr>
              <w:ind w:left="760"/>
              <w:spacing w:after="0"/>
              <w:rPr>
                <w:sz w:val="20"/>
                <w:szCs w:val="20"/>
                <w:color w:val="auto"/>
              </w:rPr>
            </w:pPr>
            <w:r>
              <w:rPr>
                <w:rFonts w:ascii="Arial" w:cs="Arial" w:eastAsia="Arial" w:hAnsi="Arial"/>
                <w:sz w:val="13"/>
                <w:szCs w:val="13"/>
                <w:b w:val="1"/>
                <w:bCs w:val="1"/>
                <w:color w:val="auto"/>
              </w:rPr>
              <w:t>Description</w:t>
            </w:r>
          </w:p>
        </w:tc>
      </w:tr>
      <w:tr>
        <w:trPr>
          <w:trHeight w:val="22"/>
        </w:trPr>
        <w:tc>
          <w:tcPr>
            <w:tcW w:w="1740" w:type="dxa"/>
            <w:vAlign w:val="bottom"/>
            <w:tcBorders>
              <w:bottom w:val="single" w:sz="8" w:color="183964"/>
            </w:tcBorders>
          </w:tcPr>
          <w:p>
            <w:pPr>
              <w:spacing w:after="0" w:line="20" w:lineRule="exact"/>
              <w:rPr>
                <w:sz w:val="1"/>
                <w:szCs w:val="1"/>
                <w:color w:val="auto"/>
              </w:rPr>
            </w:pPr>
          </w:p>
        </w:tc>
        <w:tc>
          <w:tcPr>
            <w:tcW w:w="9480" w:type="dxa"/>
            <w:vAlign w:val="bottom"/>
            <w:tcBorders>
              <w:bottom w:val="single" w:sz="8" w:color="183964"/>
            </w:tcBorders>
          </w:tcPr>
          <w:p>
            <w:pPr>
              <w:spacing w:after="0" w:line="20" w:lineRule="exact"/>
              <w:rPr>
                <w:sz w:val="1"/>
                <w:szCs w:val="1"/>
                <w:color w:val="auto"/>
              </w:rPr>
            </w:pPr>
          </w:p>
        </w:tc>
      </w:tr>
      <w:tr>
        <w:trPr>
          <w:trHeight w:val="203"/>
        </w:trPr>
        <w:tc>
          <w:tcPr>
            <w:tcW w:w="1740" w:type="dxa"/>
            <w:vAlign w:val="bottom"/>
          </w:tcPr>
          <w:p>
            <w:pPr>
              <w:ind w:left="20"/>
              <w:spacing w:after="0"/>
              <w:rPr>
                <w:sz w:val="20"/>
                <w:szCs w:val="20"/>
                <w:color w:val="auto"/>
              </w:rPr>
            </w:pPr>
            <w:r>
              <w:rPr>
                <w:rFonts w:ascii="Arial" w:cs="Arial" w:eastAsia="Arial" w:hAnsi="Arial"/>
                <w:sz w:val="15"/>
                <w:szCs w:val="15"/>
                <w:color w:val="auto"/>
              </w:rPr>
              <w:t>Level 1</w:t>
            </w:r>
          </w:p>
        </w:tc>
        <w:tc>
          <w:tcPr>
            <w:tcW w:w="9480" w:type="dxa"/>
            <w:vAlign w:val="bottom"/>
          </w:tcPr>
          <w:p>
            <w:pPr>
              <w:ind w:left="760"/>
              <w:spacing w:after="0"/>
              <w:rPr>
                <w:sz w:val="20"/>
                <w:szCs w:val="20"/>
                <w:color w:val="auto"/>
              </w:rPr>
            </w:pPr>
            <w:r>
              <w:rPr>
                <w:rFonts w:ascii="Arial" w:cs="Arial" w:eastAsia="Arial" w:hAnsi="Arial"/>
                <w:sz w:val="15"/>
                <w:szCs w:val="15"/>
                <w:color w:val="auto"/>
              </w:rPr>
              <w:t>Inputs that are quoted market prices (unadjusted) in active markets for identical instruments.</w:t>
            </w:r>
          </w:p>
        </w:tc>
      </w:tr>
      <w:tr>
        <w:trPr>
          <w:trHeight w:val="33"/>
        </w:trPr>
        <w:tc>
          <w:tcPr>
            <w:tcW w:w="1740" w:type="dxa"/>
            <w:vAlign w:val="bottom"/>
            <w:tcBorders>
              <w:bottom w:val="single" w:sz="8" w:color="183964"/>
            </w:tcBorders>
          </w:tcPr>
          <w:p>
            <w:pPr>
              <w:spacing w:after="0"/>
              <w:rPr>
                <w:sz w:val="2"/>
                <w:szCs w:val="2"/>
                <w:color w:val="auto"/>
              </w:rPr>
            </w:pPr>
          </w:p>
        </w:tc>
        <w:tc>
          <w:tcPr>
            <w:tcW w:w="9480" w:type="dxa"/>
            <w:vAlign w:val="bottom"/>
            <w:tcBorders>
              <w:bottom w:val="single" w:sz="8" w:color="183964"/>
            </w:tcBorders>
          </w:tcPr>
          <w:p>
            <w:pPr>
              <w:spacing w:after="0"/>
              <w:rPr>
                <w:sz w:val="2"/>
                <w:szCs w:val="2"/>
                <w:color w:val="auto"/>
              </w:rPr>
            </w:pPr>
          </w:p>
        </w:tc>
      </w:tr>
      <w:tr>
        <w:trPr>
          <w:trHeight w:val="179"/>
        </w:trPr>
        <w:tc>
          <w:tcPr>
            <w:tcW w:w="1740" w:type="dxa"/>
            <w:vAlign w:val="bottom"/>
          </w:tcPr>
          <w:p>
            <w:pPr>
              <w:ind w:left="20"/>
              <w:spacing w:after="0"/>
              <w:rPr>
                <w:sz w:val="20"/>
                <w:szCs w:val="20"/>
                <w:color w:val="auto"/>
              </w:rPr>
            </w:pPr>
            <w:r>
              <w:rPr>
                <w:rFonts w:ascii="Arial" w:cs="Arial" w:eastAsia="Arial" w:hAnsi="Arial"/>
                <w:sz w:val="15"/>
                <w:szCs w:val="15"/>
                <w:color w:val="auto"/>
              </w:rPr>
              <w:t>Level 2</w:t>
            </w:r>
          </w:p>
        </w:tc>
        <w:tc>
          <w:tcPr>
            <w:tcW w:w="9480" w:type="dxa"/>
            <w:vAlign w:val="bottom"/>
          </w:tcPr>
          <w:p>
            <w:pPr>
              <w:ind w:left="760"/>
              <w:spacing w:after="0"/>
              <w:rPr>
                <w:sz w:val="20"/>
                <w:szCs w:val="20"/>
                <w:color w:val="auto"/>
              </w:rPr>
            </w:pPr>
            <w:r>
              <w:rPr>
                <w:rFonts w:ascii="Arial" w:cs="Arial" w:eastAsia="Arial" w:hAnsi="Arial"/>
                <w:sz w:val="15"/>
                <w:szCs w:val="15"/>
                <w:color w:val="auto"/>
              </w:rPr>
              <w:t>Inputs other than quoted prices included within Level 1 that are observable either directly (i.e. as prices) or indirectly (i.e. derived</w:t>
            </w:r>
          </w:p>
        </w:tc>
      </w:tr>
      <w:tr>
        <w:trPr>
          <w:trHeight w:val="200"/>
        </w:trPr>
        <w:tc>
          <w:tcPr>
            <w:tcW w:w="1740" w:type="dxa"/>
            <w:vAlign w:val="bottom"/>
          </w:tcPr>
          <w:p>
            <w:pPr>
              <w:spacing w:after="0"/>
              <w:rPr>
                <w:sz w:val="17"/>
                <w:szCs w:val="17"/>
                <w:color w:val="auto"/>
              </w:rPr>
            </w:pPr>
          </w:p>
        </w:tc>
        <w:tc>
          <w:tcPr>
            <w:tcW w:w="9480" w:type="dxa"/>
            <w:vAlign w:val="bottom"/>
          </w:tcPr>
          <w:p>
            <w:pPr>
              <w:ind w:left="760"/>
              <w:spacing w:after="0"/>
              <w:rPr>
                <w:sz w:val="20"/>
                <w:szCs w:val="20"/>
                <w:color w:val="auto"/>
              </w:rPr>
            </w:pPr>
            <w:r>
              <w:rPr>
                <w:rFonts w:ascii="Arial" w:cs="Arial" w:eastAsia="Arial" w:hAnsi="Arial"/>
                <w:sz w:val="15"/>
                <w:szCs w:val="15"/>
                <w:color w:val="auto"/>
              </w:rPr>
              <w:t>from prices).</w:t>
            </w:r>
          </w:p>
        </w:tc>
      </w:tr>
      <w:tr>
        <w:trPr>
          <w:trHeight w:val="33"/>
        </w:trPr>
        <w:tc>
          <w:tcPr>
            <w:tcW w:w="1740" w:type="dxa"/>
            <w:vAlign w:val="bottom"/>
            <w:tcBorders>
              <w:bottom w:val="single" w:sz="8" w:color="183964"/>
            </w:tcBorders>
          </w:tcPr>
          <w:p>
            <w:pPr>
              <w:spacing w:after="0"/>
              <w:rPr>
                <w:sz w:val="2"/>
                <w:szCs w:val="2"/>
                <w:color w:val="auto"/>
              </w:rPr>
            </w:pPr>
          </w:p>
        </w:tc>
        <w:tc>
          <w:tcPr>
            <w:tcW w:w="9480" w:type="dxa"/>
            <w:vAlign w:val="bottom"/>
            <w:tcBorders>
              <w:bottom w:val="single" w:sz="8" w:color="183964"/>
            </w:tcBorders>
          </w:tcPr>
          <w:p>
            <w:pPr>
              <w:spacing w:after="0"/>
              <w:rPr>
                <w:sz w:val="2"/>
                <w:szCs w:val="2"/>
                <w:color w:val="auto"/>
              </w:rPr>
            </w:pPr>
          </w:p>
        </w:tc>
      </w:tr>
      <w:tr>
        <w:trPr>
          <w:trHeight w:val="179"/>
        </w:trPr>
        <w:tc>
          <w:tcPr>
            <w:tcW w:w="1740" w:type="dxa"/>
            <w:vAlign w:val="bottom"/>
          </w:tcPr>
          <w:p>
            <w:pPr>
              <w:ind w:left="20"/>
              <w:spacing w:after="0"/>
              <w:rPr>
                <w:sz w:val="20"/>
                <w:szCs w:val="20"/>
                <w:color w:val="auto"/>
              </w:rPr>
            </w:pPr>
            <w:r>
              <w:rPr>
                <w:rFonts w:ascii="Arial" w:cs="Arial" w:eastAsia="Arial" w:hAnsi="Arial"/>
                <w:sz w:val="15"/>
                <w:szCs w:val="15"/>
                <w:color w:val="auto"/>
              </w:rPr>
              <w:t>Level 3</w:t>
            </w:r>
          </w:p>
        </w:tc>
        <w:tc>
          <w:tcPr>
            <w:tcW w:w="9480" w:type="dxa"/>
            <w:vAlign w:val="bottom"/>
          </w:tcPr>
          <w:p>
            <w:pPr>
              <w:ind w:left="760"/>
              <w:spacing w:after="0"/>
              <w:rPr>
                <w:sz w:val="20"/>
                <w:szCs w:val="20"/>
                <w:color w:val="auto"/>
              </w:rPr>
            </w:pPr>
            <w:r>
              <w:rPr>
                <w:rFonts w:ascii="Arial" w:cs="Arial" w:eastAsia="Arial" w:hAnsi="Arial"/>
                <w:sz w:val="15"/>
                <w:szCs w:val="15"/>
                <w:color w:val="auto"/>
              </w:rPr>
              <w:t>Inputs that are unobservable. This category includes all instruments for which the valuation technique includes inputs not based</w:t>
            </w:r>
          </w:p>
        </w:tc>
      </w:tr>
      <w:tr>
        <w:trPr>
          <w:trHeight w:val="200"/>
        </w:trPr>
        <w:tc>
          <w:tcPr>
            <w:tcW w:w="1740" w:type="dxa"/>
            <w:vAlign w:val="bottom"/>
          </w:tcPr>
          <w:p>
            <w:pPr>
              <w:spacing w:after="0"/>
              <w:rPr>
                <w:sz w:val="17"/>
                <w:szCs w:val="17"/>
                <w:color w:val="auto"/>
              </w:rPr>
            </w:pPr>
          </w:p>
        </w:tc>
        <w:tc>
          <w:tcPr>
            <w:tcW w:w="9480" w:type="dxa"/>
            <w:vAlign w:val="bottom"/>
          </w:tcPr>
          <w:p>
            <w:pPr>
              <w:ind w:left="760"/>
              <w:spacing w:after="0"/>
              <w:rPr>
                <w:sz w:val="20"/>
                <w:szCs w:val="20"/>
                <w:color w:val="auto"/>
              </w:rPr>
            </w:pPr>
            <w:r>
              <w:rPr>
                <w:rFonts w:ascii="Arial" w:cs="Arial" w:eastAsia="Arial" w:hAnsi="Arial"/>
                <w:sz w:val="15"/>
                <w:szCs w:val="15"/>
                <w:color w:val="auto"/>
              </w:rPr>
              <w:t>on observable data and the unobservable inputs have a significant effect on the instruments' valuation.</w:t>
            </w:r>
          </w:p>
        </w:tc>
      </w:tr>
      <w:tr>
        <w:trPr>
          <w:trHeight w:val="33"/>
        </w:trPr>
        <w:tc>
          <w:tcPr>
            <w:tcW w:w="1740" w:type="dxa"/>
            <w:vAlign w:val="bottom"/>
            <w:tcBorders>
              <w:bottom w:val="single" w:sz="8" w:color="183964"/>
            </w:tcBorders>
          </w:tcPr>
          <w:p>
            <w:pPr>
              <w:spacing w:after="0"/>
              <w:rPr>
                <w:sz w:val="2"/>
                <w:szCs w:val="2"/>
                <w:color w:val="auto"/>
              </w:rPr>
            </w:pPr>
          </w:p>
        </w:tc>
        <w:tc>
          <w:tcPr>
            <w:tcW w:w="9480" w:type="dxa"/>
            <w:vAlign w:val="bottom"/>
            <w:tcBorders>
              <w:bottom w:val="single" w:sz="8" w:color="183964"/>
            </w:tcBorders>
          </w:tcPr>
          <w:p>
            <w:pPr>
              <w:spacing w:after="0"/>
              <w:rPr>
                <w:sz w:val="2"/>
                <w:szCs w:val="2"/>
                <w:color w:val="auto"/>
              </w:rPr>
            </w:pPr>
          </w:p>
        </w:tc>
      </w:tr>
    </w:tbl>
    <w:p>
      <w:pPr>
        <w:spacing w:after="0" w:line="158" w:lineRule="exact"/>
        <w:rPr>
          <w:sz w:val="20"/>
          <w:szCs w:val="20"/>
          <w:color w:val="auto"/>
        </w:rPr>
      </w:pPr>
    </w:p>
    <w:p>
      <w:pPr>
        <w:ind w:right="320"/>
        <w:spacing w:after="0" w:line="301" w:lineRule="auto"/>
        <w:rPr>
          <w:sz w:val="20"/>
          <w:szCs w:val="20"/>
          <w:color w:val="auto"/>
        </w:rPr>
      </w:pPr>
      <w:r>
        <w:rPr>
          <w:rFonts w:ascii="Arial" w:cs="Arial" w:eastAsia="Arial" w:hAnsi="Arial"/>
          <w:sz w:val="15"/>
          <w:szCs w:val="15"/>
          <w:color w:val="auto"/>
        </w:rPr>
        <w:t>Whilst the Group considers the methodologies and assumptions adopted in fair value measurements as supportable and reasonable, because of the inherent uncertainty of valuation, those estimated values may differ significantly from the values that would have been used had a ready market for the investment existed.</w:t>
      </w:r>
    </w:p>
    <w:p>
      <w:pPr>
        <w:sectPr>
          <w:pgSz w:w="11900" w:h="16838" w:orient="portrait"/>
          <w:cols w:equalWidth="0" w:num="1">
            <w:col w:w="11240"/>
          </w:cols>
          <w:pgMar w:left="320" w:top="1241" w:right="339" w:bottom="1440" w:gutter="0" w:footer="0" w:header="0"/>
        </w:sectPr>
      </w:pPr>
    </w:p>
    <w:bookmarkStart w:id="39" w:name="page40"/>
    <w:bookmarkEnd w:id="39"/>
    <w:p>
      <w:pPr>
        <w:spacing w:after="0"/>
        <w:rPr>
          <w:sz w:val="20"/>
          <w:szCs w:val="20"/>
          <w:color w:val="auto"/>
        </w:rPr>
      </w:pPr>
      <w:r>
        <w:rPr>
          <w:rFonts w:ascii="Arial" w:cs="Arial" w:eastAsia="Arial" w:hAnsi="Arial"/>
          <w:sz w:val="15"/>
          <w:szCs w:val="15"/>
          <w:color w:val="183964"/>
        </w:rPr>
        <w:t>Subsidiary Preferred Share Liability</w:t>
      </w:r>
    </w:p>
    <w:p>
      <w:pPr>
        <w:spacing w:after="0" w:line="17"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As of June 30, 2025 and December 31, 2024, the fair value of subsidiary preferred share liability was $169 and $169, respectively. See Note 11. Subsidiary Preferred Shares for the changes in the Group’s subsidiary preferred share liability measured at fair value, which are categorized as Level 3 in the fair value hierarchy.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183964"/>
        </w:rPr>
        <w:t>Investments Held at Fair Value</w:t>
      </w:r>
    </w:p>
    <w:p>
      <w:pPr>
        <w:spacing w:after="0" w:line="28" w:lineRule="exact"/>
        <w:rPr>
          <w:sz w:val="20"/>
          <w:szCs w:val="20"/>
          <w:color w:val="auto"/>
        </w:rPr>
      </w:pPr>
    </w:p>
    <w:p>
      <w:pPr>
        <w:ind w:right="180"/>
        <w:spacing w:after="0" w:line="267" w:lineRule="auto"/>
        <w:rPr>
          <w:sz w:val="20"/>
          <w:szCs w:val="20"/>
          <w:color w:val="auto"/>
        </w:rPr>
      </w:pPr>
      <w:r>
        <w:rPr>
          <w:rFonts w:ascii="Arial" w:cs="Arial" w:eastAsia="Arial" w:hAnsi="Arial"/>
          <w:sz w:val="15"/>
          <w:szCs w:val="15"/>
          <w:color w:val="auto"/>
        </w:rPr>
        <w:t>The Group has immaterial investments in listed entities on an active exchange, and as such, the fair value of these investments as of June 30, 2025 was calculated utilizing the quoted common share price which is categorized as Level 1 in the fair value hierarchy.</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i w:val="1"/>
          <w:iCs w:val="1"/>
          <w:color w:val="183964"/>
        </w:rPr>
        <w:t>Seaport, Vedanta and Sonde</w:t>
      </w:r>
    </w:p>
    <w:p>
      <w:pPr>
        <w:spacing w:after="0" w:line="28"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As of June 30, 2025, the Group accounts for the following investments under IFRS 9 as investments held at fair value with changes in fair value through profit and loss: Seaport preferred A-1, A-2, and B shares, Vedanta preferred A-1, B, C, and D shares, and Sonde preferred A-2 and B shares. The valuations of the aforementioned investments are categorized as Level 3 in the fair value hierarchy due to the use of significant unobservable inputs to value such assets. During the six months ended June 30, 2025, the Group recorded such investments at fair value and recognized a gain of $4,274 for the changes in fair value of the investments.</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changes in all the Group’s investments held at fair value categorized as Level 3 in the fair value hierarchy: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gridSpan w:val="2"/>
          </w:tcPr>
          <w:p>
            <w:pPr>
              <w:ind w:left="20"/>
              <w:spacing w:after="0"/>
              <w:rPr>
                <w:sz w:val="20"/>
                <w:szCs w:val="20"/>
                <w:color w:val="auto"/>
              </w:rPr>
            </w:pPr>
            <w:r>
              <w:rPr>
                <w:rFonts w:ascii="Arial" w:cs="Arial" w:eastAsia="Arial" w:hAnsi="Arial"/>
                <w:sz w:val="15"/>
                <w:szCs w:val="15"/>
                <w:b w:val="1"/>
                <w:bCs w:val="1"/>
                <w:color w:val="auto"/>
              </w:rPr>
              <w:t>Balance as of December 31, 2024 and January 1, 2025</w:t>
            </w:r>
          </w:p>
        </w:tc>
        <w:tc>
          <w:tcPr>
            <w:tcW w:w="2720" w:type="dxa"/>
            <w:vAlign w:val="bottom"/>
          </w:tcPr>
          <w:p>
            <w:pPr>
              <w:jc w:val="right"/>
              <w:ind w:right="20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193,758</w:t>
            </w:r>
          </w:p>
        </w:tc>
      </w:tr>
      <w:tr>
        <w:trPr>
          <w:trHeight w:val="25"/>
        </w:trPr>
        <w:tc>
          <w:tcPr>
            <w:tcW w:w="7600" w:type="dxa"/>
            <w:vAlign w:val="bottom"/>
            <w:tcBorders>
              <w:bottom w:val="single" w:sz="8" w:color="001544"/>
            </w:tcBorders>
            <w:gridSpan w:val="2"/>
          </w:tcPr>
          <w:p>
            <w:pPr>
              <w:spacing w:after="0"/>
              <w:rPr>
                <w:sz w:val="2"/>
                <w:szCs w:val="2"/>
                <w:color w:val="auto"/>
              </w:rPr>
            </w:pPr>
          </w:p>
        </w:tc>
        <w:tc>
          <w:tcPr>
            <w:tcW w:w="2720" w:type="dxa"/>
            <w:vAlign w:val="bottom"/>
            <w:tcBorders>
              <w:bottom w:val="single" w:sz="8" w:color="001544"/>
            </w:tcBorders>
          </w:tcPr>
          <w:p>
            <w:pPr>
              <w:spacing w:after="0"/>
              <w:rPr>
                <w:sz w:val="2"/>
                <w:szCs w:val="2"/>
                <w:color w:val="auto"/>
              </w:rPr>
            </w:pPr>
          </w:p>
        </w:tc>
        <w:tc>
          <w:tcPr>
            <w:tcW w:w="900" w:type="dxa"/>
            <w:vAlign w:val="bottom"/>
            <w:tcBorders>
              <w:bottom w:val="single" w:sz="8" w:color="001544"/>
            </w:tcBorders>
          </w:tcPr>
          <w:p>
            <w:pPr>
              <w:spacing w:after="0"/>
              <w:rPr>
                <w:sz w:val="2"/>
                <w:szCs w:val="2"/>
                <w:color w:val="auto"/>
              </w:rPr>
            </w:pPr>
          </w:p>
        </w:tc>
      </w:tr>
      <w:tr>
        <w:trPr>
          <w:trHeight w:val="204"/>
        </w:trPr>
        <w:tc>
          <w:tcPr>
            <w:tcW w:w="7600" w:type="dxa"/>
            <w:vAlign w:val="bottom"/>
            <w:gridSpan w:val="2"/>
          </w:tcPr>
          <w:p>
            <w:pPr>
              <w:ind w:left="20"/>
              <w:spacing w:after="0"/>
              <w:rPr>
                <w:sz w:val="20"/>
                <w:szCs w:val="20"/>
                <w:color w:val="auto"/>
              </w:rPr>
            </w:pPr>
            <w:r>
              <w:rPr>
                <w:rFonts w:ascii="Arial" w:cs="Arial" w:eastAsia="Arial" w:hAnsi="Arial"/>
                <w:sz w:val="15"/>
                <w:szCs w:val="15"/>
                <w:color w:val="auto"/>
              </w:rPr>
              <w:t>Gain/(loss) on changes in fair value</w:t>
            </w:r>
          </w:p>
        </w:tc>
        <w:tc>
          <w:tcPr>
            <w:tcW w:w="27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4,274</w:t>
            </w:r>
          </w:p>
        </w:tc>
      </w:tr>
      <w:tr>
        <w:trPr>
          <w:trHeight w:val="33"/>
        </w:trPr>
        <w:tc>
          <w:tcPr>
            <w:tcW w:w="1680" w:type="dxa"/>
            <w:vAlign w:val="bottom"/>
            <w:tcBorders>
              <w:bottom w:val="single" w:sz="8" w:color="001544"/>
            </w:tcBorders>
          </w:tcPr>
          <w:p>
            <w:pPr>
              <w:spacing w:after="0"/>
              <w:rPr>
                <w:sz w:val="2"/>
                <w:szCs w:val="2"/>
                <w:color w:val="auto"/>
              </w:rPr>
            </w:pPr>
          </w:p>
        </w:tc>
        <w:tc>
          <w:tcPr>
            <w:tcW w:w="5920" w:type="dxa"/>
            <w:vAlign w:val="bottom"/>
            <w:tcBorders>
              <w:bottom w:val="single" w:sz="8" w:color="001544"/>
            </w:tcBorders>
          </w:tcPr>
          <w:p>
            <w:pPr>
              <w:spacing w:after="0"/>
              <w:rPr>
                <w:sz w:val="2"/>
                <w:szCs w:val="2"/>
                <w:color w:val="auto"/>
              </w:rPr>
            </w:pPr>
          </w:p>
        </w:tc>
        <w:tc>
          <w:tcPr>
            <w:tcW w:w="2720" w:type="dxa"/>
            <w:vAlign w:val="bottom"/>
            <w:tcBorders>
              <w:bottom w:val="single" w:sz="8" w:color="001544"/>
            </w:tcBorders>
          </w:tcPr>
          <w:p>
            <w:pPr>
              <w:spacing w:after="0"/>
              <w:rPr>
                <w:sz w:val="2"/>
                <w:szCs w:val="2"/>
                <w:color w:val="auto"/>
              </w:rPr>
            </w:pPr>
          </w:p>
        </w:tc>
        <w:tc>
          <w:tcPr>
            <w:tcW w:w="900" w:type="dxa"/>
            <w:vAlign w:val="bottom"/>
            <w:tcBorders>
              <w:bottom w:val="single" w:sz="8" w:color="001544"/>
            </w:tcBorders>
          </w:tcPr>
          <w:p>
            <w:pPr>
              <w:spacing w:after="0"/>
              <w:rPr>
                <w:sz w:val="2"/>
                <w:szCs w:val="2"/>
                <w:color w:val="auto"/>
              </w:rPr>
            </w:pPr>
          </w:p>
        </w:tc>
      </w:tr>
      <w:tr>
        <w:trPr>
          <w:trHeight w:val="212"/>
        </w:trPr>
        <w:tc>
          <w:tcPr>
            <w:tcW w:w="1680" w:type="dxa"/>
            <w:vAlign w:val="bottom"/>
          </w:tcPr>
          <w:p>
            <w:pPr>
              <w:ind w:left="20"/>
              <w:spacing w:after="0"/>
              <w:rPr>
                <w:sz w:val="20"/>
                <w:szCs w:val="20"/>
                <w:color w:val="auto"/>
              </w:rPr>
            </w:pPr>
            <w:r>
              <w:rPr>
                <w:rFonts w:ascii="Arial" w:cs="Arial" w:eastAsia="Arial" w:hAnsi="Arial"/>
                <w:sz w:val="15"/>
                <w:szCs w:val="15"/>
                <w:b w:val="1"/>
                <w:bCs w:val="1"/>
                <w:color w:val="auto"/>
              </w:rPr>
              <w:t>Balance as of June 30,</w:t>
            </w:r>
          </w:p>
        </w:tc>
        <w:tc>
          <w:tcPr>
            <w:tcW w:w="5920" w:type="dxa"/>
            <w:vAlign w:val="bottom"/>
          </w:tcPr>
          <w:p>
            <w:pPr>
              <w:ind w:left="20"/>
              <w:spacing w:after="0"/>
              <w:rPr>
                <w:sz w:val="20"/>
                <w:szCs w:val="20"/>
                <w:color w:val="auto"/>
              </w:rPr>
            </w:pPr>
            <w:r>
              <w:rPr>
                <w:rFonts w:ascii="Arial" w:cs="Arial" w:eastAsia="Arial" w:hAnsi="Arial"/>
                <w:sz w:val="15"/>
                <w:szCs w:val="15"/>
                <w:b w:val="1"/>
                <w:bCs w:val="1"/>
                <w:color w:val="auto"/>
              </w:rPr>
              <w:t>2025</w:t>
            </w:r>
          </w:p>
        </w:tc>
        <w:tc>
          <w:tcPr>
            <w:tcW w:w="2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198,032</w:t>
            </w:r>
          </w:p>
        </w:tc>
      </w:tr>
      <w:tr>
        <w:trPr>
          <w:trHeight w:val="25"/>
        </w:trPr>
        <w:tc>
          <w:tcPr>
            <w:tcW w:w="7600" w:type="dxa"/>
            <w:vAlign w:val="bottom"/>
            <w:tcBorders>
              <w:bottom w:val="single" w:sz="8" w:color="001544"/>
            </w:tcBorders>
            <w:gridSpan w:val="2"/>
          </w:tcPr>
          <w:p>
            <w:pPr>
              <w:spacing w:after="0"/>
              <w:rPr>
                <w:sz w:val="2"/>
                <w:szCs w:val="2"/>
                <w:color w:val="auto"/>
              </w:rPr>
            </w:pPr>
          </w:p>
        </w:tc>
        <w:tc>
          <w:tcPr>
            <w:tcW w:w="2720" w:type="dxa"/>
            <w:vAlign w:val="bottom"/>
            <w:tcBorders>
              <w:bottom w:val="single" w:sz="8" w:color="001544"/>
            </w:tcBorders>
          </w:tcPr>
          <w:p>
            <w:pPr>
              <w:spacing w:after="0"/>
              <w:rPr>
                <w:sz w:val="2"/>
                <w:szCs w:val="2"/>
                <w:color w:val="auto"/>
              </w:rPr>
            </w:pPr>
          </w:p>
        </w:tc>
        <w:tc>
          <w:tcPr>
            <w:tcW w:w="900" w:type="dxa"/>
            <w:vAlign w:val="bottom"/>
            <w:tcBorders>
              <w:bottom w:val="single" w:sz="8" w:color="001544"/>
            </w:tcBorders>
          </w:tcPr>
          <w:p>
            <w:pPr>
              <w:spacing w:after="0"/>
              <w:rPr>
                <w:sz w:val="2"/>
                <w:szCs w:val="2"/>
                <w:color w:val="auto"/>
              </w:rPr>
            </w:pPr>
          </w:p>
        </w:tc>
      </w:tr>
      <w:tr>
        <w:trPr>
          <w:trHeight w:val="204"/>
        </w:trPr>
        <w:tc>
          <w:tcPr>
            <w:tcW w:w="7600" w:type="dxa"/>
            <w:vAlign w:val="bottom"/>
            <w:gridSpan w:val="2"/>
          </w:tcPr>
          <w:p>
            <w:pPr>
              <w:ind w:left="20"/>
              <w:spacing w:after="0"/>
              <w:rPr>
                <w:sz w:val="20"/>
                <w:szCs w:val="20"/>
                <w:color w:val="auto"/>
              </w:rPr>
            </w:pPr>
            <w:r>
              <w:rPr>
                <w:rFonts w:ascii="Arial" w:cs="Arial" w:eastAsia="Arial" w:hAnsi="Arial"/>
                <w:sz w:val="15"/>
                <w:szCs w:val="15"/>
                <w:color w:val="auto"/>
              </w:rPr>
              <w:t>Equity method loss recorded against LTI</w:t>
            </w:r>
          </w:p>
        </w:tc>
        <w:tc>
          <w:tcPr>
            <w:tcW w:w="27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(6,198)</w:t>
            </w:r>
          </w:p>
        </w:tc>
      </w:tr>
      <w:tr>
        <w:trPr>
          <w:trHeight w:val="33"/>
        </w:trPr>
        <w:tc>
          <w:tcPr>
            <w:tcW w:w="1680" w:type="dxa"/>
            <w:vAlign w:val="bottom"/>
            <w:tcBorders>
              <w:bottom w:val="single" w:sz="8" w:color="001544"/>
            </w:tcBorders>
          </w:tcPr>
          <w:p>
            <w:pPr>
              <w:spacing w:after="0"/>
              <w:rPr>
                <w:sz w:val="2"/>
                <w:szCs w:val="2"/>
                <w:color w:val="auto"/>
              </w:rPr>
            </w:pPr>
          </w:p>
        </w:tc>
        <w:tc>
          <w:tcPr>
            <w:tcW w:w="5920" w:type="dxa"/>
            <w:vAlign w:val="bottom"/>
            <w:tcBorders>
              <w:bottom w:val="single" w:sz="8" w:color="001544"/>
            </w:tcBorders>
          </w:tcPr>
          <w:p>
            <w:pPr>
              <w:spacing w:after="0"/>
              <w:rPr>
                <w:sz w:val="2"/>
                <w:szCs w:val="2"/>
                <w:color w:val="auto"/>
              </w:rPr>
            </w:pPr>
          </w:p>
        </w:tc>
        <w:tc>
          <w:tcPr>
            <w:tcW w:w="2720" w:type="dxa"/>
            <w:vAlign w:val="bottom"/>
            <w:tcBorders>
              <w:bottom w:val="single" w:sz="8" w:color="001544"/>
            </w:tcBorders>
          </w:tcPr>
          <w:p>
            <w:pPr>
              <w:spacing w:after="0"/>
              <w:rPr>
                <w:sz w:val="2"/>
                <w:szCs w:val="2"/>
                <w:color w:val="auto"/>
              </w:rPr>
            </w:pPr>
          </w:p>
        </w:tc>
        <w:tc>
          <w:tcPr>
            <w:tcW w:w="900" w:type="dxa"/>
            <w:vAlign w:val="bottom"/>
            <w:tcBorders>
              <w:bottom w:val="single" w:sz="8" w:color="001544"/>
            </w:tcBorders>
          </w:tcPr>
          <w:p>
            <w:pPr>
              <w:spacing w:after="0"/>
              <w:rPr>
                <w:sz w:val="2"/>
                <w:szCs w:val="2"/>
                <w:color w:val="auto"/>
              </w:rPr>
            </w:pPr>
          </w:p>
        </w:tc>
      </w:tr>
      <w:tr>
        <w:trPr>
          <w:trHeight w:val="211"/>
        </w:trPr>
        <w:tc>
          <w:tcPr>
            <w:tcW w:w="1680" w:type="dxa"/>
            <w:vAlign w:val="bottom"/>
          </w:tcPr>
          <w:p>
            <w:pPr>
              <w:ind w:left="20"/>
              <w:spacing w:after="0"/>
              <w:rPr>
                <w:sz w:val="20"/>
                <w:szCs w:val="20"/>
                <w:color w:val="auto"/>
              </w:rPr>
            </w:pPr>
            <w:r>
              <w:rPr>
                <w:rFonts w:ascii="Arial" w:cs="Arial" w:eastAsia="Arial" w:hAnsi="Arial"/>
                <w:sz w:val="15"/>
                <w:szCs w:val="15"/>
                <w:b w:val="1"/>
                <w:bCs w:val="1"/>
                <w:color w:val="auto"/>
              </w:rPr>
              <w:t>Balance as of June 30,</w:t>
            </w:r>
          </w:p>
        </w:tc>
        <w:tc>
          <w:tcPr>
            <w:tcW w:w="5920" w:type="dxa"/>
            <w:vAlign w:val="bottom"/>
          </w:tcPr>
          <w:p>
            <w:pPr>
              <w:ind w:left="20"/>
              <w:spacing w:after="0"/>
              <w:rPr>
                <w:sz w:val="20"/>
                <w:szCs w:val="20"/>
                <w:color w:val="auto"/>
              </w:rPr>
            </w:pPr>
            <w:r>
              <w:rPr>
                <w:rFonts w:ascii="Arial" w:cs="Arial" w:eastAsia="Arial" w:hAnsi="Arial"/>
                <w:sz w:val="15"/>
                <w:szCs w:val="15"/>
                <w:b w:val="1"/>
                <w:bCs w:val="1"/>
                <w:color w:val="auto"/>
              </w:rPr>
              <w:t>2025 after allocation of equity method loss to LTI</w:t>
            </w:r>
          </w:p>
        </w:tc>
        <w:tc>
          <w:tcPr>
            <w:tcW w:w="2720" w:type="dxa"/>
            <w:vAlign w:val="bottom"/>
          </w:tcPr>
          <w:p>
            <w:pPr>
              <w:jc w:val="right"/>
              <w:ind w:right="20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191,834</w:t>
            </w:r>
          </w:p>
        </w:tc>
      </w:tr>
      <w:tr>
        <w:trPr>
          <w:trHeight w:val="25"/>
        </w:trPr>
        <w:tc>
          <w:tcPr>
            <w:tcW w:w="1680" w:type="dxa"/>
            <w:vAlign w:val="bottom"/>
            <w:tcBorders>
              <w:bottom w:val="single" w:sz="8" w:color="001544"/>
            </w:tcBorders>
          </w:tcPr>
          <w:p>
            <w:pPr>
              <w:spacing w:after="0"/>
              <w:rPr>
                <w:sz w:val="2"/>
                <w:szCs w:val="2"/>
                <w:color w:val="auto"/>
              </w:rPr>
            </w:pPr>
          </w:p>
        </w:tc>
        <w:tc>
          <w:tcPr>
            <w:tcW w:w="5920" w:type="dxa"/>
            <w:vAlign w:val="bottom"/>
            <w:tcBorders>
              <w:bottom w:val="single" w:sz="8" w:color="001544"/>
            </w:tcBorders>
          </w:tcPr>
          <w:p>
            <w:pPr>
              <w:spacing w:after="0"/>
              <w:rPr>
                <w:sz w:val="2"/>
                <w:szCs w:val="2"/>
                <w:color w:val="auto"/>
              </w:rPr>
            </w:pPr>
          </w:p>
        </w:tc>
        <w:tc>
          <w:tcPr>
            <w:tcW w:w="2720" w:type="dxa"/>
            <w:vAlign w:val="bottom"/>
            <w:tcBorders>
              <w:bottom w:val="single" w:sz="8" w:color="001544"/>
            </w:tcBorders>
          </w:tcPr>
          <w:p>
            <w:pPr>
              <w:spacing w:after="0"/>
              <w:rPr>
                <w:sz w:val="2"/>
                <w:szCs w:val="2"/>
                <w:color w:val="auto"/>
              </w:rPr>
            </w:pPr>
          </w:p>
        </w:tc>
        <w:tc>
          <w:tcPr>
            <w:tcW w:w="900" w:type="dxa"/>
            <w:vAlign w:val="bottom"/>
            <w:tcBorders>
              <w:bottom w:val="single" w:sz="8" w:color="001544"/>
            </w:tcBorders>
          </w:tcPr>
          <w:p>
            <w:pPr>
              <w:spacing w:after="0"/>
              <w:rPr>
                <w:sz w:val="2"/>
                <w:szCs w:val="2"/>
                <w:color w:val="auto"/>
              </w:rPr>
            </w:pPr>
          </w:p>
        </w:tc>
      </w:tr>
    </w:tbl>
    <w:p>
      <w:pPr>
        <w:spacing w:after="0" w:line="77" w:lineRule="exact"/>
        <w:rPr>
          <w:sz w:val="20"/>
          <w:szCs w:val="20"/>
          <w:color w:val="auto"/>
        </w:rPr>
      </w:pPr>
    </w:p>
    <w:p>
      <w:pPr>
        <w:ind w:right="160"/>
        <w:spacing w:after="0" w:line="301" w:lineRule="auto"/>
        <w:rPr>
          <w:sz w:val="20"/>
          <w:szCs w:val="20"/>
          <w:color w:val="auto"/>
        </w:rPr>
      </w:pPr>
      <w:r>
        <w:rPr>
          <w:rFonts w:ascii="Arial" w:cs="Arial" w:eastAsia="Arial" w:hAnsi="Arial"/>
          <w:sz w:val="15"/>
          <w:szCs w:val="15"/>
          <w:color w:val="auto"/>
        </w:rPr>
        <w:t>The changes in fair value of investments held at fair value are recorded in gain/(loss) on investments held at fair value in the Condensed Consolidated Statement of Comprehensive Income/(Loss).</w:t>
      </w:r>
    </w:p>
    <w:p>
      <w:pPr>
        <w:spacing w:after="0" w:line="26"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As of June 30, 2025, the Group’s material investments held at fair value categorized as Level 3 in the fair value hierarchy only include the preferred shares of Seaport with fair value of $197,472. The significant unobservable inputs used at June 30, 2025 in the fair value measurement of these investments and the sensitivity of the fair value measurements for these investments to changes of these significant unobservable inputs are summarized in the tables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tcPr>
          <w:p>
            <w:pPr>
              <w:spacing w:after="0"/>
              <w:rPr>
                <w:sz w:val="13"/>
                <w:szCs w:val="13"/>
                <w:color w:val="auto"/>
              </w:rPr>
            </w:pPr>
          </w:p>
        </w:tc>
        <w:tc>
          <w:tcPr>
            <w:tcW w:w="4560" w:type="dxa"/>
            <w:vAlign w:val="bottom"/>
            <w:gridSpan w:val="2"/>
          </w:tcPr>
          <w:p>
            <w:pPr>
              <w:jc w:val="right"/>
              <w:ind w:right="128"/>
              <w:spacing w:after="0"/>
              <w:rPr>
                <w:sz w:val="20"/>
                <w:szCs w:val="20"/>
                <w:color w:val="auto"/>
              </w:rPr>
            </w:pPr>
            <w:r>
              <w:rPr>
                <w:rFonts w:ascii="Arial" w:cs="Arial" w:eastAsia="Arial" w:hAnsi="Arial"/>
                <w:sz w:val="13"/>
                <w:szCs w:val="13"/>
                <w:color w:val="183964"/>
              </w:rPr>
              <w:t>Investment (Seaport) Measured through</w:t>
            </w:r>
          </w:p>
        </w:tc>
        <w:tc>
          <w:tcPr>
            <w:tcW w:w="1500" w:type="dxa"/>
            <w:vAlign w:val="bottom"/>
          </w:tcPr>
          <w:p>
            <w:pPr>
              <w:spacing w:after="0"/>
              <w:rPr>
                <w:sz w:val="13"/>
                <w:szCs w:val="13"/>
                <w:color w:val="auto"/>
              </w:rPr>
            </w:pPr>
          </w:p>
        </w:tc>
      </w:tr>
      <w:tr>
        <w:trPr>
          <w:trHeight w:val="172"/>
        </w:trPr>
        <w:tc>
          <w:tcPr>
            <w:tcW w:w="5160" w:type="dxa"/>
            <w:vAlign w:val="bottom"/>
          </w:tcPr>
          <w:p>
            <w:pPr>
              <w:ind w:left="20"/>
              <w:spacing w:after="0"/>
              <w:rPr>
                <w:sz w:val="20"/>
                <w:szCs w:val="20"/>
                <w:color w:val="auto"/>
              </w:rPr>
            </w:pPr>
            <w:r>
              <w:rPr>
                <w:rFonts w:ascii="Arial" w:cs="Arial" w:eastAsia="Arial" w:hAnsi="Arial"/>
                <w:sz w:val="13"/>
                <w:szCs w:val="13"/>
                <w:b w:val="1"/>
                <w:bCs w:val="1"/>
                <w:color w:val="auto"/>
              </w:rPr>
              <w:t>As of June 30, 2025</w:t>
            </w:r>
          </w:p>
        </w:tc>
        <w:tc>
          <w:tcPr>
            <w:tcW w:w="2380" w:type="dxa"/>
            <w:vAlign w:val="bottom"/>
          </w:tcPr>
          <w:p>
            <w:pPr>
              <w:spacing w:after="0"/>
              <w:rPr>
                <w:sz w:val="14"/>
                <w:szCs w:val="14"/>
                <w:color w:val="auto"/>
              </w:rPr>
            </w:pPr>
          </w:p>
        </w:tc>
        <w:tc>
          <w:tcPr>
            <w:tcW w:w="2180" w:type="dxa"/>
            <w:vAlign w:val="bottom"/>
          </w:tcPr>
          <w:p>
            <w:pPr>
              <w:jc w:val="right"/>
              <w:ind w:right="428"/>
              <w:spacing w:after="0"/>
              <w:rPr>
                <w:sz w:val="20"/>
                <w:szCs w:val="20"/>
                <w:color w:val="auto"/>
              </w:rPr>
            </w:pPr>
            <w:r>
              <w:rPr>
                <w:rFonts w:ascii="Arial" w:cs="Arial" w:eastAsia="Arial" w:hAnsi="Arial"/>
                <w:sz w:val="13"/>
                <w:szCs w:val="13"/>
                <w:color w:val="183964"/>
                <w:w w:val="98"/>
              </w:rPr>
              <w:t>Market Backsolve &amp; PWERM</w:t>
            </w:r>
          </w:p>
        </w:tc>
        <w:tc>
          <w:tcPr>
            <w:tcW w:w="1500" w:type="dxa"/>
            <w:vAlign w:val="bottom"/>
          </w:tcPr>
          <w:p>
            <w:pPr>
              <w:spacing w:after="0"/>
              <w:rPr>
                <w:sz w:val="14"/>
                <w:szCs w:val="14"/>
                <w:color w:val="auto"/>
              </w:rPr>
            </w:pPr>
          </w:p>
        </w:tc>
      </w:tr>
      <w:tr>
        <w:trPr>
          <w:trHeight w:val="22"/>
        </w:trPr>
        <w:tc>
          <w:tcPr>
            <w:tcW w:w="5160" w:type="dxa"/>
            <w:vAlign w:val="bottom"/>
            <w:tcBorders>
              <w:bottom w:val="single" w:sz="8" w:color="001544"/>
            </w:tcBorders>
          </w:tcPr>
          <w:p>
            <w:pPr>
              <w:spacing w:after="0" w:line="20" w:lineRule="exact"/>
              <w:rPr>
                <w:sz w:val="1"/>
                <w:szCs w:val="1"/>
                <w:color w:val="auto"/>
              </w:rPr>
            </w:pPr>
          </w:p>
        </w:tc>
        <w:tc>
          <w:tcPr>
            <w:tcW w:w="2380" w:type="dxa"/>
            <w:vAlign w:val="bottom"/>
            <w:tcBorders>
              <w:bottom w:val="single" w:sz="8" w:color="001544"/>
            </w:tcBorders>
          </w:tcPr>
          <w:p>
            <w:pPr>
              <w:spacing w:after="0" w:line="20" w:lineRule="exact"/>
              <w:rPr>
                <w:sz w:val="1"/>
                <w:szCs w:val="1"/>
                <w:color w:val="auto"/>
              </w:rPr>
            </w:pPr>
          </w:p>
        </w:tc>
        <w:tc>
          <w:tcPr>
            <w:tcW w:w="2180" w:type="dxa"/>
            <w:vAlign w:val="bottom"/>
            <w:tcBorders>
              <w:bottom w:val="single" w:sz="8" w:color="001544"/>
            </w:tcBorders>
          </w:tcPr>
          <w:p>
            <w:pPr>
              <w:spacing w:after="0" w:line="20" w:lineRule="exact"/>
              <w:rPr>
                <w:sz w:val="1"/>
                <w:szCs w:val="1"/>
                <w:color w:val="auto"/>
              </w:rPr>
            </w:pPr>
          </w:p>
        </w:tc>
        <w:tc>
          <w:tcPr>
            <w:tcW w:w="1500" w:type="dxa"/>
            <w:vAlign w:val="bottom"/>
            <w:tcBorders>
              <w:bottom w:val="single" w:sz="8" w:color="001544"/>
            </w:tcBorders>
          </w:tcPr>
          <w:p>
            <w:pPr>
              <w:spacing w:after="0" w:line="20" w:lineRule="exact"/>
              <w:rPr>
                <w:sz w:val="1"/>
                <w:szCs w:val="1"/>
                <w:color w:val="auto"/>
              </w:rPr>
            </w:pPr>
          </w:p>
        </w:tc>
      </w:tr>
      <w:tr>
        <w:trPr>
          <w:trHeight w:val="151"/>
        </w:trPr>
        <w:tc>
          <w:tcPr>
            <w:tcW w:w="5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b w:val="1"/>
                <w:bCs w:val="1"/>
                <w:color w:val="183964"/>
              </w:rPr>
              <w:t>Fair Value</w:t>
            </w:r>
          </w:p>
        </w:tc>
      </w:tr>
      <w:tr>
        <w:trPr>
          <w:trHeight w:val="172"/>
        </w:trPr>
        <w:tc>
          <w:tcPr>
            <w:tcW w:w="5160" w:type="dxa"/>
            <w:vAlign w:val="bottom"/>
          </w:tcPr>
          <w:p>
            <w:pPr>
              <w:ind w:left="20"/>
              <w:spacing w:after="0"/>
              <w:rPr>
                <w:sz w:val="20"/>
                <w:szCs w:val="20"/>
                <w:color w:val="auto"/>
              </w:rPr>
            </w:pPr>
            <w:r>
              <w:rPr>
                <w:rFonts w:ascii="Arial" w:cs="Arial" w:eastAsia="Arial" w:hAnsi="Arial"/>
                <w:sz w:val="13"/>
                <w:szCs w:val="13"/>
                <w:color w:val="auto"/>
              </w:rPr>
              <w:t>Unobservable Inputs (Seaport)</w:t>
            </w:r>
          </w:p>
        </w:tc>
        <w:tc>
          <w:tcPr>
            <w:tcW w:w="2380" w:type="dxa"/>
            <w:vAlign w:val="bottom"/>
          </w:tcPr>
          <w:p>
            <w:pPr>
              <w:jc w:val="right"/>
              <w:spacing w:after="0"/>
              <w:rPr>
                <w:sz w:val="20"/>
                <w:szCs w:val="20"/>
                <w:color w:val="auto"/>
              </w:rPr>
            </w:pPr>
            <w:r>
              <w:rPr>
                <w:rFonts w:ascii="Arial" w:cs="Arial" w:eastAsia="Arial" w:hAnsi="Arial"/>
                <w:sz w:val="13"/>
                <w:szCs w:val="13"/>
                <w:color w:val="183964"/>
              </w:rPr>
              <w:t>Input Value</w:t>
            </w:r>
          </w:p>
        </w:tc>
        <w:tc>
          <w:tcPr>
            <w:tcW w:w="2180" w:type="dxa"/>
            <w:vAlign w:val="bottom"/>
          </w:tcPr>
          <w:p>
            <w:pPr>
              <w:jc w:val="right"/>
              <w:ind w:right="248"/>
              <w:spacing w:after="0"/>
              <w:rPr>
                <w:sz w:val="20"/>
                <w:szCs w:val="20"/>
                <w:color w:val="auto"/>
              </w:rPr>
            </w:pPr>
            <w:r>
              <w:rPr>
                <w:rFonts w:ascii="Arial" w:cs="Arial" w:eastAsia="Arial" w:hAnsi="Arial"/>
                <w:sz w:val="13"/>
                <w:szCs w:val="13"/>
                <w:color w:val="183964"/>
              </w:rPr>
              <w:t>Sensitivity Range</w:t>
            </w:r>
          </w:p>
        </w:tc>
        <w:tc>
          <w:tcPr>
            <w:tcW w:w="1500" w:type="dxa"/>
            <w:vAlign w:val="bottom"/>
          </w:tcPr>
          <w:p>
            <w:pPr>
              <w:jc w:val="right"/>
              <w:spacing w:after="0"/>
              <w:rPr>
                <w:sz w:val="20"/>
                <w:szCs w:val="20"/>
                <w:color w:val="auto"/>
              </w:rPr>
            </w:pPr>
            <w:r>
              <w:rPr>
                <w:rFonts w:ascii="Arial" w:cs="Arial" w:eastAsia="Arial" w:hAnsi="Arial"/>
                <w:sz w:val="13"/>
                <w:szCs w:val="13"/>
                <w:b w:val="1"/>
                <w:bCs w:val="1"/>
                <w:color w:val="183964"/>
              </w:rPr>
              <w:t>Increase/(Decrease) $</w:t>
            </w:r>
          </w:p>
        </w:tc>
      </w:tr>
      <w:tr>
        <w:trPr>
          <w:trHeight w:val="22"/>
        </w:trPr>
        <w:tc>
          <w:tcPr>
            <w:tcW w:w="5160" w:type="dxa"/>
            <w:vAlign w:val="bottom"/>
            <w:tcBorders>
              <w:bottom w:val="single" w:sz="8" w:color="001544"/>
            </w:tcBorders>
          </w:tcPr>
          <w:p>
            <w:pPr>
              <w:spacing w:after="0" w:line="20" w:lineRule="exact"/>
              <w:rPr>
                <w:sz w:val="1"/>
                <w:szCs w:val="1"/>
                <w:color w:val="auto"/>
              </w:rPr>
            </w:pPr>
          </w:p>
        </w:tc>
        <w:tc>
          <w:tcPr>
            <w:tcW w:w="2380" w:type="dxa"/>
            <w:vAlign w:val="bottom"/>
            <w:tcBorders>
              <w:bottom w:val="single" w:sz="8" w:color="001544"/>
            </w:tcBorders>
          </w:tcPr>
          <w:p>
            <w:pPr>
              <w:spacing w:after="0" w:line="20" w:lineRule="exact"/>
              <w:rPr>
                <w:sz w:val="1"/>
                <w:szCs w:val="1"/>
                <w:color w:val="auto"/>
              </w:rPr>
            </w:pPr>
          </w:p>
        </w:tc>
        <w:tc>
          <w:tcPr>
            <w:tcW w:w="2180" w:type="dxa"/>
            <w:vAlign w:val="bottom"/>
            <w:tcBorders>
              <w:bottom w:val="single" w:sz="8" w:color="001544"/>
            </w:tcBorders>
          </w:tcPr>
          <w:p>
            <w:pPr>
              <w:spacing w:after="0" w:line="20" w:lineRule="exact"/>
              <w:rPr>
                <w:sz w:val="1"/>
                <w:szCs w:val="1"/>
                <w:color w:val="auto"/>
              </w:rPr>
            </w:pPr>
          </w:p>
        </w:tc>
        <w:tc>
          <w:tcPr>
            <w:tcW w:w="1500" w:type="dxa"/>
            <w:vAlign w:val="bottom"/>
            <w:tcBorders>
              <w:bottom w:val="single" w:sz="8" w:color="001544"/>
            </w:tcBorders>
          </w:tcPr>
          <w:p>
            <w:pPr>
              <w:spacing w:after="0" w:line="20" w:lineRule="exact"/>
              <w:rPr>
                <w:sz w:val="1"/>
                <w:szCs w:val="1"/>
                <w:color w:val="auto"/>
              </w:rPr>
            </w:pPr>
          </w:p>
        </w:tc>
      </w:tr>
      <w:tr>
        <w:trPr>
          <w:trHeight w:val="203"/>
        </w:trPr>
        <w:tc>
          <w:tcPr>
            <w:tcW w:w="5160" w:type="dxa"/>
            <w:vAlign w:val="bottom"/>
          </w:tcPr>
          <w:p>
            <w:pPr>
              <w:ind w:left="20"/>
              <w:spacing w:after="0"/>
              <w:rPr>
                <w:sz w:val="20"/>
                <w:szCs w:val="20"/>
                <w:color w:val="auto"/>
              </w:rPr>
            </w:pPr>
            <w:r>
              <w:rPr>
                <w:rFonts w:ascii="Arial" w:cs="Arial" w:eastAsia="Arial" w:hAnsi="Arial"/>
                <w:sz w:val="15"/>
                <w:szCs w:val="15"/>
                <w:color w:val="auto"/>
              </w:rPr>
              <w:t>Equity Value</w:t>
            </w:r>
          </w:p>
        </w:tc>
        <w:tc>
          <w:tcPr>
            <w:tcW w:w="2380" w:type="dxa"/>
            <w:vAlign w:val="bottom"/>
          </w:tcPr>
          <w:p>
            <w:pPr>
              <w:jc w:val="right"/>
              <w:spacing w:after="0"/>
              <w:rPr>
                <w:sz w:val="20"/>
                <w:szCs w:val="20"/>
                <w:color w:val="auto"/>
              </w:rPr>
            </w:pPr>
            <w:r>
              <w:rPr>
                <w:rFonts w:ascii="Arial" w:cs="Arial" w:eastAsia="Arial" w:hAnsi="Arial"/>
                <w:sz w:val="15"/>
                <w:szCs w:val="15"/>
                <w:color w:val="183964"/>
              </w:rPr>
              <w:t>597,276</w:t>
            </w:r>
          </w:p>
        </w:tc>
        <w:tc>
          <w:tcPr>
            <w:tcW w:w="2180" w:type="dxa"/>
            <w:vAlign w:val="bottom"/>
          </w:tcPr>
          <w:p>
            <w:pPr>
              <w:jc w:val="right"/>
              <w:ind w:right="248"/>
              <w:spacing w:after="0"/>
              <w:rPr>
                <w:sz w:val="20"/>
                <w:szCs w:val="20"/>
                <w:color w:val="auto"/>
              </w:rPr>
            </w:pPr>
            <w:r>
              <w:rPr>
                <w:rFonts w:ascii="Arial" w:cs="Arial" w:eastAsia="Arial" w:hAnsi="Arial"/>
                <w:sz w:val="15"/>
                <w:szCs w:val="15"/>
                <w:color w:val="183964"/>
              </w:rPr>
              <w:t>-10 %</w:t>
            </w:r>
          </w:p>
        </w:tc>
        <w:tc>
          <w:tcPr>
            <w:tcW w:w="1500" w:type="dxa"/>
            <w:vAlign w:val="bottom"/>
          </w:tcPr>
          <w:p>
            <w:pPr>
              <w:jc w:val="right"/>
              <w:spacing w:after="0"/>
              <w:rPr>
                <w:sz w:val="20"/>
                <w:szCs w:val="20"/>
                <w:color w:val="auto"/>
              </w:rPr>
            </w:pPr>
            <w:r>
              <w:rPr>
                <w:rFonts w:ascii="Arial" w:cs="Arial" w:eastAsia="Arial" w:hAnsi="Arial"/>
                <w:sz w:val="15"/>
                <w:szCs w:val="15"/>
                <w:color w:val="183964"/>
              </w:rPr>
              <w:t>(22,319)</w:t>
            </w:r>
          </w:p>
        </w:tc>
      </w:tr>
      <w:tr>
        <w:trPr>
          <w:trHeight w:val="243"/>
        </w:trPr>
        <w:tc>
          <w:tcPr>
            <w:tcW w:w="51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180" w:type="dxa"/>
            <w:vAlign w:val="bottom"/>
          </w:tcPr>
          <w:p>
            <w:pPr>
              <w:jc w:val="right"/>
              <w:ind w:right="248"/>
              <w:spacing w:after="0"/>
              <w:rPr>
                <w:sz w:val="20"/>
                <w:szCs w:val="20"/>
                <w:color w:val="auto"/>
              </w:rPr>
            </w:pPr>
            <w:r>
              <w:rPr>
                <w:rFonts w:ascii="Arial" w:cs="Arial" w:eastAsia="Arial" w:hAnsi="Arial"/>
                <w:sz w:val="15"/>
                <w:szCs w:val="15"/>
                <w:color w:val="183964"/>
              </w:rPr>
              <w:t>+10%</w:t>
            </w:r>
          </w:p>
        </w:tc>
        <w:tc>
          <w:tcPr>
            <w:tcW w:w="1500" w:type="dxa"/>
            <w:vAlign w:val="bottom"/>
          </w:tcPr>
          <w:p>
            <w:pPr>
              <w:jc w:val="right"/>
              <w:spacing w:after="0"/>
              <w:rPr>
                <w:sz w:val="20"/>
                <w:szCs w:val="20"/>
                <w:color w:val="auto"/>
              </w:rPr>
            </w:pPr>
            <w:r>
              <w:rPr>
                <w:rFonts w:ascii="Arial" w:cs="Arial" w:eastAsia="Arial" w:hAnsi="Arial"/>
                <w:sz w:val="15"/>
                <w:szCs w:val="15"/>
                <w:color w:val="183964"/>
              </w:rPr>
              <w:t>22,259</w:t>
            </w:r>
          </w:p>
        </w:tc>
      </w:tr>
      <w:tr>
        <w:trPr>
          <w:trHeight w:val="33"/>
        </w:trPr>
        <w:tc>
          <w:tcPr>
            <w:tcW w:w="5160" w:type="dxa"/>
            <w:vAlign w:val="bottom"/>
            <w:tcBorders>
              <w:bottom w:val="single" w:sz="8" w:color="001544"/>
            </w:tcBorders>
          </w:tcPr>
          <w:p>
            <w:pPr>
              <w:spacing w:after="0"/>
              <w:rPr>
                <w:sz w:val="2"/>
                <w:szCs w:val="2"/>
                <w:color w:val="auto"/>
              </w:rPr>
            </w:pPr>
          </w:p>
        </w:tc>
        <w:tc>
          <w:tcPr>
            <w:tcW w:w="2380" w:type="dxa"/>
            <w:vAlign w:val="bottom"/>
            <w:tcBorders>
              <w:bottom w:val="single" w:sz="8" w:color="001544"/>
            </w:tcBorders>
          </w:tcPr>
          <w:p>
            <w:pPr>
              <w:spacing w:after="0"/>
              <w:rPr>
                <w:sz w:val="2"/>
                <w:szCs w:val="2"/>
                <w:color w:val="auto"/>
              </w:rPr>
            </w:pPr>
          </w:p>
        </w:tc>
        <w:tc>
          <w:tcPr>
            <w:tcW w:w="2180" w:type="dxa"/>
            <w:vAlign w:val="bottom"/>
            <w:tcBorders>
              <w:bottom w:val="single" w:sz="8" w:color="001544"/>
            </w:tcBorders>
          </w:tcPr>
          <w:p>
            <w:pPr>
              <w:spacing w:after="0"/>
              <w:rPr>
                <w:sz w:val="2"/>
                <w:szCs w:val="2"/>
                <w:color w:val="auto"/>
              </w:rPr>
            </w:pPr>
          </w:p>
        </w:tc>
        <w:tc>
          <w:tcPr>
            <w:tcW w:w="1500" w:type="dxa"/>
            <w:vAlign w:val="bottom"/>
            <w:tcBorders>
              <w:bottom w:val="single" w:sz="8" w:color="001544"/>
            </w:tcBorders>
          </w:tcPr>
          <w:p>
            <w:pPr>
              <w:spacing w:after="0"/>
              <w:rPr>
                <w:sz w:val="2"/>
                <w:szCs w:val="2"/>
                <w:color w:val="auto"/>
              </w:rPr>
            </w:pPr>
          </w:p>
        </w:tc>
      </w:tr>
      <w:tr>
        <w:trPr>
          <w:trHeight w:val="203"/>
        </w:trPr>
        <w:tc>
          <w:tcPr>
            <w:tcW w:w="5160" w:type="dxa"/>
            <w:vAlign w:val="bottom"/>
          </w:tcPr>
          <w:p>
            <w:pPr>
              <w:ind w:left="20"/>
              <w:spacing w:after="0"/>
              <w:rPr>
                <w:sz w:val="20"/>
                <w:szCs w:val="20"/>
                <w:color w:val="auto"/>
              </w:rPr>
            </w:pPr>
            <w:r>
              <w:rPr>
                <w:rFonts w:ascii="Arial" w:cs="Arial" w:eastAsia="Arial" w:hAnsi="Arial"/>
                <w:sz w:val="15"/>
                <w:szCs w:val="15"/>
                <w:color w:val="auto"/>
              </w:rPr>
              <w:t>Probability of entering into an initial public offering*</w:t>
            </w:r>
          </w:p>
        </w:tc>
        <w:tc>
          <w:tcPr>
            <w:tcW w:w="2380" w:type="dxa"/>
            <w:vAlign w:val="bottom"/>
          </w:tcPr>
          <w:p>
            <w:pPr>
              <w:jc w:val="right"/>
              <w:spacing w:after="0"/>
              <w:rPr>
                <w:sz w:val="20"/>
                <w:szCs w:val="20"/>
                <w:color w:val="auto"/>
              </w:rPr>
            </w:pPr>
            <w:r>
              <w:rPr>
                <w:rFonts w:ascii="Arial" w:cs="Arial" w:eastAsia="Arial" w:hAnsi="Arial"/>
                <w:sz w:val="15"/>
                <w:szCs w:val="15"/>
                <w:color w:val="183964"/>
              </w:rPr>
              <w:t>30%</w:t>
            </w:r>
          </w:p>
        </w:tc>
        <w:tc>
          <w:tcPr>
            <w:tcW w:w="2180" w:type="dxa"/>
            <w:vAlign w:val="bottom"/>
          </w:tcPr>
          <w:p>
            <w:pPr>
              <w:jc w:val="right"/>
              <w:ind w:right="248"/>
              <w:spacing w:after="0"/>
              <w:rPr>
                <w:sz w:val="20"/>
                <w:szCs w:val="20"/>
                <w:color w:val="auto"/>
              </w:rPr>
            </w:pPr>
            <w:r>
              <w:rPr>
                <w:rFonts w:ascii="Arial" w:cs="Arial" w:eastAsia="Arial" w:hAnsi="Arial"/>
                <w:sz w:val="15"/>
                <w:szCs w:val="15"/>
                <w:color w:val="183964"/>
              </w:rPr>
              <w:t>-10 %</w:t>
            </w:r>
          </w:p>
        </w:tc>
        <w:tc>
          <w:tcPr>
            <w:tcW w:w="1500" w:type="dxa"/>
            <w:vAlign w:val="bottom"/>
          </w:tcPr>
          <w:p>
            <w:pPr>
              <w:jc w:val="right"/>
              <w:spacing w:after="0"/>
              <w:rPr>
                <w:sz w:val="20"/>
                <w:szCs w:val="20"/>
                <w:color w:val="auto"/>
              </w:rPr>
            </w:pPr>
            <w:r>
              <w:rPr>
                <w:rFonts w:ascii="Arial" w:cs="Arial" w:eastAsia="Arial" w:hAnsi="Arial"/>
                <w:sz w:val="15"/>
                <w:szCs w:val="15"/>
                <w:color w:val="183964"/>
              </w:rPr>
              <w:t>(4,983)</w:t>
            </w:r>
          </w:p>
        </w:tc>
      </w:tr>
      <w:tr>
        <w:trPr>
          <w:trHeight w:val="243"/>
        </w:trPr>
        <w:tc>
          <w:tcPr>
            <w:tcW w:w="51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180" w:type="dxa"/>
            <w:vAlign w:val="bottom"/>
          </w:tcPr>
          <w:p>
            <w:pPr>
              <w:jc w:val="right"/>
              <w:ind w:right="248"/>
              <w:spacing w:after="0"/>
              <w:rPr>
                <w:sz w:val="20"/>
                <w:szCs w:val="20"/>
                <w:color w:val="auto"/>
              </w:rPr>
            </w:pPr>
            <w:r>
              <w:rPr>
                <w:rFonts w:ascii="Arial" w:cs="Arial" w:eastAsia="Arial" w:hAnsi="Arial"/>
                <w:sz w:val="15"/>
                <w:szCs w:val="15"/>
                <w:color w:val="183964"/>
              </w:rPr>
              <w:t>+10%</w:t>
            </w:r>
          </w:p>
        </w:tc>
        <w:tc>
          <w:tcPr>
            <w:tcW w:w="1500" w:type="dxa"/>
            <w:vAlign w:val="bottom"/>
          </w:tcPr>
          <w:p>
            <w:pPr>
              <w:jc w:val="right"/>
              <w:spacing w:after="0"/>
              <w:rPr>
                <w:sz w:val="20"/>
                <w:szCs w:val="20"/>
                <w:color w:val="auto"/>
              </w:rPr>
            </w:pPr>
            <w:r>
              <w:rPr>
                <w:rFonts w:ascii="Arial" w:cs="Arial" w:eastAsia="Arial" w:hAnsi="Arial"/>
                <w:sz w:val="15"/>
                <w:szCs w:val="15"/>
                <w:color w:val="183964"/>
              </w:rPr>
              <w:t>4,983</w:t>
            </w:r>
          </w:p>
        </w:tc>
      </w:tr>
      <w:tr>
        <w:trPr>
          <w:trHeight w:val="33"/>
        </w:trPr>
        <w:tc>
          <w:tcPr>
            <w:tcW w:w="5160" w:type="dxa"/>
            <w:vAlign w:val="bottom"/>
            <w:tcBorders>
              <w:bottom w:val="single" w:sz="8" w:color="001544"/>
            </w:tcBorders>
          </w:tcPr>
          <w:p>
            <w:pPr>
              <w:spacing w:after="0"/>
              <w:rPr>
                <w:sz w:val="2"/>
                <w:szCs w:val="2"/>
                <w:color w:val="auto"/>
              </w:rPr>
            </w:pPr>
          </w:p>
        </w:tc>
        <w:tc>
          <w:tcPr>
            <w:tcW w:w="2380" w:type="dxa"/>
            <w:vAlign w:val="bottom"/>
            <w:tcBorders>
              <w:bottom w:val="single" w:sz="8" w:color="001544"/>
            </w:tcBorders>
          </w:tcPr>
          <w:p>
            <w:pPr>
              <w:spacing w:after="0"/>
              <w:rPr>
                <w:sz w:val="2"/>
                <w:szCs w:val="2"/>
                <w:color w:val="auto"/>
              </w:rPr>
            </w:pPr>
          </w:p>
        </w:tc>
        <w:tc>
          <w:tcPr>
            <w:tcW w:w="2180" w:type="dxa"/>
            <w:vAlign w:val="bottom"/>
            <w:tcBorders>
              <w:bottom w:val="single" w:sz="8" w:color="001544"/>
            </w:tcBorders>
          </w:tcPr>
          <w:p>
            <w:pPr>
              <w:spacing w:after="0"/>
              <w:rPr>
                <w:sz w:val="2"/>
                <w:szCs w:val="2"/>
                <w:color w:val="auto"/>
              </w:rPr>
            </w:pPr>
          </w:p>
        </w:tc>
        <w:tc>
          <w:tcPr>
            <w:tcW w:w="1500" w:type="dxa"/>
            <w:vAlign w:val="bottom"/>
            <w:tcBorders>
              <w:bottom w:val="single" w:sz="8" w:color="001544"/>
            </w:tcBorders>
          </w:tcPr>
          <w:p>
            <w:pPr>
              <w:spacing w:after="0"/>
              <w:rPr>
                <w:sz w:val="2"/>
                <w:szCs w:val="2"/>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183964"/>
        </w:rPr>
        <w:t>*Assumed the exit event occurs on June 30, 2026.</w:t>
      </w:r>
    </w:p>
    <w:p>
      <w:pPr>
        <w:spacing w:after="0" w:line="301" w:lineRule="exact"/>
        <w:rPr>
          <w:sz w:val="20"/>
          <w:szCs w:val="20"/>
          <w:color w:val="auto"/>
        </w:rPr>
      </w:pPr>
    </w:p>
    <w:p>
      <w:pPr>
        <w:ind w:right="40"/>
        <w:spacing w:after="0" w:line="268" w:lineRule="auto"/>
        <w:rPr>
          <w:sz w:val="20"/>
          <w:szCs w:val="20"/>
          <w:color w:val="auto"/>
        </w:rPr>
      </w:pPr>
      <w:r>
        <w:rPr>
          <w:rFonts w:ascii="Arial" w:cs="Arial" w:eastAsia="Arial" w:hAnsi="Arial"/>
          <w:sz w:val="15"/>
          <w:szCs w:val="15"/>
          <w:color w:val="auto"/>
        </w:rPr>
        <w:t>The unobservable inputs outlined within the table above were used to determine the fair value of our investment in the convertible preferred shares of a private company as of June 30, 2025. Whilst the Group considers the methodologies and assumptions used in the fair value measurement to be supportable and reasonable based on a number of factors, including stage of development for underlying programs and market conditions, because of the inherent uncertainties associated with the valuation, the estimated value may differ significantly from the values that would have been used had a ready market for the investment existed. The fair value measurement of our investment in the convertible preferred shares will be updated at each reporting date.</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183964"/>
        </w:rPr>
        <w:t>Investments in Notes from Associates</w:t>
      </w:r>
    </w:p>
    <w:p>
      <w:pPr>
        <w:spacing w:after="0" w:line="28" w:lineRule="exact"/>
        <w:rPr>
          <w:sz w:val="20"/>
          <w:szCs w:val="20"/>
          <w:color w:val="auto"/>
        </w:rPr>
      </w:pPr>
    </w:p>
    <w:p>
      <w:pPr>
        <w:ind w:right="100"/>
        <w:spacing w:after="0" w:line="267" w:lineRule="auto"/>
        <w:rPr>
          <w:sz w:val="20"/>
          <w:szCs w:val="20"/>
          <w:color w:val="auto"/>
        </w:rPr>
      </w:pPr>
      <w:r>
        <w:rPr>
          <w:rFonts w:ascii="Arial" w:cs="Arial" w:eastAsia="Arial" w:hAnsi="Arial"/>
          <w:sz w:val="15"/>
          <w:szCs w:val="15"/>
          <w:color w:val="auto"/>
        </w:rPr>
        <w:t>As of June 30, 2025 and December 31, 2024, the investment in notes from associates was $14,005 and $17,731, respectively. The balance represents the fair value of convertible promissory notes with a principal value of $26,850 issued by Gelesis and convertible debt with a principal value of $5,000 issued by Vedanta.</w:t>
      </w:r>
    </w:p>
    <w:p>
      <w:pPr>
        <w:spacing w:after="0" w:line="64" w:lineRule="exact"/>
        <w:rPr>
          <w:sz w:val="20"/>
          <w:szCs w:val="20"/>
          <w:color w:val="auto"/>
        </w:rPr>
      </w:pPr>
    </w:p>
    <w:p>
      <w:pPr>
        <w:ind w:right="100"/>
        <w:spacing w:after="0" w:line="273" w:lineRule="auto"/>
        <w:rPr>
          <w:sz w:val="20"/>
          <w:szCs w:val="20"/>
          <w:color w:val="auto"/>
        </w:rPr>
      </w:pPr>
      <w:r>
        <w:rPr>
          <w:rFonts w:ascii="Arial" w:cs="Arial" w:eastAsia="Arial" w:hAnsi="Arial"/>
          <w:sz w:val="15"/>
          <w:szCs w:val="15"/>
          <w:color w:val="auto"/>
        </w:rPr>
        <w:t>During the six months ended June 30, 2025, the Group recorded a loss of $3,726 for the changes in fair value of the notes from associates in the gain/(loss) on investments in notes from associates within the Condensed Consolidated Statement of Comprehensive Income/Loss. The loss was primarily driven by a decrease of $3,722 in the fair value of the Vedanta convertible note.</w:t>
      </w:r>
    </w:p>
    <w:p>
      <w:pPr>
        <w:spacing w:after="0" w:line="46"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In October 2023, Gelesis ceased operations and filed a voluntary petition for relief under the provisions of Chapter 7 of Title 11 of the United States Bankruptcy Code. Therefore, the Group determined the fair value of the convertible promissory notes issued by Gelesis to be $0 as of December 31, 2023. In June 2024, the Bankruptcy Court approved an executed agreement for a third party to acquire the remaining net assets of Gelesis for $15,000. As the only senior secured creditor, the Group is expected to receive a majority of the proceeds from this sale after deduction of legal and administrative costs incurred by the Bankruptcy Court in 2025. As of June 30, 2025, these notes were determined to have a fair value of $11,377.</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The convertible debt issued by Vedanta was valued using a probability-weighted backsolve approach.</w:t>
      </w:r>
    </w:p>
    <w:p>
      <w:pPr>
        <w:sectPr>
          <w:pgSz w:w="11900" w:h="16838" w:orient="portrait"/>
          <w:cols w:equalWidth="0" w:num="1">
            <w:col w:w="11220"/>
          </w:cols>
          <w:pgMar w:left="320" w:top="1243" w:right="359" w:bottom="1440" w:gutter="0" w:footer="0" w:header="0"/>
        </w:sectPr>
      </w:pPr>
    </w:p>
    <w:bookmarkStart w:id="40" w:name="page41"/>
    <w:bookmarkEnd w:id="40"/>
    <w:p>
      <w:pPr>
        <w:spacing w:after="0"/>
        <w:rPr>
          <w:sz w:val="20"/>
          <w:szCs w:val="20"/>
          <w:color w:val="auto"/>
        </w:rPr>
      </w:pPr>
      <w:r>
        <w:rPr>
          <w:rFonts w:ascii="Arial" w:cs="Arial" w:eastAsia="Arial" w:hAnsi="Arial"/>
          <w:sz w:val="15"/>
          <w:szCs w:val="15"/>
          <w:color w:val="183964"/>
        </w:rPr>
        <w:t>Fair Value Measurement and Classification</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financial instruments by category as of June 30, 2025 and December 31, 2024:</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jc w:val="right"/>
              <w:ind w:right="288"/>
              <w:spacing w:after="0"/>
              <w:rPr>
                <w:sz w:val="20"/>
                <w:szCs w:val="20"/>
                <w:color w:val="auto"/>
              </w:rPr>
            </w:pPr>
            <w:r>
              <w:rPr>
                <w:rFonts w:ascii="Arial" w:cs="Arial" w:eastAsia="Arial" w:hAnsi="Arial"/>
                <w:sz w:val="13"/>
                <w:szCs w:val="13"/>
                <w:b w:val="1"/>
                <w:bCs w:val="1"/>
                <w:color w:val="auto"/>
              </w:rPr>
              <w:t>2025</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
        </w:trPr>
        <w:tc>
          <w:tcPr>
            <w:tcW w:w="3420" w:type="dxa"/>
            <w:vAlign w:val="bottom"/>
          </w:tcPr>
          <w:p>
            <w:pPr>
              <w:spacing w:after="0" w:line="20" w:lineRule="exact"/>
              <w:rPr>
                <w:sz w:val="1"/>
                <w:szCs w:val="1"/>
                <w:color w:val="auto"/>
              </w:rPr>
            </w:pPr>
          </w:p>
        </w:tc>
        <w:tc>
          <w:tcPr>
            <w:tcW w:w="2680" w:type="dxa"/>
            <w:vAlign w:val="bottom"/>
            <w:tcBorders>
              <w:bottom w:val="single" w:sz="8" w:color="001544"/>
            </w:tcBorders>
            <w:gridSpan w:val="3"/>
          </w:tcPr>
          <w:p>
            <w:pPr>
              <w:spacing w:after="0" w:line="20" w:lineRule="exact"/>
              <w:rPr>
                <w:sz w:val="1"/>
                <w:szCs w:val="1"/>
                <w:color w:val="auto"/>
              </w:rPr>
            </w:pPr>
          </w:p>
        </w:tc>
        <w:tc>
          <w:tcPr>
            <w:tcW w:w="1720" w:type="dxa"/>
            <w:vAlign w:val="bottom"/>
            <w:tcBorders>
              <w:bottom w:val="single" w:sz="8" w:color="001544"/>
            </w:tcBorders>
          </w:tcPr>
          <w:p>
            <w:pPr>
              <w:spacing w:after="0" w:line="20" w:lineRule="exact"/>
              <w:rPr>
                <w:sz w:val="1"/>
                <w:szCs w:val="1"/>
                <w:color w:val="auto"/>
              </w:rPr>
            </w:pPr>
          </w:p>
        </w:tc>
        <w:tc>
          <w:tcPr>
            <w:tcW w:w="1300" w:type="dxa"/>
            <w:vAlign w:val="bottom"/>
            <w:tcBorders>
              <w:bottom w:val="single" w:sz="8" w:color="001544"/>
            </w:tcBorders>
          </w:tcPr>
          <w:p>
            <w:pPr>
              <w:spacing w:after="0" w:line="20" w:lineRule="exact"/>
              <w:rPr>
                <w:sz w:val="1"/>
                <w:szCs w:val="1"/>
                <w:color w:val="auto"/>
              </w:rPr>
            </w:pPr>
          </w:p>
        </w:tc>
        <w:tc>
          <w:tcPr>
            <w:tcW w:w="1120" w:type="dxa"/>
            <w:vAlign w:val="bottom"/>
            <w:tcBorders>
              <w:bottom w:val="single" w:sz="8" w:color="001544"/>
            </w:tcBorders>
          </w:tcPr>
          <w:p>
            <w:pPr>
              <w:spacing w:after="0" w:line="20" w:lineRule="exact"/>
              <w:rPr>
                <w:sz w:val="1"/>
                <w:szCs w:val="1"/>
                <w:color w:val="auto"/>
              </w:rPr>
            </w:pPr>
          </w:p>
        </w:tc>
        <w:tc>
          <w:tcPr>
            <w:tcW w:w="980" w:type="dxa"/>
            <w:vAlign w:val="bottom"/>
            <w:tcBorders>
              <w:bottom w:val="single" w:sz="8" w:color="001544"/>
            </w:tcBorders>
          </w:tcPr>
          <w:p>
            <w:pPr>
              <w:spacing w:after="0" w:line="20" w:lineRule="exact"/>
              <w:rPr>
                <w:sz w:val="1"/>
                <w:szCs w:val="1"/>
                <w:color w:val="auto"/>
              </w:rPr>
            </w:pPr>
          </w:p>
        </w:tc>
      </w:tr>
      <w:tr>
        <w:trPr>
          <w:trHeight w:val="174"/>
        </w:trPr>
        <w:tc>
          <w:tcPr>
            <w:tcW w:w="3420" w:type="dxa"/>
            <w:vAlign w:val="bottom"/>
          </w:tcPr>
          <w:p>
            <w:pPr>
              <w:spacing w:after="0"/>
              <w:rPr>
                <w:sz w:val="15"/>
                <w:szCs w:val="15"/>
                <w:color w:val="auto"/>
              </w:rPr>
            </w:pPr>
          </w:p>
        </w:tc>
        <w:tc>
          <w:tcPr>
            <w:tcW w:w="2680" w:type="dxa"/>
            <w:vAlign w:val="bottom"/>
            <w:gridSpan w:val="3"/>
          </w:tcPr>
          <w:p>
            <w:pPr>
              <w:ind w:left="780"/>
              <w:spacing w:after="0"/>
              <w:rPr>
                <w:sz w:val="20"/>
                <w:szCs w:val="20"/>
                <w:color w:val="auto"/>
              </w:rPr>
            </w:pPr>
            <w:r>
              <w:rPr>
                <w:rFonts w:ascii="Arial" w:cs="Arial" w:eastAsia="Arial" w:hAnsi="Arial"/>
                <w:sz w:val="13"/>
                <w:szCs w:val="13"/>
                <w:b w:val="1"/>
                <w:bCs w:val="1"/>
                <w:color w:val="auto"/>
              </w:rPr>
              <w:t>Carrying Amount</w:t>
            </w:r>
          </w:p>
        </w:tc>
        <w:tc>
          <w:tcPr>
            <w:tcW w:w="1720" w:type="dxa"/>
            <w:vAlign w:val="bottom"/>
          </w:tcPr>
          <w:p>
            <w:pPr>
              <w:spacing w:after="0"/>
              <w:rPr>
                <w:sz w:val="15"/>
                <w:szCs w:val="15"/>
                <w:color w:val="auto"/>
              </w:rPr>
            </w:pPr>
          </w:p>
        </w:tc>
        <w:tc>
          <w:tcPr>
            <w:tcW w:w="1300" w:type="dxa"/>
            <w:vAlign w:val="bottom"/>
          </w:tcPr>
          <w:p>
            <w:pPr>
              <w:ind w:left="540"/>
              <w:spacing w:after="0"/>
              <w:rPr>
                <w:sz w:val="20"/>
                <w:szCs w:val="20"/>
                <w:color w:val="auto"/>
              </w:rPr>
            </w:pPr>
            <w:r>
              <w:rPr>
                <w:rFonts w:ascii="Arial" w:cs="Arial" w:eastAsia="Arial" w:hAnsi="Arial"/>
                <w:sz w:val="13"/>
                <w:szCs w:val="13"/>
                <w:b w:val="1"/>
                <w:bCs w:val="1"/>
                <w:color w:val="auto"/>
              </w:rPr>
              <w:t>Fair Value</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
        </w:trPr>
        <w:tc>
          <w:tcPr>
            <w:tcW w:w="3420" w:type="dxa"/>
            <w:vAlign w:val="bottom"/>
          </w:tcPr>
          <w:p>
            <w:pPr>
              <w:spacing w:after="0" w:line="20" w:lineRule="exact"/>
              <w:rPr>
                <w:sz w:val="1"/>
                <w:szCs w:val="1"/>
                <w:color w:val="auto"/>
              </w:rPr>
            </w:pPr>
          </w:p>
        </w:tc>
        <w:tc>
          <w:tcPr>
            <w:tcW w:w="1340" w:type="dxa"/>
            <w:vAlign w:val="bottom"/>
            <w:tcBorders>
              <w:bottom w:val="single" w:sz="8" w:color="001544"/>
            </w:tcBorders>
          </w:tcPr>
          <w:p>
            <w:pPr>
              <w:spacing w:after="0" w:line="20" w:lineRule="exact"/>
              <w:rPr>
                <w:sz w:val="1"/>
                <w:szCs w:val="1"/>
                <w:color w:val="auto"/>
              </w:rPr>
            </w:pPr>
          </w:p>
        </w:tc>
        <w:tc>
          <w:tcPr>
            <w:tcW w:w="1260" w:type="dxa"/>
            <w:vAlign w:val="bottom"/>
            <w:tcBorders>
              <w:bottom w:val="single" w:sz="8" w:color="00154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bottom w:val="single" w:sz="8" w:color="001544"/>
            </w:tcBorders>
          </w:tcPr>
          <w:p>
            <w:pPr>
              <w:spacing w:after="0" w:line="20" w:lineRule="exact"/>
              <w:rPr>
                <w:sz w:val="1"/>
                <w:szCs w:val="1"/>
                <w:color w:val="auto"/>
              </w:rPr>
            </w:pPr>
          </w:p>
        </w:tc>
        <w:tc>
          <w:tcPr>
            <w:tcW w:w="1300" w:type="dxa"/>
            <w:vAlign w:val="bottom"/>
            <w:tcBorders>
              <w:bottom w:val="single" w:sz="8" w:color="001544"/>
            </w:tcBorders>
          </w:tcPr>
          <w:p>
            <w:pPr>
              <w:spacing w:after="0" w:line="20" w:lineRule="exact"/>
              <w:rPr>
                <w:sz w:val="1"/>
                <w:szCs w:val="1"/>
                <w:color w:val="auto"/>
              </w:rPr>
            </w:pPr>
          </w:p>
        </w:tc>
        <w:tc>
          <w:tcPr>
            <w:tcW w:w="1120" w:type="dxa"/>
            <w:vAlign w:val="bottom"/>
            <w:tcBorders>
              <w:bottom w:val="single" w:sz="8" w:color="001544"/>
            </w:tcBorders>
          </w:tcPr>
          <w:p>
            <w:pPr>
              <w:spacing w:after="0" w:line="20" w:lineRule="exact"/>
              <w:rPr>
                <w:sz w:val="1"/>
                <w:szCs w:val="1"/>
                <w:color w:val="auto"/>
              </w:rPr>
            </w:pPr>
          </w:p>
        </w:tc>
        <w:tc>
          <w:tcPr>
            <w:tcW w:w="980" w:type="dxa"/>
            <w:vAlign w:val="bottom"/>
            <w:tcBorders>
              <w:bottom w:val="single" w:sz="8" w:color="001544"/>
            </w:tcBorders>
          </w:tcPr>
          <w:p>
            <w:pPr>
              <w:spacing w:after="0" w:line="20" w:lineRule="exact"/>
              <w:rPr>
                <w:sz w:val="1"/>
                <w:szCs w:val="1"/>
                <w:color w:val="auto"/>
              </w:rPr>
            </w:pPr>
          </w:p>
        </w:tc>
      </w:tr>
      <w:tr>
        <w:trPr>
          <w:trHeight w:val="165"/>
        </w:trPr>
        <w:tc>
          <w:tcPr>
            <w:tcW w:w="3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Financial Assets</w:t>
            </w:r>
          </w:p>
        </w:tc>
        <w:tc>
          <w:tcPr>
            <w:tcW w:w="13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Financial Liabilities</w:t>
            </w:r>
          </w:p>
        </w:tc>
        <w:tc>
          <w:tcPr>
            <w:tcW w:w="1720" w:type="dxa"/>
            <w:vAlign w:val="bottom"/>
          </w:tcPr>
          <w:p>
            <w:pPr>
              <w:jc w:val="right"/>
              <w:ind w:right="368"/>
              <w:spacing w:after="0"/>
              <w:rPr>
                <w:sz w:val="20"/>
                <w:szCs w:val="20"/>
                <w:color w:val="auto"/>
              </w:rPr>
            </w:pPr>
            <w:r>
              <w:rPr>
                <w:rFonts w:ascii="Arial" w:cs="Arial" w:eastAsia="Arial" w:hAnsi="Arial"/>
                <w:sz w:val="13"/>
                <w:szCs w:val="13"/>
                <w:b w:val="1"/>
                <w:bCs w:val="1"/>
                <w:color w:val="auto"/>
              </w:rPr>
              <w:t>Level 1</w:t>
            </w:r>
          </w:p>
        </w:tc>
        <w:tc>
          <w:tcPr>
            <w:tcW w:w="1300" w:type="dxa"/>
            <w:vAlign w:val="bottom"/>
          </w:tcPr>
          <w:p>
            <w:pPr>
              <w:jc w:val="right"/>
              <w:ind w:right="448"/>
              <w:spacing w:after="0"/>
              <w:rPr>
                <w:sz w:val="20"/>
                <w:szCs w:val="20"/>
                <w:color w:val="auto"/>
              </w:rPr>
            </w:pPr>
            <w:r>
              <w:rPr>
                <w:rFonts w:ascii="Arial" w:cs="Arial" w:eastAsia="Arial" w:hAnsi="Arial"/>
                <w:sz w:val="13"/>
                <w:szCs w:val="13"/>
                <w:b w:val="1"/>
                <w:bCs w:val="1"/>
                <w:color w:val="auto"/>
              </w:rPr>
              <w:t>Level 2</w:t>
            </w:r>
          </w:p>
        </w:tc>
        <w:tc>
          <w:tcPr>
            <w:tcW w:w="1120" w:type="dxa"/>
            <w:vAlign w:val="bottom"/>
          </w:tcPr>
          <w:p>
            <w:pPr>
              <w:jc w:val="right"/>
              <w:ind w:right="267"/>
              <w:spacing w:after="0"/>
              <w:rPr>
                <w:sz w:val="20"/>
                <w:szCs w:val="20"/>
                <w:color w:val="auto"/>
              </w:rPr>
            </w:pPr>
            <w:r>
              <w:rPr>
                <w:rFonts w:ascii="Arial" w:cs="Arial" w:eastAsia="Arial" w:hAnsi="Arial"/>
                <w:sz w:val="13"/>
                <w:szCs w:val="13"/>
                <w:b w:val="1"/>
                <w:bCs w:val="1"/>
                <w:color w:val="auto"/>
              </w:rPr>
              <w:t>Level 3</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6"/>
        </w:trPr>
        <w:tc>
          <w:tcPr>
            <w:tcW w:w="3420" w:type="dxa"/>
            <w:vAlign w:val="bottom"/>
            <w:tcBorders>
              <w:bottom w:val="single" w:sz="8" w:color="001544"/>
            </w:tcBorders>
          </w:tcPr>
          <w:p>
            <w:pPr>
              <w:spacing w:after="0"/>
              <w:rPr>
                <w:sz w:val="15"/>
                <w:szCs w:val="15"/>
                <w:color w:val="auto"/>
              </w:rPr>
            </w:pPr>
          </w:p>
        </w:tc>
        <w:tc>
          <w:tcPr>
            <w:tcW w:w="1340" w:type="dxa"/>
            <w:vAlign w:val="bottom"/>
            <w:tcBorders>
              <w:bottom w:val="single" w:sz="8" w:color="001544"/>
            </w:tcBorders>
          </w:tcPr>
          <w:p>
            <w:pPr>
              <w:jc w:val="right"/>
              <w:spacing w:after="0"/>
              <w:rPr>
                <w:sz w:val="20"/>
                <w:szCs w:val="20"/>
                <w:color w:val="auto"/>
              </w:rPr>
            </w:pPr>
            <w:r>
              <w:rPr>
                <w:rFonts w:ascii="Arial" w:cs="Arial" w:eastAsia="Arial" w:hAnsi="Arial"/>
                <w:sz w:val="13"/>
                <w:szCs w:val="13"/>
                <w:b w:val="1"/>
                <w:bCs w:val="1"/>
                <w:color w:val="auto"/>
              </w:rPr>
              <w:t>$</w:t>
            </w:r>
          </w:p>
        </w:tc>
        <w:tc>
          <w:tcPr>
            <w:tcW w:w="1260" w:type="dxa"/>
            <w:vAlign w:val="bottom"/>
            <w:tcBorders>
              <w:bottom w:val="single" w:sz="8" w:color="001544"/>
            </w:tcBorders>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001544"/>
            </w:tcBorders>
          </w:tcPr>
          <w:p>
            <w:pPr>
              <w:spacing w:after="0"/>
              <w:rPr>
                <w:sz w:val="15"/>
                <w:szCs w:val="15"/>
                <w:color w:val="auto"/>
              </w:rPr>
            </w:pPr>
          </w:p>
        </w:tc>
        <w:tc>
          <w:tcPr>
            <w:tcW w:w="1720" w:type="dxa"/>
            <w:vAlign w:val="bottom"/>
            <w:tcBorders>
              <w:bottom w:val="single" w:sz="8" w:color="001544"/>
            </w:tcBorders>
          </w:tcPr>
          <w:p>
            <w:pPr>
              <w:jc w:val="right"/>
              <w:ind w:right="368"/>
              <w:spacing w:after="0"/>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001544"/>
            </w:tcBorders>
          </w:tcPr>
          <w:p>
            <w:pPr>
              <w:jc w:val="right"/>
              <w:ind w:right="448"/>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001544"/>
            </w:tcBorders>
          </w:tcPr>
          <w:p>
            <w:pPr>
              <w:jc w:val="right"/>
              <w:ind w:right="267"/>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001544"/>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248"/>
        </w:trPr>
        <w:tc>
          <w:tcPr>
            <w:tcW w:w="3420" w:type="dxa"/>
            <w:vAlign w:val="bottom"/>
          </w:tcPr>
          <w:p>
            <w:pPr>
              <w:ind w:left="20"/>
              <w:spacing w:after="0"/>
              <w:rPr>
                <w:sz w:val="20"/>
                <w:szCs w:val="20"/>
                <w:color w:val="auto"/>
              </w:rPr>
            </w:pPr>
            <w:r>
              <w:rPr>
                <w:rFonts w:ascii="Arial" w:cs="Arial" w:eastAsia="Arial" w:hAnsi="Arial"/>
                <w:sz w:val="15"/>
                <w:szCs w:val="15"/>
                <w:b w:val="1"/>
                <w:bCs w:val="1"/>
                <w:color w:val="auto"/>
              </w:rPr>
              <w:t>Financial assets</w:t>
            </w:r>
            <w:r>
              <w:rPr>
                <w:rFonts w:ascii="Arial" w:cs="Arial" w:eastAsia="Arial" w:hAnsi="Arial"/>
                <w:sz w:val="19"/>
                <w:szCs w:val="19"/>
                <w:b w:val="1"/>
                <w:bCs w:val="1"/>
                <w:color w:val="auto"/>
                <w:vertAlign w:val="superscript"/>
              </w:rPr>
              <w:t>1</w:t>
            </w:r>
            <w:r>
              <w:rPr>
                <w:rFonts w:ascii="Arial" w:cs="Arial" w:eastAsia="Arial" w:hAnsi="Arial"/>
                <w:sz w:val="15"/>
                <w:szCs w:val="15"/>
                <w:b w:val="1"/>
                <w:bCs w:val="1"/>
                <w:color w:val="auto"/>
              </w:rPr>
              <w:t>:</w:t>
            </w:r>
          </w:p>
        </w:tc>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5"/>
                <w:szCs w:val="15"/>
                <w:color w:val="auto"/>
              </w:rPr>
              <w:t>Money Markets</w:t>
            </w:r>
            <w:r>
              <w:rPr>
                <w:rFonts w:ascii="Arial" w:cs="Arial" w:eastAsia="Arial" w:hAnsi="Arial"/>
                <w:sz w:val="19"/>
                <w:szCs w:val="19"/>
                <w:color w:val="auto"/>
                <w:vertAlign w:val="superscript"/>
              </w:rPr>
              <w:t>2</w:t>
            </w:r>
          </w:p>
        </w:tc>
        <w:tc>
          <w:tcPr>
            <w:tcW w:w="1340" w:type="dxa"/>
            <w:vAlign w:val="bottom"/>
          </w:tcPr>
          <w:p>
            <w:pPr>
              <w:jc w:val="right"/>
              <w:ind w:right="28"/>
              <w:spacing w:after="0"/>
              <w:rPr>
                <w:sz w:val="20"/>
                <w:szCs w:val="20"/>
                <w:color w:val="auto"/>
              </w:rPr>
            </w:pPr>
            <w:r>
              <w:rPr>
                <w:rFonts w:ascii="Arial" w:cs="Arial" w:eastAsia="Arial" w:hAnsi="Arial"/>
                <w:sz w:val="15"/>
                <w:szCs w:val="15"/>
                <w:b w:val="1"/>
                <w:bCs w:val="1"/>
                <w:color w:val="auto"/>
              </w:rPr>
              <w:t>139,142</w:t>
            </w:r>
          </w:p>
        </w:tc>
        <w:tc>
          <w:tcPr>
            <w:tcW w:w="13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720" w:type="dxa"/>
            <w:vAlign w:val="bottom"/>
          </w:tcPr>
          <w:p>
            <w:pPr>
              <w:jc w:val="right"/>
              <w:ind w:right="408"/>
              <w:spacing w:after="0"/>
              <w:rPr>
                <w:sz w:val="20"/>
                <w:szCs w:val="20"/>
                <w:color w:val="auto"/>
              </w:rPr>
            </w:pPr>
            <w:r>
              <w:rPr>
                <w:rFonts w:ascii="Arial" w:cs="Arial" w:eastAsia="Arial" w:hAnsi="Arial"/>
                <w:sz w:val="15"/>
                <w:szCs w:val="15"/>
                <w:b w:val="1"/>
                <w:bCs w:val="1"/>
                <w:color w:val="auto"/>
              </w:rPr>
              <w:t>139,142</w:t>
            </w:r>
          </w:p>
        </w:tc>
        <w:tc>
          <w:tcPr>
            <w:tcW w:w="1300" w:type="dxa"/>
            <w:vAlign w:val="bottom"/>
          </w:tcPr>
          <w:p>
            <w:pPr>
              <w:ind w:left="580"/>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327"/>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7"/>
              <w:spacing w:after="0"/>
              <w:rPr>
                <w:sz w:val="20"/>
                <w:szCs w:val="20"/>
                <w:color w:val="auto"/>
              </w:rPr>
            </w:pPr>
            <w:r>
              <w:rPr>
                <w:rFonts w:ascii="Arial" w:cs="Arial" w:eastAsia="Arial" w:hAnsi="Arial"/>
                <w:sz w:val="15"/>
                <w:szCs w:val="15"/>
                <w:b w:val="1"/>
                <w:bCs w:val="1"/>
                <w:color w:val="auto"/>
              </w:rPr>
              <w:t>139,142</w:t>
            </w:r>
          </w:p>
        </w:tc>
      </w:tr>
      <w:tr>
        <w:trPr>
          <w:trHeight w:val="210"/>
        </w:trPr>
        <w:tc>
          <w:tcPr>
            <w:tcW w:w="3420" w:type="dxa"/>
            <w:vAlign w:val="bottom"/>
          </w:tcPr>
          <w:p>
            <w:pPr>
              <w:ind w:left="20"/>
              <w:spacing w:after="0"/>
              <w:rPr>
                <w:sz w:val="20"/>
                <w:szCs w:val="20"/>
                <w:color w:val="auto"/>
              </w:rPr>
            </w:pPr>
            <w:r>
              <w:rPr>
                <w:rFonts w:ascii="Arial" w:cs="Arial" w:eastAsia="Arial" w:hAnsi="Arial"/>
                <w:sz w:val="15"/>
                <w:szCs w:val="15"/>
                <w:color w:val="auto"/>
              </w:rPr>
              <w:t>Investment in notes from associates</w:t>
            </w:r>
          </w:p>
        </w:tc>
        <w:tc>
          <w:tcPr>
            <w:tcW w:w="1340" w:type="dxa"/>
            <w:vAlign w:val="bottom"/>
          </w:tcPr>
          <w:p>
            <w:pPr>
              <w:jc w:val="right"/>
              <w:ind w:right="28"/>
              <w:spacing w:after="0"/>
              <w:rPr>
                <w:sz w:val="20"/>
                <w:szCs w:val="20"/>
                <w:color w:val="auto"/>
              </w:rPr>
            </w:pPr>
            <w:r>
              <w:rPr>
                <w:rFonts w:ascii="Arial" w:cs="Arial" w:eastAsia="Arial" w:hAnsi="Arial"/>
                <w:sz w:val="15"/>
                <w:szCs w:val="15"/>
                <w:b w:val="1"/>
                <w:bCs w:val="1"/>
                <w:color w:val="auto"/>
              </w:rPr>
              <w:t>14,005</w:t>
            </w:r>
          </w:p>
        </w:tc>
        <w:tc>
          <w:tcPr>
            <w:tcW w:w="13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720" w:type="dxa"/>
            <w:vAlign w:val="bottom"/>
          </w:tcPr>
          <w:p>
            <w:pPr>
              <w:jc w:val="right"/>
              <w:ind w:right="408"/>
              <w:spacing w:after="0"/>
              <w:rPr>
                <w:sz w:val="20"/>
                <w:szCs w:val="20"/>
                <w:color w:val="auto"/>
              </w:rPr>
            </w:pPr>
            <w:r>
              <w:rPr>
                <w:rFonts w:ascii="Arial" w:cs="Arial" w:eastAsia="Arial" w:hAnsi="Arial"/>
                <w:sz w:val="15"/>
                <w:szCs w:val="15"/>
                <w:b w:val="1"/>
                <w:bCs w:val="1"/>
                <w:color w:val="auto"/>
              </w:rPr>
              <w:t>—</w:t>
            </w:r>
          </w:p>
        </w:tc>
        <w:tc>
          <w:tcPr>
            <w:tcW w:w="1300" w:type="dxa"/>
            <w:vAlign w:val="bottom"/>
          </w:tcPr>
          <w:p>
            <w:pPr>
              <w:ind w:left="580"/>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327"/>
              <w:spacing w:after="0"/>
              <w:rPr>
                <w:sz w:val="20"/>
                <w:szCs w:val="20"/>
                <w:color w:val="auto"/>
              </w:rPr>
            </w:pPr>
            <w:r>
              <w:rPr>
                <w:rFonts w:ascii="Arial" w:cs="Arial" w:eastAsia="Arial" w:hAnsi="Arial"/>
                <w:sz w:val="15"/>
                <w:szCs w:val="15"/>
                <w:b w:val="1"/>
                <w:bCs w:val="1"/>
                <w:color w:val="auto"/>
              </w:rPr>
              <w:t>14,005</w:t>
            </w:r>
          </w:p>
        </w:tc>
        <w:tc>
          <w:tcPr>
            <w:tcW w:w="980" w:type="dxa"/>
            <w:vAlign w:val="bottom"/>
          </w:tcPr>
          <w:p>
            <w:pPr>
              <w:jc w:val="right"/>
              <w:ind w:right="7"/>
              <w:spacing w:after="0"/>
              <w:rPr>
                <w:sz w:val="20"/>
                <w:szCs w:val="20"/>
                <w:color w:val="auto"/>
              </w:rPr>
            </w:pPr>
            <w:r>
              <w:rPr>
                <w:rFonts w:ascii="Arial" w:cs="Arial" w:eastAsia="Arial" w:hAnsi="Arial"/>
                <w:sz w:val="15"/>
                <w:szCs w:val="15"/>
                <w:b w:val="1"/>
                <w:bCs w:val="1"/>
                <w:color w:val="auto"/>
              </w:rPr>
              <w:t>14,005</w:t>
            </w:r>
          </w:p>
        </w:tc>
      </w:tr>
      <w:tr>
        <w:trPr>
          <w:trHeight w:val="268"/>
        </w:trPr>
        <w:tc>
          <w:tcPr>
            <w:tcW w:w="3420" w:type="dxa"/>
            <w:vAlign w:val="bottom"/>
            <w:tcBorders>
              <w:bottom w:val="single" w:sz="8" w:color="001544"/>
            </w:tcBorders>
          </w:tcPr>
          <w:p>
            <w:pPr>
              <w:ind w:left="20"/>
              <w:spacing w:after="0"/>
              <w:rPr>
                <w:sz w:val="20"/>
                <w:szCs w:val="20"/>
                <w:color w:val="auto"/>
              </w:rPr>
            </w:pPr>
            <w:r>
              <w:rPr>
                <w:rFonts w:ascii="Arial" w:cs="Arial" w:eastAsia="Arial" w:hAnsi="Arial"/>
                <w:sz w:val="15"/>
                <w:szCs w:val="15"/>
                <w:color w:val="auto"/>
              </w:rPr>
              <w:t>Investments held at fair value</w:t>
            </w:r>
            <w:r>
              <w:rPr>
                <w:rFonts w:ascii="Arial" w:cs="Arial" w:eastAsia="Arial" w:hAnsi="Arial"/>
                <w:sz w:val="19"/>
                <w:szCs w:val="19"/>
                <w:color w:val="auto"/>
                <w:vertAlign w:val="superscript"/>
              </w:rPr>
              <w:t>3</w:t>
            </w:r>
          </w:p>
        </w:tc>
        <w:tc>
          <w:tcPr>
            <w:tcW w:w="1340" w:type="dxa"/>
            <w:vAlign w:val="bottom"/>
            <w:tcBorders>
              <w:bottom w:val="single" w:sz="8" w:color="001544"/>
            </w:tcBorders>
          </w:tcPr>
          <w:p>
            <w:pPr>
              <w:jc w:val="right"/>
              <w:ind w:right="28"/>
              <w:spacing w:after="0"/>
              <w:rPr>
                <w:sz w:val="20"/>
                <w:szCs w:val="20"/>
                <w:color w:val="auto"/>
              </w:rPr>
            </w:pPr>
            <w:r>
              <w:rPr>
                <w:rFonts w:ascii="Arial" w:cs="Arial" w:eastAsia="Arial" w:hAnsi="Arial"/>
                <w:sz w:val="15"/>
                <w:szCs w:val="15"/>
                <w:b w:val="1"/>
                <w:bCs w:val="1"/>
                <w:color w:val="auto"/>
              </w:rPr>
              <w:t>191,836</w:t>
            </w:r>
          </w:p>
        </w:tc>
        <w:tc>
          <w:tcPr>
            <w:tcW w:w="1340" w:type="dxa"/>
            <w:vAlign w:val="bottom"/>
            <w:tcBorders>
              <w:bottom w:val="single" w:sz="8" w:color="001544"/>
            </w:tcBorders>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720" w:type="dxa"/>
            <w:vAlign w:val="bottom"/>
            <w:tcBorders>
              <w:bottom w:val="single" w:sz="8" w:color="001544"/>
            </w:tcBorders>
          </w:tcPr>
          <w:p>
            <w:pPr>
              <w:jc w:val="right"/>
              <w:ind w:right="408"/>
              <w:spacing w:after="0"/>
              <w:rPr>
                <w:sz w:val="20"/>
                <w:szCs w:val="20"/>
                <w:color w:val="auto"/>
              </w:rPr>
            </w:pPr>
            <w:r>
              <w:rPr>
                <w:rFonts w:ascii="Arial" w:cs="Arial" w:eastAsia="Arial" w:hAnsi="Arial"/>
                <w:sz w:val="15"/>
                <w:szCs w:val="15"/>
                <w:b w:val="1"/>
                <w:bCs w:val="1"/>
                <w:color w:val="auto"/>
              </w:rPr>
              <w:t>2</w:t>
            </w:r>
          </w:p>
        </w:tc>
        <w:tc>
          <w:tcPr>
            <w:tcW w:w="1300" w:type="dxa"/>
            <w:vAlign w:val="bottom"/>
            <w:tcBorders>
              <w:bottom w:val="single" w:sz="8" w:color="001544"/>
            </w:tcBorders>
          </w:tcPr>
          <w:p>
            <w:pPr>
              <w:ind w:left="580"/>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001544"/>
            </w:tcBorders>
          </w:tcPr>
          <w:p>
            <w:pPr>
              <w:jc w:val="right"/>
              <w:ind w:right="327"/>
              <w:spacing w:after="0"/>
              <w:rPr>
                <w:sz w:val="20"/>
                <w:szCs w:val="20"/>
                <w:color w:val="auto"/>
              </w:rPr>
            </w:pPr>
            <w:r>
              <w:rPr>
                <w:rFonts w:ascii="Arial" w:cs="Arial" w:eastAsia="Arial" w:hAnsi="Arial"/>
                <w:sz w:val="15"/>
                <w:szCs w:val="15"/>
                <w:b w:val="1"/>
                <w:bCs w:val="1"/>
                <w:color w:val="auto"/>
              </w:rPr>
              <w:t>191,834</w:t>
            </w:r>
          </w:p>
        </w:tc>
        <w:tc>
          <w:tcPr>
            <w:tcW w:w="980" w:type="dxa"/>
            <w:vAlign w:val="bottom"/>
            <w:tcBorders>
              <w:bottom w:val="single" w:sz="8" w:color="001544"/>
            </w:tcBorders>
          </w:tcPr>
          <w:p>
            <w:pPr>
              <w:jc w:val="right"/>
              <w:ind w:right="7"/>
              <w:spacing w:after="0"/>
              <w:rPr>
                <w:sz w:val="20"/>
                <w:szCs w:val="20"/>
                <w:color w:val="auto"/>
              </w:rPr>
            </w:pPr>
            <w:r>
              <w:rPr>
                <w:rFonts w:ascii="Arial" w:cs="Arial" w:eastAsia="Arial" w:hAnsi="Arial"/>
                <w:sz w:val="15"/>
                <w:szCs w:val="15"/>
                <w:b w:val="1"/>
                <w:bCs w:val="1"/>
                <w:color w:val="auto"/>
              </w:rPr>
              <w:t>191,836</w:t>
            </w:r>
          </w:p>
        </w:tc>
      </w:tr>
      <w:tr>
        <w:trPr>
          <w:trHeight w:val="211"/>
        </w:trPr>
        <w:tc>
          <w:tcPr>
            <w:tcW w:w="3420" w:type="dxa"/>
            <w:vAlign w:val="bottom"/>
          </w:tcPr>
          <w:p>
            <w:pPr>
              <w:ind w:left="20"/>
              <w:spacing w:after="0"/>
              <w:rPr>
                <w:sz w:val="20"/>
                <w:szCs w:val="20"/>
                <w:color w:val="auto"/>
              </w:rPr>
            </w:pPr>
            <w:r>
              <w:rPr>
                <w:rFonts w:ascii="Arial" w:cs="Arial" w:eastAsia="Arial" w:hAnsi="Arial"/>
                <w:sz w:val="15"/>
                <w:szCs w:val="15"/>
                <w:b w:val="1"/>
                <w:bCs w:val="1"/>
                <w:color w:val="auto"/>
              </w:rPr>
              <w:t>Total financial assets</w:t>
            </w:r>
          </w:p>
        </w:tc>
        <w:tc>
          <w:tcPr>
            <w:tcW w:w="1340" w:type="dxa"/>
            <w:vAlign w:val="bottom"/>
          </w:tcPr>
          <w:p>
            <w:pPr>
              <w:jc w:val="right"/>
              <w:ind w:right="28"/>
              <w:spacing w:after="0"/>
              <w:rPr>
                <w:sz w:val="20"/>
                <w:szCs w:val="20"/>
                <w:color w:val="auto"/>
              </w:rPr>
            </w:pPr>
            <w:r>
              <w:rPr>
                <w:rFonts w:ascii="Arial" w:cs="Arial" w:eastAsia="Arial" w:hAnsi="Arial"/>
                <w:sz w:val="15"/>
                <w:szCs w:val="15"/>
                <w:b w:val="1"/>
                <w:bCs w:val="1"/>
                <w:color w:val="auto"/>
              </w:rPr>
              <w:t>344,982</w:t>
            </w:r>
          </w:p>
        </w:tc>
        <w:tc>
          <w:tcPr>
            <w:tcW w:w="13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720" w:type="dxa"/>
            <w:vAlign w:val="bottom"/>
          </w:tcPr>
          <w:p>
            <w:pPr>
              <w:jc w:val="right"/>
              <w:ind w:right="408"/>
              <w:spacing w:after="0"/>
              <w:rPr>
                <w:sz w:val="20"/>
                <w:szCs w:val="20"/>
                <w:color w:val="auto"/>
              </w:rPr>
            </w:pPr>
            <w:r>
              <w:rPr>
                <w:rFonts w:ascii="Arial" w:cs="Arial" w:eastAsia="Arial" w:hAnsi="Arial"/>
                <w:sz w:val="15"/>
                <w:szCs w:val="15"/>
                <w:b w:val="1"/>
                <w:bCs w:val="1"/>
                <w:color w:val="auto"/>
              </w:rPr>
              <w:t>139,144</w:t>
            </w:r>
          </w:p>
        </w:tc>
        <w:tc>
          <w:tcPr>
            <w:tcW w:w="1300" w:type="dxa"/>
            <w:vAlign w:val="bottom"/>
          </w:tcPr>
          <w:p>
            <w:pPr>
              <w:ind w:left="580"/>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327"/>
              <w:spacing w:after="0"/>
              <w:rPr>
                <w:sz w:val="20"/>
                <w:szCs w:val="20"/>
                <w:color w:val="auto"/>
              </w:rPr>
            </w:pPr>
            <w:r>
              <w:rPr>
                <w:rFonts w:ascii="Arial" w:cs="Arial" w:eastAsia="Arial" w:hAnsi="Arial"/>
                <w:sz w:val="15"/>
                <w:szCs w:val="15"/>
                <w:b w:val="1"/>
                <w:bCs w:val="1"/>
                <w:color w:val="auto"/>
              </w:rPr>
              <w:t>205,839</w:t>
            </w:r>
          </w:p>
        </w:tc>
        <w:tc>
          <w:tcPr>
            <w:tcW w:w="980" w:type="dxa"/>
            <w:vAlign w:val="bottom"/>
          </w:tcPr>
          <w:p>
            <w:pPr>
              <w:jc w:val="right"/>
              <w:ind w:right="7"/>
              <w:spacing w:after="0"/>
              <w:rPr>
                <w:sz w:val="20"/>
                <w:szCs w:val="20"/>
                <w:color w:val="auto"/>
              </w:rPr>
            </w:pPr>
            <w:r>
              <w:rPr>
                <w:rFonts w:ascii="Arial" w:cs="Arial" w:eastAsia="Arial" w:hAnsi="Arial"/>
                <w:sz w:val="15"/>
                <w:szCs w:val="15"/>
                <w:b w:val="1"/>
                <w:bCs w:val="1"/>
                <w:color w:val="auto"/>
              </w:rPr>
              <w:t>344,982</w:t>
            </w:r>
          </w:p>
        </w:tc>
      </w:tr>
      <w:tr>
        <w:trPr>
          <w:trHeight w:val="25"/>
        </w:trPr>
        <w:tc>
          <w:tcPr>
            <w:tcW w:w="3420" w:type="dxa"/>
            <w:vAlign w:val="bottom"/>
            <w:tcBorders>
              <w:bottom w:val="single" w:sz="8" w:color="001544"/>
            </w:tcBorders>
          </w:tcPr>
          <w:p>
            <w:pPr>
              <w:spacing w:after="0"/>
              <w:rPr>
                <w:sz w:val="2"/>
                <w:szCs w:val="2"/>
                <w:color w:val="auto"/>
              </w:rPr>
            </w:pPr>
          </w:p>
        </w:tc>
        <w:tc>
          <w:tcPr>
            <w:tcW w:w="1340" w:type="dxa"/>
            <w:vAlign w:val="bottom"/>
            <w:tcBorders>
              <w:bottom w:val="single" w:sz="8" w:color="001544"/>
            </w:tcBorders>
          </w:tcPr>
          <w:p>
            <w:pPr>
              <w:spacing w:after="0"/>
              <w:rPr>
                <w:sz w:val="2"/>
                <w:szCs w:val="2"/>
                <w:color w:val="auto"/>
              </w:rPr>
            </w:pPr>
          </w:p>
        </w:tc>
        <w:tc>
          <w:tcPr>
            <w:tcW w:w="1260" w:type="dxa"/>
            <w:vAlign w:val="bottom"/>
            <w:tcBorders>
              <w:bottom w:val="single" w:sz="8" w:color="001544"/>
            </w:tcBorders>
          </w:tcPr>
          <w:p>
            <w:pPr>
              <w:spacing w:after="0"/>
              <w:rPr>
                <w:sz w:val="2"/>
                <w:szCs w:val="2"/>
                <w:color w:val="auto"/>
              </w:rPr>
            </w:pPr>
          </w:p>
        </w:tc>
        <w:tc>
          <w:tcPr>
            <w:tcW w:w="80" w:type="dxa"/>
            <w:vAlign w:val="bottom"/>
            <w:tcBorders>
              <w:bottom w:val="single" w:sz="8" w:color="001544"/>
            </w:tcBorders>
          </w:tcPr>
          <w:p>
            <w:pPr>
              <w:spacing w:after="0"/>
              <w:rPr>
                <w:sz w:val="2"/>
                <w:szCs w:val="2"/>
                <w:color w:val="auto"/>
              </w:rPr>
            </w:pPr>
          </w:p>
        </w:tc>
        <w:tc>
          <w:tcPr>
            <w:tcW w:w="172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120" w:type="dxa"/>
            <w:vAlign w:val="bottom"/>
            <w:tcBorders>
              <w:bottom w:val="single" w:sz="8" w:color="001544"/>
            </w:tcBorders>
          </w:tcPr>
          <w:p>
            <w:pPr>
              <w:spacing w:after="0"/>
              <w:rPr>
                <w:sz w:val="2"/>
                <w:szCs w:val="2"/>
                <w:color w:val="auto"/>
              </w:rPr>
            </w:pPr>
          </w:p>
        </w:tc>
        <w:tc>
          <w:tcPr>
            <w:tcW w:w="980" w:type="dxa"/>
            <w:vAlign w:val="bottom"/>
            <w:tcBorders>
              <w:bottom w:val="single" w:sz="8" w:color="001544"/>
            </w:tcBorders>
          </w:tcPr>
          <w:p>
            <w:pPr>
              <w:spacing w:after="0"/>
              <w:rPr>
                <w:sz w:val="2"/>
                <w:szCs w:val="2"/>
                <w:color w:val="auto"/>
              </w:rPr>
            </w:pPr>
          </w:p>
        </w:tc>
      </w:tr>
      <w:tr>
        <w:trPr>
          <w:trHeight w:val="211"/>
        </w:trPr>
        <w:tc>
          <w:tcPr>
            <w:tcW w:w="3420" w:type="dxa"/>
            <w:vAlign w:val="bottom"/>
          </w:tcPr>
          <w:p>
            <w:pPr>
              <w:ind w:left="20"/>
              <w:spacing w:after="0"/>
              <w:rPr>
                <w:sz w:val="20"/>
                <w:szCs w:val="20"/>
                <w:color w:val="auto"/>
              </w:rPr>
            </w:pPr>
            <w:r>
              <w:rPr>
                <w:rFonts w:ascii="Arial" w:cs="Arial" w:eastAsia="Arial" w:hAnsi="Arial"/>
                <w:sz w:val="15"/>
                <w:szCs w:val="15"/>
                <w:b w:val="1"/>
                <w:bCs w:val="1"/>
                <w:color w:val="auto"/>
              </w:rPr>
              <w:t>Financial liabilities:</w:t>
            </w: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5"/>
                <w:szCs w:val="15"/>
                <w:color w:val="auto"/>
              </w:rPr>
              <w:t>Subsidiary preferred shares</w:t>
            </w:r>
          </w:p>
        </w:tc>
        <w:tc>
          <w:tcPr>
            <w:tcW w:w="1340" w:type="dxa"/>
            <w:vAlign w:val="bottom"/>
          </w:tcPr>
          <w:p>
            <w:pPr>
              <w:jc w:val="right"/>
              <w:ind w:right="28"/>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ind w:right="7"/>
              <w:spacing w:after="0"/>
              <w:rPr>
                <w:sz w:val="20"/>
                <w:szCs w:val="20"/>
                <w:color w:val="auto"/>
              </w:rPr>
            </w:pPr>
            <w:r>
              <w:rPr>
                <w:rFonts w:ascii="Arial" w:cs="Arial" w:eastAsia="Arial" w:hAnsi="Arial"/>
                <w:sz w:val="15"/>
                <w:szCs w:val="15"/>
                <w:b w:val="1"/>
                <w:bCs w:val="1"/>
                <w:color w:val="auto"/>
              </w:rPr>
              <w:t>169</w:t>
            </w:r>
          </w:p>
        </w:tc>
        <w:tc>
          <w:tcPr>
            <w:tcW w:w="80" w:type="dxa"/>
            <w:vAlign w:val="bottom"/>
          </w:tcPr>
          <w:p>
            <w:pPr>
              <w:spacing w:after="0"/>
              <w:rPr>
                <w:sz w:val="21"/>
                <w:szCs w:val="21"/>
                <w:color w:val="auto"/>
              </w:rPr>
            </w:pPr>
          </w:p>
        </w:tc>
        <w:tc>
          <w:tcPr>
            <w:tcW w:w="1720" w:type="dxa"/>
            <w:vAlign w:val="bottom"/>
          </w:tcPr>
          <w:p>
            <w:pPr>
              <w:jc w:val="right"/>
              <w:ind w:right="408"/>
              <w:spacing w:after="0"/>
              <w:rPr>
                <w:sz w:val="20"/>
                <w:szCs w:val="20"/>
                <w:color w:val="auto"/>
              </w:rPr>
            </w:pPr>
            <w:r>
              <w:rPr>
                <w:rFonts w:ascii="Arial" w:cs="Arial" w:eastAsia="Arial" w:hAnsi="Arial"/>
                <w:sz w:val="15"/>
                <w:szCs w:val="15"/>
                <w:b w:val="1"/>
                <w:bCs w:val="1"/>
                <w:color w:val="auto"/>
              </w:rPr>
              <w:t>—</w:t>
            </w:r>
          </w:p>
        </w:tc>
        <w:tc>
          <w:tcPr>
            <w:tcW w:w="1300" w:type="dxa"/>
            <w:vAlign w:val="bottom"/>
          </w:tcPr>
          <w:p>
            <w:pPr>
              <w:ind w:left="580"/>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327"/>
              <w:spacing w:after="0"/>
              <w:rPr>
                <w:sz w:val="20"/>
                <w:szCs w:val="20"/>
                <w:color w:val="auto"/>
              </w:rPr>
            </w:pPr>
            <w:r>
              <w:rPr>
                <w:rFonts w:ascii="Arial" w:cs="Arial" w:eastAsia="Arial" w:hAnsi="Arial"/>
                <w:sz w:val="15"/>
                <w:szCs w:val="15"/>
                <w:b w:val="1"/>
                <w:bCs w:val="1"/>
                <w:color w:val="auto"/>
              </w:rPr>
              <w:t>169</w:t>
            </w:r>
          </w:p>
        </w:tc>
        <w:tc>
          <w:tcPr>
            <w:tcW w:w="980" w:type="dxa"/>
            <w:vAlign w:val="bottom"/>
          </w:tcPr>
          <w:p>
            <w:pPr>
              <w:jc w:val="right"/>
              <w:ind w:right="7"/>
              <w:spacing w:after="0"/>
              <w:rPr>
                <w:sz w:val="20"/>
                <w:szCs w:val="20"/>
                <w:color w:val="auto"/>
              </w:rPr>
            </w:pPr>
            <w:r>
              <w:rPr>
                <w:rFonts w:ascii="Arial" w:cs="Arial" w:eastAsia="Arial" w:hAnsi="Arial"/>
                <w:sz w:val="15"/>
                <w:szCs w:val="15"/>
                <w:b w:val="1"/>
                <w:bCs w:val="1"/>
                <w:color w:val="auto"/>
              </w:rPr>
              <w:t>169</w:t>
            </w:r>
          </w:p>
        </w:tc>
      </w:tr>
      <w:tr>
        <w:trPr>
          <w:trHeight w:val="243"/>
        </w:trPr>
        <w:tc>
          <w:tcPr>
            <w:tcW w:w="3420" w:type="dxa"/>
            <w:vAlign w:val="bottom"/>
          </w:tcPr>
          <w:p>
            <w:pPr>
              <w:ind w:left="20"/>
              <w:spacing w:after="0"/>
              <w:rPr>
                <w:sz w:val="20"/>
                <w:szCs w:val="20"/>
                <w:color w:val="auto"/>
              </w:rPr>
            </w:pPr>
            <w:r>
              <w:rPr>
                <w:rFonts w:ascii="Arial" w:cs="Arial" w:eastAsia="Arial" w:hAnsi="Arial"/>
                <w:sz w:val="15"/>
                <w:szCs w:val="15"/>
                <w:color w:val="auto"/>
              </w:rPr>
              <w:t>Share-based liability awards</w:t>
            </w:r>
          </w:p>
        </w:tc>
        <w:tc>
          <w:tcPr>
            <w:tcW w:w="1340" w:type="dxa"/>
            <w:vAlign w:val="bottom"/>
          </w:tcPr>
          <w:p>
            <w:pPr>
              <w:jc w:val="right"/>
              <w:ind w:right="28"/>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ind w:right="7"/>
              <w:spacing w:after="0"/>
              <w:rPr>
                <w:sz w:val="20"/>
                <w:szCs w:val="20"/>
                <w:color w:val="auto"/>
              </w:rPr>
            </w:pPr>
            <w:r>
              <w:rPr>
                <w:rFonts w:ascii="Arial" w:cs="Arial" w:eastAsia="Arial" w:hAnsi="Arial"/>
                <w:sz w:val="15"/>
                <w:szCs w:val="15"/>
                <w:b w:val="1"/>
                <w:bCs w:val="1"/>
                <w:color w:val="auto"/>
              </w:rPr>
              <w:t>2,310</w:t>
            </w:r>
          </w:p>
        </w:tc>
        <w:tc>
          <w:tcPr>
            <w:tcW w:w="80" w:type="dxa"/>
            <w:vAlign w:val="bottom"/>
          </w:tcPr>
          <w:p>
            <w:pPr>
              <w:spacing w:after="0"/>
              <w:rPr>
                <w:sz w:val="21"/>
                <w:szCs w:val="21"/>
                <w:color w:val="auto"/>
              </w:rPr>
            </w:pPr>
          </w:p>
        </w:tc>
        <w:tc>
          <w:tcPr>
            <w:tcW w:w="1720" w:type="dxa"/>
            <w:vAlign w:val="bottom"/>
          </w:tcPr>
          <w:p>
            <w:pPr>
              <w:jc w:val="right"/>
              <w:ind w:right="408"/>
              <w:spacing w:after="0"/>
              <w:rPr>
                <w:sz w:val="20"/>
                <w:szCs w:val="20"/>
                <w:color w:val="auto"/>
              </w:rPr>
            </w:pPr>
            <w:r>
              <w:rPr>
                <w:rFonts w:ascii="Arial" w:cs="Arial" w:eastAsia="Arial" w:hAnsi="Arial"/>
                <w:sz w:val="15"/>
                <w:szCs w:val="15"/>
                <w:b w:val="1"/>
                <w:bCs w:val="1"/>
                <w:color w:val="auto"/>
              </w:rPr>
              <w:t>—</w:t>
            </w:r>
          </w:p>
        </w:tc>
        <w:tc>
          <w:tcPr>
            <w:tcW w:w="1300" w:type="dxa"/>
            <w:vAlign w:val="bottom"/>
          </w:tcPr>
          <w:p>
            <w:pPr>
              <w:ind w:left="580"/>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327"/>
              <w:spacing w:after="0"/>
              <w:rPr>
                <w:sz w:val="20"/>
                <w:szCs w:val="20"/>
                <w:color w:val="auto"/>
              </w:rPr>
            </w:pPr>
            <w:r>
              <w:rPr>
                <w:rFonts w:ascii="Arial" w:cs="Arial" w:eastAsia="Arial" w:hAnsi="Arial"/>
                <w:sz w:val="15"/>
                <w:szCs w:val="15"/>
                <w:b w:val="1"/>
                <w:bCs w:val="1"/>
                <w:color w:val="auto"/>
              </w:rPr>
              <w:t>2,310</w:t>
            </w:r>
          </w:p>
        </w:tc>
        <w:tc>
          <w:tcPr>
            <w:tcW w:w="980" w:type="dxa"/>
            <w:vAlign w:val="bottom"/>
          </w:tcPr>
          <w:p>
            <w:pPr>
              <w:jc w:val="right"/>
              <w:ind w:right="7"/>
              <w:spacing w:after="0"/>
              <w:rPr>
                <w:sz w:val="20"/>
                <w:szCs w:val="20"/>
                <w:color w:val="auto"/>
              </w:rPr>
            </w:pPr>
            <w:r>
              <w:rPr>
                <w:rFonts w:ascii="Arial" w:cs="Arial" w:eastAsia="Arial" w:hAnsi="Arial"/>
                <w:sz w:val="15"/>
                <w:szCs w:val="15"/>
                <w:b w:val="1"/>
                <w:bCs w:val="1"/>
                <w:color w:val="auto"/>
              </w:rPr>
              <w:t>2,310</w:t>
            </w:r>
          </w:p>
        </w:tc>
      </w:tr>
      <w:tr>
        <w:trPr>
          <w:trHeight w:val="25"/>
        </w:trPr>
        <w:tc>
          <w:tcPr>
            <w:tcW w:w="3420" w:type="dxa"/>
            <w:vAlign w:val="bottom"/>
            <w:tcBorders>
              <w:bottom w:val="single" w:sz="8" w:color="001544"/>
            </w:tcBorders>
          </w:tcPr>
          <w:p>
            <w:pPr>
              <w:spacing w:after="0"/>
              <w:rPr>
                <w:sz w:val="2"/>
                <w:szCs w:val="2"/>
                <w:color w:val="auto"/>
              </w:rPr>
            </w:pPr>
          </w:p>
        </w:tc>
        <w:tc>
          <w:tcPr>
            <w:tcW w:w="1340" w:type="dxa"/>
            <w:vAlign w:val="bottom"/>
            <w:tcBorders>
              <w:bottom w:val="single" w:sz="8" w:color="001544"/>
            </w:tcBorders>
          </w:tcPr>
          <w:p>
            <w:pPr>
              <w:spacing w:after="0"/>
              <w:rPr>
                <w:sz w:val="2"/>
                <w:szCs w:val="2"/>
                <w:color w:val="auto"/>
              </w:rPr>
            </w:pPr>
          </w:p>
        </w:tc>
        <w:tc>
          <w:tcPr>
            <w:tcW w:w="1260" w:type="dxa"/>
            <w:vAlign w:val="bottom"/>
            <w:tcBorders>
              <w:bottom w:val="single" w:sz="8" w:color="001544"/>
            </w:tcBorders>
          </w:tcPr>
          <w:p>
            <w:pPr>
              <w:spacing w:after="0"/>
              <w:rPr>
                <w:sz w:val="2"/>
                <w:szCs w:val="2"/>
                <w:color w:val="auto"/>
              </w:rPr>
            </w:pPr>
          </w:p>
        </w:tc>
        <w:tc>
          <w:tcPr>
            <w:tcW w:w="80" w:type="dxa"/>
            <w:vAlign w:val="bottom"/>
            <w:tcBorders>
              <w:bottom w:val="single" w:sz="8" w:color="001544"/>
            </w:tcBorders>
          </w:tcPr>
          <w:p>
            <w:pPr>
              <w:spacing w:after="0"/>
              <w:rPr>
                <w:sz w:val="2"/>
                <w:szCs w:val="2"/>
                <w:color w:val="auto"/>
              </w:rPr>
            </w:pPr>
          </w:p>
        </w:tc>
        <w:tc>
          <w:tcPr>
            <w:tcW w:w="172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120" w:type="dxa"/>
            <w:vAlign w:val="bottom"/>
            <w:tcBorders>
              <w:bottom w:val="single" w:sz="8" w:color="001544"/>
            </w:tcBorders>
          </w:tcPr>
          <w:p>
            <w:pPr>
              <w:spacing w:after="0"/>
              <w:rPr>
                <w:sz w:val="2"/>
                <w:szCs w:val="2"/>
                <w:color w:val="auto"/>
              </w:rPr>
            </w:pPr>
          </w:p>
        </w:tc>
        <w:tc>
          <w:tcPr>
            <w:tcW w:w="980" w:type="dxa"/>
            <w:vAlign w:val="bottom"/>
            <w:tcBorders>
              <w:bottom w:val="single" w:sz="8" w:color="001544"/>
            </w:tcBorders>
          </w:tcPr>
          <w:p>
            <w:pPr>
              <w:spacing w:after="0"/>
              <w:rPr>
                <w:sz w:val="2"/>
                <w:szCs w:val="2"/>
                <w:color w:val="auto"/>
              </w:rPr>
            </w:pPr>
          </w:p>
        </w:tc>
      </w:tr>
      <w:tr>
        <w:trPr>
          <w:trHeight w:val="211"/>
        </w:trPr>
        <w:tc>
          <w:tcPr>
            <w:tcW w:w="3420" w:type="dxa"/>
            <w:vAlign w:val="bottom"/>
          </w:tcPr>
          <w:p>
            <w:pPr>
              <w:ind w:left="20"/>
              <w:spacing w:after="0"/>
              <w:rPr>
                <w:sz w:val="20"/>
                <w:szCs w:val="20"/>
                <w:color w:val="auto"/>
              </w:rPr>
            </w:pPr>
            <w:r>
              <w:rPr>
                <w:rFonts w:ascii="Arial" w:cs="Arial" w:eastAsia="Arial" w:hAnsi="Arial"/>
                <w:sz w:val="15"/>
                <w:szCs w:val="15"/>
                <w:b w:val="1"/>
                <w:bCs w:val="1"/>
                <w:color w:val="auto"/>
              </w:rPr>
              <w:t>Total financial liabilities</w:t>
            </w:r>
          </w:p>
        </w:tc>
        <w:tc>
          <w:tcPr>
            <w:tcW w:w="1340" w:type="dxa"/>
            <w:vAlign w:val="bottom"/>
          </w:tcPr>
          <w:p>
            <w:pPr>
              <w:jc w:val="right"/>
              <w:ind w:right="28"/>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ind w:right="7"/>
              <w:spacing w:after="0"/>
              <w:rPr>
                <w:sz w:val="20"/>
                <w:szCs w:val="20"/>
                <w:color w:val="auto"/>
              </w:rPr>
            </w:pPr>
            <w:r>
              <w:rPr>
                <w:rFonts w:ascii="Arial" w:cs="Arial" w:eastAsia="Arial" w:hAnsi="Arial"/>
                <w:sz w:val="15"/>
                <w:szCs w:val="15"/>
                <w:b w:val="1"/>
                <w:bCs w:val="1"/>
                <w:color w:val="auto"/>
              </w:rPr>
              <w:t>2,479</w:t>
            </w:r>
          </w:p>
        </w:tc>
        <w:tc>
          <w:tcPr>
            <w:tcW w:w="80" w:type="dxa"/>
            <w:vAlign w:val="bottom"/>
          </w:tcPr>
          <w:p>
            <w:pPr>
              <w:spacing w:after="0"/>
              <w:rPr>
                <w:sz w:val="18"/>
                <w:szCs w:val="18"/>
                <w:color w:val="auto"/>
              </w:rPr>
            </w:pPr>
          </w:p>
        </w:tc>
        <w:tc>
          <w:tcPr>
            <w:tcW w:w="1720" w:type="dxa"/>
            <w:vAlign w:val="bottom"/>
          </w:tcPr>
          <w:p>
            <w:pPr>
              <w:jc w:val="right"/>
              <w:ind w:right="408"/>
              <w:spacing w:after="0"/>
              <w:rPr>
                <w:sz w:val="20"/>
                <w:szCs w:val="20"/>
                <w:color w:val="auto"/>
              </w:rPr>
            </w:pPr>
            <w:r>
              <w:rPr>
                <w:rFonts w:ascii="Arial" w:cs="Arial" w:eastAsia="Arial" w:hAnsi="Arial"/>
                <w:sz w:val="15"/>
                <w:szCs w:val="15"/>
                <w:b w:val="1"/>
                <w:bCs w:val="1"/>
                <w:color w:val="auto"/>
              </w:rPr>
              <w:t>—</w:t>
            </w:r>
          </w:p>
        </w:tc>
        <w:tc>
          <w:tcPr>
            <w:tcW w:w="1300" w:type="dxa"/>
            <w:vAlign w:val="bottom"/>
          </w:tcPr>
          <w:p>
            <w:pPr>
              <w:ind w:left="580"/>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327"/>
              <w:spacing w:after="0"/>
              <w:rPr>
                <w:sz w:val="20"/>
                <w:szCs w:val="20"/>
                <w:color w:val="auto"/>
              </w:rPr>
            </w:pPr>
            <w:r>
              <w:rPr>
                <w:rFonts w:ascii="Arial" w:cs="Arial" w:eastAsia="Arial" w:hAnsi="Arial"/>
                <w:sz w:val="15"/>
                <w:szCs w:val="15"/>
                <w:b w:val="1"/>
                <w:bCs w:val="1"/>
                <w:color w:val="auto"/>
              </w:rPr>
              <w:t>2,479</w:t>
            </w:r>
          </w:p>
        </w:tc>
        <w:tc>
          <w:tcPr>
            <w:tcW w:w="980" w:type="dxa"/>
            <w:vAlign w:val="bottom"/>
          </w:tcPr>
          <w:p>
            <w:pPr>
              <w:jc w:val="right"/>
              <w:ind w:right="7"/>
              <w:spacing w:after="0"/>
              <w:rPr>
                <w:sz w:val="20"/>
                <w:szCs w:val="20"/>
                <w:color w:val="auto"/>
              </w:rPr>
            </w:pPr>
            <w:r>
              <w:rPr>
                <w:rFonts w:ascii="Arial" w:cs="Arial" w:eastAsia="Arial" w:hAnsi="Arial"/>
                <w:sz w:val="15"/>
                <w:szCs w:val="15"/>
                <w:b w:val="1"/>
                <w:bCs w:val="1"/>
                <w:color w:val="auto"/>
              </w:rPr>
              <w:t>2,479</w:t>
            </w:r>
          </w:p>
        </w:tc>
      </w:tr>
      <w:tr>
        <w:trPr>
          <w:trHeight w:val="25"/>
        </w:trPr>
        <w:tc>
          <w:tcPr>
            <w:tcW w:w="3420" w:type="dxa"/>
            <w:vAlign w:val="bottom"/>
            <w:tcBorders>
              <w:bottom w:val="single" w:sz="8" w:color="001544"/>
            </w:tcBorders>
          </w:tcPr>
          <w:p>
            <w:pPr>
              <w:spacing w:after="0"/>
              <w:rPr>
                <w:sz w:val="2"/>
                <w:szCs w:val="2"/>
                <w:color w:val="auto"/>
              </w:rPr>
            </w:pPr>
          </w:p>
        </w:tc>
        <w:tc>
          <w:tcPr>
            <w:tcW w:w="1340" w:type="dxa"/>
            <w:vAlign w:val="bottom"/>
            <w:tcBorders>
              <w:bottom w:val="single" w:sz="8" w:color="001544"/>
            </w:tcBorders>
          </w:tcPr>
          <w:p>
            <w:pPr>
              <w:spacing w:after="0"/>
              <w:rPr>
                <w:sz w:val="2"/>
                <w:szCs w:val="2"/>
                <w:color w:val="auto"/>
              </w:rPr>
            </w:pPr>
          </w:p>
        </w:tc>
        <w:tc>
          <w:tcPr>
            <w:tcW w:w="1260" w:type="dxa"/>
            <w:vAlign w:val="bottom"/>
            <w:tcBorders>
              <w:bottom w:val="single" w:sz="8" w:color="001544"/>
            </w:tcBorders>
          </w:tcPr>
          <w:p>
            <w:pPr>
              <w:spacing w:after="0"/>
              <w:rPr>
                <w:sz w:val="2"/>
                <w:szCs w:val="2"/>
                <w:color w:val="auto"/>
              </w:rPr>
            </w:pPr>
          </w:p>
        </w:tc>
        <w:tc>
          <w:tcPr>
            <w:tcW w:w="80" w:type="dxa"/>
            <w:vAlign w:val="bottom"/>
            <w:tcBorders>
              <w:bottom w:val="single" w:sz="8" w:color="001544"/>
            </w:tcBorders>
          </w:tcPr>
          <w:p>
            <w:pPr>
              <w:spacing w:after="0"/>
              <w:rPr>
                <w:sz w:val="2"/>
                <w:szCs w:val="2"/>
                <w:color w:val="auto"/>
              </w:rPr>
            </w:pPr>
          </w:p>
        </w:tc>
        <w:tc>
          <w:tcPr>
            <w:tcW w:w="172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120" w:type="dxa"/>
            <w:vAlign w:val="bottom"/>
            <w:tcBorders>
              <w:bottom w:val="single" w:sz="8" w:color="001544"/>
            </w:tcBorders>
          </w:tcPr>
          <w:p>
            <w:pPr>
              <w:spacing w:after="0"/>
              <w:rPr>
                <w:sz w:val="2"/>
                <w:szCs w:val="2"/>
                <w:color w:val="auto"/>
              </w:rPr>
            </w:pPr>
          </w:p>
        </w:tc>
        <w:tc>
          <w:tcPr>
            <w:tcW w:w="980" w:type="dxa"/>
            <w:vAlign w:val="bottom"/>
            <w:tcBorders>
              <w:bottom w:val="single" w:sz="8" w:color="001544"/>
            </w:tcBorders>
          </w:tcPr>
          <w:p>
            <w:pPr>
              <w:spacing w:after="0"/>
              <w:rPr>
                <w:sz w:val="2"/>
                <w:szCs w:val="2"/>
                <w:color w:val="auto"/>
              </w:rPr>
            </w:pPr>
          </w:p>
        </w:tc>
      </w:tr>
    </w:tbl>
    <w:p>
      <w:pPr>
        <w:spacing w:after="0" w:line="176" w:lineRule="exact"/>
        <w:rPr>
          <w:sz w:val="20"/>
          <w:szCs w:val="20"/>
          <w:color w:val="auto"/>
        </w:rPr>
      </w:pPr>
    </w:p>
    <w:p>
      <w:pPr>
        <w:ind w:left="220" w:right="440" w:hanging="212"/>
        <w:spacing w:after="0" w:line="281" w:lineRule="auto"/>
        <w:tabs>
          <w:tab w:leader="none" w:pos="226" w:val="left"/>
        </w:tabs>
        <w:numPr>
          <w:ilvl w:val="0"/>
          <w:numId w:val="29"/>
        </w:numPr>
        <w:rPr>
          <w:rFonts w:ascii="Arial" w:cs="Arial" w:eastAsia="Arial" w:hAnsi="Arial"/>
          <w:sz w:val="11"/>
          <w:szCs w:val="11"/>
          <w:color w:val="183964"/>
        </w:rPr>
      </w:pPr>
      <w:r>
        <w:rPr>
          <w:rFonts w:ascii="Arial" w:cs="Arial" w:eastAsia="Arial" w:hAnsi="Arial"/>
          <w:sz w:val="11"/>
          <w:szCs w:val="11"/>
          <w:color w:val="183964"/>
        </w:rPr>
        <w:t>Excluded from the table above are short-term investments of $59,303 and cash equivalent of $89,431 that are classified at amortized cost as of June 30, 2025. The cost of these short-term investments and cash equivalent approximates current fair value.</w:t>
      </w:r>
    </w:p>
    <w:p>
      <w:pPr>
        <w:ind w:left="220" w:hanging="212"/>
        <w:spacing w:after="0"/>
        <w:tabs>
          <w:tab w:leader="none" w:pos="220" w:val="left"/>
        </w:tabs>
        <w:numPr>
          <w:ilvl w:val="0"/>
          <w:numId w:val="29"/>
        </w:numPr>
        <w:rPr>
          <w:rFonts w:ascii="Arial" w:cs="Arial" w:eastAsia="Arial" w:hAnsi="Arial"/>
          <w:sz w:val="11"/>
          <w:szCs w:val="11"/>
          <w:color w:val="183964"/>
        </w:rPr>
      </w:pPr>
      <w:r>
        <w:rPr>
          <w:rFonts w:ascii="Arial" w:cs="Arial" w:eastAsia="Arial" w:hAnsi="Arial"/>
          <w:sz w:val="11"/>
          <w:szCs w:val="11"/>
          <w:color w:val="183964"/>
        </w:rPr>
        <w:t>Included within cash and cash equivalents.</w:t>
      </w:r>
    </w:p>
    <w:p>
      <w:pPr>
        <w:spacing w:after="0" w:line="35" w:lineRule="exact"/>
        <w:rPr>
          <w:rFonts w:ascii="Arial" w:cs="Arial" w:eastAsia="Arial" w:hAnsi="Arial"/>
          <w:sz w:val="11"/>
          <w:szCs w:val="11"/>
          <w:color w:val="183964"/>
        </w:rPr>
      </w:pPr>
    </w:p>
    <w:p>
      <w:pPr>
        <w:ind w:left="220" w:hanging="212"/>
        <w:spacing w:after="0"/>
        <w:tabs>
          <w:tab w:leader="none" w:pos="220" w:val="left"/>
        </w:tabs>
        <w:numPr>
          <w:ilvl w:val="0"/>
          <w:numId w:val="29"/>
        </w:numPr>
        <w:rPr>
          <w:rFonts w:ascii="Arial" w:cs="Arial" w:eastAsia="Arial" w:hAnsi="Arial"/>
          <w:sz w:val="11"/>
          <w:szCs w:val="11"/>
          <w:color w:val="183964"/>
        </w:rPr>
      </w:pPr>
      <w:r>
        <w:rPr>
          <w:rFonts w:ascii="Arial" w:cs="Arial" w:eastAsia="Arial" w:hAnsi="Arial"/>
          <w:sz w:val="11"/>
          <w:szCs w:val="11"/>
          <w:color w:val="183964"/>
        </w:rPr>
        <w:t>The carrying amount of $191,836 reflects the fair value of $198,034 as of June 30, 2025, net of $6,198 in equity method loss allocated to the long-term interest.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jc w:val="right"/>
              <w:ind w:right="308"/>
              <w:spacing w:after="0"/>
              <w:rPr>
                <w:sz w:val="20"/>
                <w:szCs w:val="20"/>
                <w:color w:val="auto"/>
              </w:rPr>
            </w:pPr>
            <w:r>
              <w:rPr>
                <w:rFonts w:ascii="Arial" w:cs="Arial" w:eastAsia="Arial" w:hAnsi="Arial"/>
                <w:sz w:val="13"/>
                <w:szCs w:val="13"/>
                <w:color w:val="183964"/>
              </w:rPr>
              <w:t>2024</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8"/>
        </w:trPr>
        <w:tc>
          <w:tcPr>
            <w:tcW w:w="3340" w:type="dxa"/>
            <w:vAlign w:val="bottom"/>
          </w:tcPr>
          <w:p>
            <w:pPr>
              <w:spacing w:after="0"/>
              <w:rPr>
                <w:sz w:val="2"/>
                <w:szCs w:val="2"/>
                <w:color w:val="auto"/>
              </w:rPr>
            </w:pPr>
          </w:p>
        </w:tc>
        <w:tc>
          <w:tcPr>
            <w:tcW w:w="2680" w:type="dxa"/>
            <w:vAlign w:val="bottom"/>
            <w:tcBorders>
              <w:bottom w:val="single" w:sz="8" w:color="001544"/>
            </w:tcBorders>
            <w:gridSpan w:val="3"/>
          </w:tcPr>
          <w:p>
            <w:pPr>
              <w:spacing w:after="0"/>
              <w:rPr>
                <w:sz w:val="2"/>
                <w:szCs w:val="2"/>
                <w:color w:val="auto"/>
              </w:rPr>
            </w:pPr>
          </w:p>
        </w:tc>
        <w:tc>
          <w:tcPr>
            <w:tcW w:w="178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140" w:type="dxa"/>
            <w:vAlign w:val="bottom"/>
            <w:tcBorders>
              <w:bottom w:val="single" w:sz="8" w:color="001544"/>
            </w:tcBorders>
          </w:tcPr>
          <w:p>
            <w:pPr>
              <w:spacing w:after="0"/>
              <w:rPr>
                <w:sz w:val="2"/>
                <w:szCs w:val="2"/>
                <w:color w:val="auto"/>
              </w:rPr>
            </w:pPr>
          </w:p>
        </w:tc>
        <w:tc>
          <w:tcPr>
            <w:tcW w:w="980" w:type="dxa"/>
            <w:vAlign w:val="bottom"/>
            <w:tcBorders>
              <w:bottom w:val="single" w:sz="8" w:color="001544"/>
            </w:tcBorders>
          </w:tcPr>
          <w:p>
            <w:pPr>
              <w:spacing w:after="0"/>
              <w:rPr>
                <w:sz w:val="2"/>
                <w:szCs w:val="2"/>
                <w:color w:val="auto"/>
              </w:rPr>
            </w:pPr>
          </w:p>
        </w:tc>
      </w:tr>
      <w:tr>
        <w:trPr>
          <w:trHeight w:val="371"/>
        </w:trPr>
        <w:tc>
          <w:tcPr>
            <w:tcW w:w="3340" w:type="dxa"/>
            <w:vAlign w:val="bottom"/>
          </w:tcPr>
          <w:p>
            <w:pPr>
              <w:spacing w:after="0"/>
              <w:rPr>
                <w:sz w:val="24"/>
                <w:szCs w:val="24"/>
                <w:color w:val="auto"/>
              </w:rPr>
            </w:pPr>
          </w:p>
        </w:tc>
        <w:tc>
          <w:tcPr>
            <w:tcW w:w="2680" w:type="dxa"/>
            <w:vAlign w:val="bottom"/>
            <w:gridSpan w:val="3"/>
          </w:tcPr>
          <w:p>
            <w:pPr>
              <w:ind w:left="820"/>
              <w:spacing w:after="0"/>
              <w:rPr>
                <w:sz w:val="20"/>
                <w:szCs w:val="20"/>
                <w:color w:val="auto"/>
              </w:rPr>
            </w:pPr>
            <w:r>
              <w:rPr>
                <w:rFonts w:ascii="Arial" w:cs="Arial" w:eastAsia="Arial" w:hAnsi="Arial"/>
                <w:sz w:val="13"/>
                <w:szCs w:val="13"/>
                <w:color w:val="183964"/>
              </w:rPr>
              <w:t>Carrying Amount</w:t>
            </w:r>
          </w:p>
        </w:tc>
        <w:tc>
          <w:tcPr>
            <w:tcW w:w="1780" w:type="dxa"/>
            <w:vAlign w:val="bottom"/>
          </w:tcPr>
          <w:p>
            <w:pPr>
              <w:spacing w:after="0"/>
              <w:rPr>
                <w:sz w:val="24"/>
                <w:szCs w:val="24"/>
                <w:color w:val="auto"/>
              </w:rPr>
            </w:pPr>
          </w:p>
        </w:tc>
        <w:tc>
          <w:tcPr>
            <w:tcW w:w="1300" w:type="dxa"/>
            <w:vAlign w:val="bottom"/>
          </w:tcPr>
          <w:p>
            <w:pPr>
              <w:ind w:left="540"/>
              <w:spacing w:after="0"/>
              <w:rPr>
                <w:sz w:val="20"/>
                <w:szCs w:val="20"/>
                <w:color w:val="auto"/>
              </w:rPr>
            </w:pPr>
            <w:r>
              <w:rPr>
                <w:rFonts w:ascii="Arial" w:cs="Arial" w:eastAsia="Arial" w:hAnsi="Arial"/>
                <w:sz w:val="13"/>
                <w:szCs w:val="13"/>
                <w:color w:val="183964"/>
              </w:rPr>
              <w:t>Fair Value</w:t>
            </w: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
        </w:trPr>
        <w:tc>
          <w:tcPr>
            <w:tcW w:w="3340" w:type="dxa"/>
            <w:vAlign w:val="bottom"/>
          </w:tcPr>
          <w:p>
            <w:pPr>
              <w:spacing w:after="0"/>
              <w:rPr>
                <w:sz w:val="2"/>
                <w:szCs w:val="2"/>
                <w:color w:val="auto"/>
              </w:rPr>
            </w:pPr>
          </w:p>
        </w:tc>
        <w:tc>
          <w:tcPr>
            <w:tcW w:w="1400" w:type="dxa"/>
            <w:vAlign w:val="bottom"/>
            <w:tcBorders>
              <w:bottom w:val="single" w:sz="8" w:color="001544"/>
            </w:tcBorders>
          </w:tcPr>
          <w:p>
            <w:pPr>
              <w:spacing w:after="0"/>
              <w:rPr>
                <w:sz w:val="2"/>
                <w:szCs w:val="2"/>
                <w:color w:val="auto"/>
              </w:rPr>
            </w:pPr>
          </w:p>
        </w:tc>
        <w:tc>
          <w:tcPr>
            <w:tcW w:w="1200" w:type="dxa"/>
            <w:vAlign w:val="bottom"/>
            <w:tcBorders>
              <w:bottom w:val="single" w:sz="8" w:color="001544"/>
            </w:tcBorders>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140" w:type="dxa"/>
            <w:vAlign w:val="bottom"/>
            <w:tcBorders>
              <w:bottom w:val="single" w:sz="8" w:color="001544"/>
            </w:tcBorders>
          </w:tcPr>
          <w:p>
            <w:pPr>
              <w:spacing w:after="0"/>
              <w:rPr>
                <w:sz w:val="2"/>
                <w:szCs w:val="2"/>
                <w:color w:val="auto"/>
              </w:rPr>
            </w:pPr>
          </w:p>
        </w:tc>
        <w:tc>
          <w:tcPr>
            <w:tcW w:w="980" w:type="dxa"/>
            <w:vAlign w:val="bottom"/>
            <w:tcBorders>
              <w:bottom w:val="single" w:sz="8" w:color="001544"/>
            </w:tcBorders>
          </w:tcPr>
          <w:p>
            <w:pPr>
              <w:spacing w:after="0"/>
              <w:rPr>
                <w:sz w:val="2"/>
                <w:szCs w:val="2"/>
                <w:color w:val="auto"/>
              </w:rPr>
            </w:pPr>
          </w:p>
        </w:tc>
      </w:tr>
      <w:tr>
        <w:trPr>
          <w:trHeight w:val="151"/>
        </w:trPr>
        <w:tc>
          <w:tcPr>
            <w:tcW w:w="3340" w:type="dxa"/>
            <w:vAlign w:val="bottom"/>
          </w:tcPr>
          <w:p>
            <w:pPr>
              <w:spacing w:after="0"/>
              <w:rPr>
                <w:sz w:val="13"/>
                <w:szCs w:val="13"/>
                <w:color w:val="auto"/>
              </w:rPr>
            </w:pPr>
          </w:p>
        </w:tc>
        <w:tc>
          <w:tcPr>
            <w:tcW w:w="1400" w:type="dxa"/>
            <w:vAlign w:val="bottom"/>
          </w:tcPr>
          <w:p>
            <w:pPr>
              <w:jc w:val="right"/>
              <w:ind w:right="48"/>
              <w:spacing w:after="0"/>
              <w:rPr>
                <w:sz w:val="20"/>
                <w:szCs w:val="20"/>
                <w:color w:val="auto"/>
              </w:rPr>
            </w:pPr>
            <w:r>
              <w:rPr>
                <w:rFonts w:ascii="Arial" w:cs="Arial" w:eastAsia="Arial" w:hAnsi="Arial"/>
                <w:sz w:val="13"/>
                <w:szCs w:val="13"/>
                <w:color w:val="183964"/>
              </w:rPr>
              <w:t>Financial Assets</w:t>
            </w:r>
          </w:p>
        </w:tc>
        <w:tc>
          <w:tcPr>
            <w:tcW w:w="1280" w:type="dxa"/>
            <w:vAlign w:val="bottom"/>
            <w:gridSpan w:val="2"/>
          </w:tcPr>
          <w:p>
            <w:pPr>
              <w:jc w:val="right"/>
              <w:ind w:right="100"/>
              <w:spacing w:after="0"/>
              <w:rPr>
                <w:sz w:val="20"/>
                <w:szCs w:val="20"/>
                <w:color w:val="auto"/>
              </w:rPr>
            </w:pPr>
            <w:r>
              <w:rPr>
                <w:rFonts w:ascii="Arial" w:cs="Arial" w:eastAsia="Arial" w:hAnsi="Arial"/>
                <w:sz w:val="13"/>
                <w:szCs w:val="13"/>
                <w:color w:val="183964"/>
              </w:rPr>
              <w:t>Financial Liabilities</w:t>
            </w:r>
          </w:p>
        </w:tc>
        <w:tc>
          <w:tcPr>
            <w:tcW w:w="1780" w:type="dxa"/>
            <w:vAlign w:val="bottom"/>
          </w:tcPr>
          <w:p>
            <w:pPr>
              <w:jc w:val="right"/>
              <w:ind w:right="428"/>
              <w:spacing w:after="0"/>
              <w:rPr>
                <w:sz w:val="20"/>
                <w:szCs w:val="20"/>
                <w:color w:val="auto"/>
              </w:rPr>
            </w:pPr>
            <w:r>
              <w:rPr>
                <w:rFonts w:ascii="Arial" w:cs="Arial" w:eastAsia="Arial" w:hAnsi="Arial"/>
                <w:sz w:val="13"/>
                <w:szCs w:val="13"/>
                <w:color w:val="183964"/>
              </w:rPr>
              <w:t>Level 1</w:t>
            </w:r>
          </w:p>
        </w:tc>
        <w:tc>
          <w:tcPr>
            <w:tcW w:w="1300" w:type="dxa"/>
            <w:vAlign w:val="bottom"/>
          </w:tcPr>
          <w:p>
            <w:pPr>
              <w:jc w:val="right"/>
              <w:ind w:right="428"/>
              <w:spacing w:after="0"/>
              <w:rPr>
                <w:sz w:val="20"/>
                <w:szCs w:val="20"/>
                <w:color w:val="auto"/>
              </w:rPr>
            </w:pPr>
            <w:r>
              <w:rPr>
                <w:rFonts w:ascii="Arial" w:cs="Arial" w:eastAsia="Arial" w:hAnsi="Arial"/>
                <w:sz w:val="13"/>
                <w:szCs w:val="13"/>
                <w:color w:val="183964"/>
              </w:rPr>
              <w:t>Level 2</w:t>
            </w:r>
          </w:p>
        </w:tc>
        <w:tc>
          <w:tcPr>
            <w:tcW w:w="1140" w:type="dxa"/>
            <w:vAlign w:val="bottom"/>
          </w:tcPr>
          <w:p>
            <w:pPr>
              <w:jc w:val="right"/>
              <w:ind w:right="267"/>
              <w:spacing w:after="0"/>
              <w:rPr>
                <w:sz w:val="20"/>
                <w:szCs w:val="20"/>
                <w:color w:val="auto"/>
              </w:rPr>
            </w:pPr>
            <w:r>
              <w:rPr>
                <w:rFonts w:ascii="Arial" w:cs="Arial" w:eastAsia="Arial" w:hAnsi="Arial"/>
                <w:sz w:val="13"/>
                <w:szCs w:val="13"/>
                <w:color w:val="183964"/>
              </w:rPr>
              <w:t>Level 3</w:t>
            </w:r>
          </w:p>
        </w:tc>
        <w:tc>
          <w:tcPr>
            <w:tcW w:w="980" w:type="dxa"/>
            <w:vAlign w:val="bottom"/>
          </w:tcPr>
          <w:p>
            <w:pPr>
              <w:jc w:val="right"/>
              <w:spacing w:after="0"/>
              <w:rPr>
                <w:sz w:val="20"/>
                <w:szCs w:val="20"/>
                <w:color w:val="auto"/>
              </w:rPr>
            </w:pPr>
            <w:r>
              <w:rPr>
                <w:rFonts w:ascii="Arial" w:cs="Arial" w:eastAsia="Arial" w:hAnsi="Arial"/>
                <w:sz w:val="13"/>
                <w:szCs w:val="13"/>
                <w:color w:val="183964"/>
              </w:rPr>
              <w:t>Total</w:t>
            </w:r>
          </w:p>
        </w:tc>
      </w:tr>
      <w:tr>
        <w:trPr>
          <w:trHeight w:val="166"/>
        </w:trPr>
        <w:tc>
          <w:tcPr>
            <w:tcW w:w="3340" w:type="dxa"/>
            <w:vAlign w:val="bottom"/>
          </w:tcPr>
          <w:p>
            <w:pPr>
              <w:spacing w:after="0"/>
              <w:rPr>
                <w:sz w:val="14"/>
                <w:szCs w:val="14"/>
                <w:color w:val="auto"/>
              </w:rPr>
            </w:pPr>
          </w:p>
        </w:tc>
        <w:tc>
          <w:tcPr>
            <w:tcW w:w="1400" w:type="dxa"/>
            <w:vAlign w:val="bottom"/>
          </w:tcPr>
          <w:p>
            <w:pPr>
              <w:jc w:val="right"/>
              <w:ind w:right="48"/>
              <w:spacing w:after="0"/>
              <w:rPr>
                <w:sz w:val="20"/>
                <w:szCs w:val="20"/>
                <w:color w:val="auto"/>
              </w:rPr>
            </w:pPr>
            <w:r>
              <w:rPr>
                <w:rFonts w:ascii="Arial" w:cs="Arial" w:eastAsia="Arial" w:hAnsi="Arial"/>
                <w:sz w:val="13"/>
                <w:szCs w:val="13"/>
                <w:color w:val="183964"/>
              </w:rPr>
              <w:t>$</w:t>
            </w:r>
          </w:p>
        </w:tc>
        <w:tc>
          <w:tcPr>
            <w:tcW w:w="1200" w:type="dxa"/>
            <w:vAlign w:val="bottom"/>
          </w:tcPr>
          <w:p>
            <w:pPr>
              <w:jc w:val="right"/>
              <w:spacing w:after="0"/>
              <w:rPr>
                <w:sz w:val="20"/>
                <w:szCs w:val="20"/>
                <w:color w:val="auto"/>
              </w:rPr>
            </w:pPr>
            <w:r>
              <w:rPr>
                <w:rFonts w:ascii="Arial" w:cs="Arial" w:eastAsia="Arial" w:hAnsi="Arial"/>
                <w:sz w:val="13"/>
                <w:szCs w:val="13"/>
                <w:color w:val="183964"/>
              </w:rPr>
              <w:t>$</w:t>
            </w:r>
          </w:p>
        </w:tc>
        <w:tc>
          <w:tcPr>
            <w:tcW w:w="80" w:type="dxa"/>
            <w:vAlign w:val="bottom"/>
          </w:tcPr>
          <w:p>
            <w:pPr>
              <w:spacing w:after="0"/>
              <w:rPr>
                <w:sz w:val="14"/>
                <w:szCs w:val="14"/>
                <w:color w:val="auto"/>
              </w:rPr>
            </w:pPr>
          </w:p>
        </w:tc>
        <w:tc>
          <w:tcPr>
            <w:tcW w:w="1780" w:type="dxa"/>
            <w:vAlign w:val="bottom"/>
          </w:tcPr>
          <w:p>
            <w:pPr>
              <w:jc w:val="right"/>
              <w:ind w:right="428"/>
              <w:spacing w:after="0"/>
              <w:rPr>
                <w:sz w:val="20"/>
                <w:szCs w:val="20"/>
                <w:color w:val="auto"/>
              </w:rPr>
            </w:pPr>
            <w:r>
              <w:rPr>
                <w:rFonts w:ascii="Arial" w:cs="Arial" w:eastAsia="Arial" w:hAnsi="Arial"/>
                <w:sz w:val="13"/>
                <w:szCs w:val="13"/>
                <w:color w:val="183964"/>
              </w:rPr>
              <w:t>$</w:t>
            </w:r>
          </w:p>
        </w:tc>
        <w:tc>
          <w:tcPr>
            <w:tcW w:w="1300" w:type="dxa"/>
            <w:vAlign w:val="bottom"/>
          </w:tcPr>
          <w:p>
            <w:pPr>
              <w:jc w:val="right"/>
              <w:ind w:right="428"/>
              <w:spacing w:after="0"/>
              <w:rPr>
                <w:sz w:val="20"/>
                <w:szCs w:val="20"/>
                <w:color w:val="auto"/>
              </w:rPr>
            </w:pPr>
            <w:r>
              <w:rPr>
                <w:rFonts w:ascii="Arial" w:cs="Arial" w:eastAsia="Arial" w:hAnsi="Arial"/>
                <w:sz w:val="13"/>
                <w:szCs w:val="13"/>
                <w:color w:val="183964"/>
              </w:rPr>
              <w:t>$</w:t>
            </w:r>
          </w:p>
        </w:tc>
        <w:tc>
          <w:tcPr>
            <w:tcW w:w="1140" w:type="dxa"/>
            <w:vAlign w:val="bottom"/>
          </w:tcPr>
          <w:p>
            <w:pPr>
              <w:jc w:val="right"/>
              <w:ind w:right="267"/>
              <w:spacing w:after="0"/>
              <w:rPr>
                <w:sz w:val="20"/>
                <w:szCs w:val="20"/>
                <w:color w:val="auto"/>
              </w:rPr>
            </w:pPr>
            <w:r>
              <w:rPr>
                <w:rFonts w:ascii="Arial" w:cs="Arial" w:eastAsia="Arial" w:hAnsi="Arial"/>
                <w:sz w:val="13"/>
                <w:szCs w:val="13"/>
                <w:color w:val="183964"/>
              </w:rPr>
              <w:t>$</w:t>
            </w:r>
          </w:p>
        </w:tc>
        <w:tc>
          <w:tcPr>
            <w:tcW w:w="980" w:type="dxa"/>
            <w:vAlign w:val="bottom"/>
          </w:tcPr>
          <w:p>
            <w:pPr>
              <w:jc w:val="right"/>
              <w:spacing w:after="0"/>
              <w:rPr>
                <w:sz w:val="20"/>
                <w:szCs w:val="20"/>
                <w:color w:val="auto"/>
              </w:rPr>
            </w:pPr>
            <w:r>
              <w:rPr>
                <w:rFonts w:ascii="Arial" w:cs="Arial" w:eastAsia="Arial" w:hAnsi="Arial"/>
                <w:sz w:val="13"/>
                <w:szCs w:val="13"/>
                <w:color w:val="183964"/>
              </w:rPr>
              <w:t>$</w:t>
            </w:r>
          </w:p>
        </w:tc>
      </w:tr>
      <w:tr>
        <w:trPr>
          <w:trHeight w:val="28"/>
        </w:trPr>
        <w:tc>
          <w:tcPr>
            <w:tcW w:w="3340" w:type="dxa"/>
            <w:vAlign w:val="bottom"/>
            <w:tcBorders>
              <w:bottom w:val="single" w:sz="8" w:color="001544"/>
            </w:tcBorders>
          </w:tcPr>
          <w:p>
            <w:pPr>
              <w:spacing w:after="0"/>
              <w:rPr>
                <w:sz w:val="2"/>
                <w:szCs w:val="2"/>
                <w:color w:val="auto"/>
              </w:rPr>
            </w:pPr>
          </w:p>
        </w:tc>
        <w:tc>
          <w:tcPr>
            <w:tcW w:w="1400" w:type="dxa"/>
            <w:vAlign w:val="bottom"/>
            <w:tcBorders>
              <w:bottom w:val="single" w:sz="8" w:color="001544"/>
            </w:tcBorders>
          </w:tcPr>
          <w:p>
            <w:pPr>
              <w:spacing w:after="0"/>
              <w:rPr>
                <w:sz w:val="2"/>
                <w:szCs w:val="2"/>
                <w:color w:val="auto"/>
              </w:rPr>
            </w:pPr>
          </w:p>
        </w:tc>
        <w:tc>
          <w:tcPr>
            <w:tcW w:w="1200" w:type="dxa"/>
            <w:vAlign w:val="bottom"/>
            <w:tcBorders>
              <w:bottom w:val="single" w:sz="8" w:color="001544"/>
            </w:tcBorders>
          </w:tcPr>
          <w:p>
            <w:pPr>
              <w:spacing w:after="0"/>
              <w:rPr>
                <w:sz w:val="2"/>
                <w:szCs w:val="2"/>
                <w:color w:val="auto"/>
              </w:rPr>
            </w:pPr>
          </w:p>
        </w:tc>
        <w:tc>
          <w:tcPr>
            <w:tcW w:w="80" w:type="dxa"/>
            <w:vAlign w:val="bottom"/>
            <w:tcBorders>
              <w:bottom w:val="single" w:sz="8" w:color="001544"/>
            </w:tcBorders>
          </w:tcPr>
          <w:p>
            <w:pPr>
              <w:spacing w:after="0"/>
              <w:rPr>
                <w:sz w:val="2"/>
                <w:szCs w:val="2"/>
                <w:color w:val="auto"/>
              </w:rPr>
            </w:pPr>
          </w:p>
        </w:tc>
        <w:tc>
          <w:tcPr>
            <w:tcW w:w="178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140" w:type="dxa"/>
            <w:vAlign w:val="bottom"/>
            <w:tcBorders>
              <w:bottom w:val="single" w:sz="8" w:color="001544"/>
            </w:tcBorders>
          </w:tcPr>
          <w:p>
            <w:pPr>
              <w:spacing w:after="0"/>
              <w:rPr>
                <w:sz w:val="2"/>
                <w:szCs w:val="2"/>
                <w:color w:val="auto"/>
              </w:rPr>
            </w:pPr>
          </w:p>
        </w:tc>
        <w:tc>
          <w:tcPr>
            <w:tcW w:w="980" w:type="dxa"/>
            <w:vAlign w:val="bottom"/>
            <w:tcBorders>
              <w:bottom w:val="single" w:sz="8" w:color="001544"/>
            </w:tcBorders>
          </w:tcPr>
          <w:p>
            <w:pPr>
              <w:spacing w:after="0"/>
              <w:rPr>
                <w:sz w:val="2"/>
                <w:szCs w:val="2"/>
                <w:color w:val="auto"/>
              </w:rPr>
            </w:pPr>
          </w:p>
        </w:tc>
      </w:tr>
      <w:tr>
        <w:trPr>
          <w:trHeight w:val="245"/>
        </w:trPr>
        <w:tc>
          <w:tcPr>
            <w:tcW w:w="3340" w:type="dxa"/>
            <w:vAlign w:val="bottom"/>
          </w:tcPr>
          <w:p>
            <w:pPr>
              <w:ind w:left="20"/>
              <w:spacing w:after="0"/>
              <w:rPr>
                <w:sz w:val="20"/>
                <w:szCs w:val="20"/>
                <w:color w:val="auto"/>
              </w:rPr>
            </w:pPr>
            <w:r>
              <w:rPr>
                <w:rFonts w:ascii="Arial" w:cs="Arial" w:eastAsia="Arial" w:hAnsi="Arial"/>
                <w:sz w:val="15"/>
                <w:szCs w:val="15"/>
                <w:color w:val="auto"/>
              </w:rPr>
              <w:t>Financial assets</w:t>
            </w:r>
            <w:r>
              <w:rPr>
                <w:rFonts w:ascii="Arial" w:cs="Arial" w:eastAsia="Arial" w:hAnsi="Arial"/>
                <w:sz w:val="19"/>
                <w:szCs w:val="19"/>
                <w:color w:val="auto"/>
                <w:vertAlign w:val="superscript"/>
              </w:rPr>
              <w:t>1</w:t>
            </w:r>
            <w:r>
              <w:rPr>
                <w:rFonts w:ascii="Arial" w:cs="Arial" w:eastAsia="Arial" w:hAnsi="Arial"/>
                <w:sz w:val="15"/>
                <w:szCs w:val="15"/>
                <w:color w:val="auto"/>
              </w:rPr>
              <w:t>:</w:t>
            </w:r>
          </w:p>
        </w:tc>
        <w:tc>
          <w:tcPr>
            <w:tcW w:w="1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4"/>
        </w:trPr>
        <w:tc>
          <w:tcPr>
            <w:tcW w:w="3340" w:type="dxa"/>
            <w:vAlign w:val="bottom"/>
          </w:tcPr>
          <w:p>
            <w:pPr>
              <w:ind w:left="20"/>
              <w:spacing w:after="0"/>
              <w:rPr>
                <w:sz w:val="20"/>
                <w:szCs w:val="20"/>
                <w:color w:val="auto"/>
              </w:rPr>
            </w:pPr>
            <w:r>
              <w:rPr>
                <w:rFonts w:ascii="Arial" w:cs="Arial" w:eastAsia="Arial" w:hAnsi="Arial"/>
                <w:sz w:val="15"/>
                <w:szCs w:val="15"/>
                <w:color w:val="auto"/>
              </w:rPr>
              <w:t>Money Markets</w:t>
            </w:r>
            <w:r>
              <w:rPr>
                <w:rFonts w:ascii="Arial" w:cs="Arial" w:eastAsia="Arial" w:hAnsi="Arial"/>
                <w:sz w:val="19"/>
                <w:szCs w:val="19"/>
                <w:color w:val="auto"/>
                <w:vertAlign w:val="superscript"/>
              </w:rPr>
              <w:t>2</w:t>
            </w:r>
          </w:p>
        </w:tc>
        <w:tc>
          <w:tcPr>
            <w:tcW w:w="1400" w:type="dxa"/>
            <w:vAlign w:val="bottom"/>
          </w:tcPr>
          <w:p>
            <w:pPr>
              <w:jc w:val="right"/>
              <w:ind w:right="108"/>
              <w:spacing w:after="0"/>
              <w:rPr>
                <w:sz w:val="20"/>
                <w:szCs w:val="20"/>
                <w:color w:val="auto"/>
              </w:rPr>
            </w:pPr>
            <w:r>
              <w:rPr>
                <w:rFonts w:ascii="Arial" w:cs="Arial" w:eastAsia="Arial" w:hAnsi="Arial"/>
                <w:sz w:val="15"/>
                <w:szCs w:val="15"/>
                <w:color w:val="183964"/>
              </w:rPr>
              <w:t>181,716</w:t>
            </w: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183964"/>
              </w:rPr>
              <w:t>—</w:t>
            </w:r>
          </w:p>
        </w:tc>
        <w:tc>
          <w:tcPr>
            <w:tcW w:w="1780" w:type="dxa"/>
            <w:vAlign w:val="bottom"/>
          </w:tcPr>
          <w:p>
            <w:pPr>
              <w:jc w:val="right"/>
              <w:ind w:right="468"/>
              <w:spacing w:after="0"/>
              <w:rPr>
                <w:sz w:val="20"/>
                <w:szCs w:val="20"/>
                <w:color w:val="auto"/>
              </w:rPr>
            </w:pPr>
            <w:r>
              <w:rPr>
                <w:rFonts w:ascii="Arial" w:cs="Arial" w:eastAsia="Arial" w:hAnsi="Arial"/>
                <w:sz w:val="15"/>
                <w:szCs w:val="15"/>
                <w:color w:val="183964"/>
              </w:rPr>
              <w:t>181,716</w:t>
            </w:r>
          </w:p>
        </w:tc>
        <w:tc>
          <w:tcPr>
            <w:tcW w:w="1300" w:type="dxa"/>
            <w:vAlign w:val="bottom"/>
          </w:tcPr>
          <w:p>
            <w:pPr>
              <w:ind w:left="600"/>
              <w:spacing w:after="0"/>
              <w:rPr>
                <w:sz w:val="20"/>
                <w:szCs w:val="20"/>
                <w:color w:val="auto"/>
              </w:rPr>
            </w:pPr>
            <w:r>
              <w:rPr>
                <w:rFonts w:ascii="Arial" w:cs="Arial" w:eastAsia="Arial" w:hAnsi="Arial"/>
                <w:sz w:val="15"/>
                <w:szCs w:val="15"/>
                <w:color w:val="183964"/>
              </w:rPr>
              <w:t>—</w:t>
            </w:r>
          </w:p>
        </w:tc>
        <w:tc>
          <w:tcPr>
            <w:tcW w:w="1140" w:type="dxa"/>
            <w:vAlign w:val="bottom"/>
          </w:tcPr>
          <w:p>
            <w:pPr>
              <w:jc w:val="right"/>
              <w:ind w:right="327"/>
              <w:spacing w:after="0"/>
              <w:rPr>
                <w:sz w:val="20"/>
                <w:szCs w:val="20"/>
                <w:color w:val="auto"/>
              </w:rPr>
            </w:pPr>
            <w:r>
              <w:rPr>
                <w:rFonts w:ascii="Arial" w:cs="Arial" w:eastAsia="Arial" w:hAnsi="Arial"/>
                <w:sz w:val="15"/>
                <w:szCs w:val="15"/>
                <w:color w:val="183964"/>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183964"/>
              </w:rPr>
              <w:t>181,716</w:t>
            </w:r>
          </w:p>
        </w:tc>
      </w:tr>
      <w:tr>
        <w:trPr>
          <w:trHeight w:val="200"/>
        </w:trPr>
        <w:tc>
          <w:tcPr>
            <w:tcW w:w="3340" w:type="dxa"/>
            <w:vAlign w:val="bottom"/>
          </w:tcPr>
          <w:p>
            <w:pPr>
              <w:ind w:left="20"/>
              <w:spacing w:after="0"/>
              <w:rPr>
                <w:sz w:val="20"/>
                <w:szCs w:val="20"/>
                <w:color w:val="auto"/>
              </w:rPr>
            </w:pPr>
            <w:r>
              <w:rPr>
                <w:rFonts w:ascii="Arial" w:cs="Arial" w:eastAsia="Arial" w:hAnsi="Arial"/>
                <w:sz w:val="15"/>
                <w:szCs w:val="15"/>
                <w:color w:val="auto"/>
              </w:rPr>
              <w:t>Investment in notes from associates</w:t>
            </w:r>
          </w:p>
        </w:tc>
        <w:tc>
          <w:tcPr>
            <w:tcW w:w="1400" w:type="dxa"/>
            <w:vAlign w:val="bottom"/>
          </w:tcPr>
          <w:p>
            <w:pPr>
              <w:jc w:val="right"/>
              <w:ind w:right="108"/>
              <w:spacing w:after="0"/>
              <w:rPr>
                <w:sz w:val="20"/>
                <w:szCs w:val="20"/>
                <w:color w:val="auto"/>
              </w:rPr>
            </w:pPr>
            <w:r>
              <w:rPr>
                <w:rFonts w:ascii="Arial" w:cs="Arial" w:eastAsia="Arial" w:hAnsi="Arial"/>
                <w:sz w:val="15"/>
                <w:szCs w:val="15"/>
                <w:color w:val="183964"/>
              </w:rPr>
              <w:t>17,731</w:t>
            </w: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183964"/>
              </w:rPr>
              <w:t>—</w:t>
            </w:r>
          </w:p>
        </w:tc>
        <w:tc>
          <w:tcPr>
            <w:tcW w:w="1780" w:type="dxa"/>
            <w:vAlign w:val="bottom"/>
          </w:tcPr>
          <w:p>
            <w:pPr>
              <w:jc w:val="right"/>
              <w:ind w:right="468"/>
              <w:spacing w:after="0"/>
              <w:rPr>
                <w:sz w:val="20"/>
                <w:szCs w:val="20"/>
                <w:color w:val="auto"/>
              </w:rPr>
            </w:pPr>
            <w:r>
              <w:rPr>
                <w:rFonts w:ascii="Arial" w:cs="Arial" w:eastAsia="Arial" w:hAnsi="Arial"/>
                <w:sz w:val="15"/>
                <w:szCs w:val="15"/>
                <w:color w:val="183964"/>
              </w:rPr>
              <w:t>—</w:t>
            </w:r>
          </w:p>
        </w:tc>
        <w:tc>
          <w:tcPr>
            <w:tcW w:w="1300" w:type="dxa"/>
            <w:vAlign w:val="bottom"/>
          </w:tcPr>
          <w:p>
            <w:pPr>
              <w:ind w:left="600"/>
              <w:spacing w:after="0"/>
              <w:rPr>
                <w:sz w:val="20"/>
                <w:szCs w:val="20"/>
                <w:color w:val="auto"/>
              </w:rPr>
            </w:pPr>
            <w:r>
              <w:rPr>
                <w:rFonts w:ascii="Arial" w:cs="Arial" w:eastAsia="Arial" w:hAnsi="Arial"/>
                <w:sz w:val="15"/>
                <w:szCs w:val="15"/>
                <w:color w:val="183964"/>
              </w:rPr>
              <w:t>—</w:t>
            </w:r>
          </w:p>
        </w:tc>
        <w:tc>
          <w:tcPr>
            <w:tcW w:w="1140" w:type="dxa"/>
            <w:vAlign w:val="bottom"/>
          </w:tcPr>
          <w:p>
            <w:pPr>
              <w:jc w:val="right"/>
              <w:ind w:right="327"/>
              <w:spacing w:after="0"/>
              <w:rPr>
                <w:sz w:val="20"/>
                <w:szCs w:val="20"/>
                <w:color w:val="auto"/>
              </w:rPr>
            </w:pPr>
            <w:r>
              <w:rPr>
                <w:rFonts w:ascii="Arial" w:cs="Arial" w:eastAsia="Arial" w:hAnsi="Arial"/>
                <w:sz w:val="15"/>
                <w:szCs w:val="15"/>
                <w:color w:val="183964"/>
              </w:rPr>
              <w:t>17,731</w:t>
            </w:r>
          </w:p>
        </w:tc>
        <w:tc>
          <w:tcPr>
            <w:tcW w:w="980" w:type="dxa"/>
            <w:vAlign w:val="bottom"/>
          </w:tcPr>
          <w:p>
            <w:pPr>
              <w:jc w:val="right"/>
              <w:ind w:right="7"/>
              <w:spacing w:after="0"/>
              <w:rPr>
                <w:sz w:val="20"/>
                <w:szCs w:val="20"/>
                <w:color w:val="auto"/>
              </w:rPr>
            </w:pPr>
            <w:r>
              <w:rPr>
                <w:rFonts w:ascii="Arial" w:cs="Arial" w:eastAsia="Arial" w:hAnsi="Arial"/>
                <w:sz w:val="15"/>
                <w:szCs w:val="15"/>
                <w:color w:val="183964"/>
              </w:rPr>
              <w:t>17,731</w:t>
            </w:r>
          </w:p>
        </w:tc>
      </w:tr>
      <w:tr>
        <w:trPr>
          <w:trHeight w:val="276"/>
        </w:trPr>
        <w:tc>
          <w:tcPr>
            <w:tcW w:w="3340" w:type="dxa"/>
            <w:vAlign w:val="bottom"/>
            <w:tcBorders>
              <w:bottom w:val="single" w:sz="8" w:color="001544"/>
            </w:tcBorders>
          </w:tcPr>
          <w:p>
            <w:pPr>
              <w:ind w:left="20"/>
              <w:spacing w:after="0"/>
              <w:rPr>
                <w:sz w:val="20"/>
                <w:szCs w:val="20"/>
                <w:color w:val="auto"/>
              </w:rPr>
            </w:pPr>
            <w:r>
              <w:rPr>
                <w:rFonts w:ascii="Arial" w:cs="Arial" w:eastAsia="Arial" w:hAnsi="Arial"/>
                <w:sz w:val="15"/>
                <w:szCs w:val="15"/>
                <w:color w:val="auto"/>
              </w:rPr>
              <w:t>Investments held at fair value</w:t>
            </w:r>
            <w:r>
              <w:rPr>
                <w:rFonts w:ascii="Arial" w:cs="Arial" w:eastAsia="Arial" w:hAnsi="Arial"/>
                <w:sz w:val="19"/>
                <w:szCs w:val="19"/>
                <w:color w:val="auto"/>
                <w:vertAlign w:val="superscript"/>
              </w:rPr>
              <w:t>3</w:t>
            </w:r>
          </w:p>
        </w:tc>
        <w:tc>
          <w:tcPr>
            <w:tcW w:w="1400" w:type="dxa"/>
            <w:vAlign w:val="bottom"/>
            <w:tcBorders>
              <w:bottom w:val="single" w:sz="8" w:color="001544"/>
            </w:tcBorders>
          </w:tcPr>
          <w:p>
            <w:pPr>
              <w:jc w:val="right"/>
              <w:ind w:right="108"/>
              <w:spacing w:after="0"/>
              <w:rPr>
                <w:sz w:val="20"/>
                <w:szCs w:val="20"/>
                <w:color w:val="auto"/>
              </w:rPr>
            </w:pPr>
            <w:r>
              <w:rPr>
                <w:rFonts w:ascii="Arial" w:cs="Arial" w:eastAsia="Arial" w:hAnsi="Arial"/>
                <w:sz w:val="15"/>
                <w:szCs w:val="15"/>
                <w:color w:val="183964"/>
              </w:rPr>
              <w:t>191,426</w:t>
            </w:r>
          </w:p>
        </w:tc>
        <w:tc>
          <w:tcPr>
            <w:tcW w:w="1280" w:type="dxa"/>
            <w:vAlign w:val="bottom"/>
            <w:tcBorders>
              <w:bottom w:val="single" w:sz="8" w:color="001544"/>
            </w:tcBorders>
            <w:gridSpan w:val="2"/>
          </w:tcPr>
          <w:p>
            <w:pPr>
              <w:jc w:val="right"/>
              <w:ind w:right="160"/>
              <w:spacing w:after="0"/>
              <w:rPr>
                <w:sz w:val="20"/>
                <w:szCs w:val="20"/>
                <w:color w:val="auto"/>
              </w:rPr>
            </w:pPr>
            <w:r>
              <w:rPr>
                <w:rFonts w:ascii="Arial" w:cs="Arial" w:eastAsia="Arial" w:hAnsi="Arial"/>
                <w:sz w:val="15"/>
                <w:szCs w:val="15"/>
                <w:color w:val="183964"/>
              </w:rPr>
              <w:t>—</w:t>
            </w:r>
          </w:p>
        </w:tc>
        <w:tc>
          <w:tcPr>
            <w:tcW w:w="1780" w:type="dxa"/>
            <w:vAlign w:val="bottom"/>
            <w:tcBorders>
              <w:bottom w:val="single" w:sz="8" w:color="001544"/>
            </w:tcBorders>
          </w:tcPr>
          <w:p>
            <w:pPr>
              <w:jc w:val="right"/>
              <w:ind w:right="468"/>
              <w:spacing w:after="0"/>
              <w:rPr>
                <w:sz w:val="20"/>
                <w:szCs w:val="20"/>
                <w:color w:val="auto"/>
              </w:rPr>
            </w:pPr>
            <w:r>
              <w:rPr>
                <w:rFonts w:ascii="Arial" w:cs="Arial" w:eastAsia="Arial" w:hAnsi="Arial"/>
                <w:sz w:val="15"/>
                <w:szCs w:val="15"/>
                <w:color w:val="183964"/>
              </w:rPr>
              <w:t>2,974</w:t>
            </w:r>
          </w:p>
        </w:tc>
        <w:tc>
          <w:tcPr>
            <w:tcW w:w="1300" w:type="dxa"/>
            <w:vAlign w:val="bottom"/>
            <w:tcBorders>
              <w:bottom w:val="single" w:sz="8" w:color="001544"/>
            </w:tcBorders>
          </w:tcPr>
          <w:p>
            <w:pPr>
              <w:ind w:left="600"/>
              <w:spacing w:after="0"/>
              <w:rPr>
                <w:sz w:val="20"/>
                <w:szCs w:val="20"/>
                <w:color w:val="auto"/>
              </w:rPr>
            </w:pPr>
            <w:r>
              <w:rPr>
                <w:rFonts w:ascii="Arial" w:cs="Arial" w:eastAsia="Arial" w:hAnsi="Arial"/>
                <w:sz w:val="15"/>
                <w:szCs w:val="15"/>
                <w:color w:val="183964"/>
              </w:rPr>
              <w:t>—</w:t>
            </w:r>
          </w:p>
        </w:tc>
        <w:tc>
          <w:tcPr>
            <w:tcW w:w="1140" w:type="dxa"/>
            <w:vAlign w:val="bottom"/>
            <w:tcBorders>
              <w:bottom w:val="single" w:sz="8" w:color="001544"/>
            </w:tcBorders>
          </w:tcPr>
          <w:p>
            <w:pPr>
              <w:jc w:val="right"/>
              <w:ind w:right="327"/>
              <w:spacing w:after="0"/>
              <w:rPr>
                <w:sz w:val="20"/>
                <w:szCs w:val="20"/>
                <w:color w:val="auto"/>
              </w:rPr>
            </w:pPr>
            <w:r>
              <w:rPr>
                <w:rFonts w:ascii="Arial" w:cs="Arial" w:eastAsia="Arial" w:hAnsi="Arial"/>
                <w:sz w:val="15"/>
                <w:szCs w:val="15"/>
                <w:color w:val="183964"/>
              </w:rPr>
              <w:t>188,452</w:t>
            </w:r>
          </w:p>
        </w:tc>
        <w:tc>
          <w:tcPr>
            <w:tcW w:w="980" w:type="dxa"/>
            <w:vAlign w:val="bottom"/>
            <w:tcBorders>
              <w:bottom w:val="single" w:sz="8" w:color="001544"/>
            </w:tcBorders>
          </w:tcPr>
          <w:p>
            <w:pPr>
              <w:jc w:val="right"/>
              <w:ind w:right="7"/>
              <w:spacing w:after="0"/>
              <w:rPr>
                <w:sz w:val="20"/>
                <w:szCs w:val="20"/>
                <w:color w:val="auto"/>
              </w:rPr>
            </w:pPr>
            <w:r>
              <w:rPr>
                <w:rFonts w:ascii="Arial" w:cs="Arial" w:eastAsia="Arial" w:hAnsi="Arial"/>
                <w:sz w:val="15"/>
                <w:szCs w:val="15"/>
                <w:color w:val="183964"/>
              </w:rPr>
              <w:t>191,426</w:t>
            </w:r>
          </w:p>
        </w:tc>
      </w:tr>
      <w:tr>
        <w:trPr>
          <w:trHeight w:val="203"/>
        </w:trPr>
        <w:tc>
          <w:tcPr>
            <w:tcW w:w="3340" w:type="dxa"/>
            <w:vAlign w:val="bottom"/>
          </w:tcPr>
          <w:p>
            <w:pPr>
              <w:ind w:left="20"/>
              <w:spacing w:after="0"/>
              <w:rPr>
                <w:sz w:val="20"/>
                <w:szCs w:val="20"/>
                <w:color w:val="auto"/>
              </w:rPr>
            </w:pPr>
            <w:r>
              <w:rPr>
                <w:rFonts w:ascii="Arial" w:cs="Arial" w:eastAsia="Arial" w:hAnsi="Arial"/>
                <w:sz w:val="15"/>
                <w:szCs w:val="15"/>
                <w:color w:val="auto"/>
              </w:rPr>
              <w:t>Total financial assets</w:t>
            </w:r>
          </w:p>
        </w:tc>
        <w:tc>
          <w:tcPr>
            <w:tcW w:w="1400" w:type="dxa"/>
            <w:vAlign w:val="bottom"/>
          </w:tcPr>
          <w:p>
            <w:pPr>
              <w:jc w:val="right"/>
              <w:ind w:right="108"/>
              <w:spacing w:after="0"/>
              <w:rPr>
                <w:sz w:val="20"/>
                <w:szCs w:val="20"/>
                <w:color w:val="auto"/>
              </w:rPr>
            </w:pPr>
            <w:r>
              <w:rPr>
                <w:rFonts w:ascii="Arial" w:cs="Arial" w:eastAsia="Arial" w:hAnsi="Arial"/>
                <w:sz w:val="15"/>
                <w:szCs w:val="15"/>
                <w:color w:val="183964"/>
              </w:rPr>
              <w:t>390,873</w:t>
            </w: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183964"/>
              </w:rPr>
              <w:t>—</w:t>
            </w:r>
          </w:p>
        </w:tc>
        <w:tc>
          <w:tcPr>
            <w:tcW w:w="1780" w:type="dxa"/>
            <w:vAlign w:val="bottom"/>
          </w:tcPr>
          <w:p>
            <w:pPr>
              <w:jc w:val="right"/>
              <w:ind w:right="468"/>
              <w:spacing w:after="0"/>
              <w:rPr>
                <w:sz w:val="20"/>
                <w:szCs w:val="20"/>
                <w:color w:val="auto"/>
              </w:rPr>
            </w:pPr>
            <w:r>
              <w:rPr>
                <w:rFonts w:ascii="Arial" w:cs="Arial" w:eastAsia="Arial" w:hAnsi="Arial"/>
                <w:sz w:val="15"/>
                <w:szCs w:val="15"/>
                <w:color w:val="183964"/>
              </w:rPr>
              <w:t>184,690</w:t>
            </w:r>
          </w:p>
        </w:tc>
        <w:tc>
          <w:tcPr>
            <w:tcW w:w="1300" w:type="dxa"/>
            <w:vAlign w:val="bottom"/>
          </w:tcPr>
          <w:p>
            <w:pPr>
              <w:ind w:left="600"/>
              <w:spacing w:after="0"/>
              <w:rPr>
                <w:sz w:val="20"/>
                <w:szCs w:val="20"/>
                <w:color w:val="auto"/>
              </w:rPr>
            </w:pPr>
            <w:r>
              <w:rPr>
                <w:rFonts w:ascii="Arial" w:cs="Arial" w:eastAsia="Arial" w:hAnsi="Arial"/>
                <w:sz w:val="15"/>
                <w:szCs w:val="15"/>
                <w:color w:val="183964"/>
              </w:rPr>
              <w:t>—</w:t>
            </w:r>
          </w:p>
        </w:tc>
        <w:tc>
          <w:tcPr>
            <w:tcW w:w="1140" w:type="dxa"/>
            <w:vAlign w:val="bottom"/>
          </w:tcPr>
          <w:p>
            <w:pPr>
              <w:jc w:val="right"/>
              <w:ind w:right="327"/>
              <w:spacing w:after="0"/>
              <w:rPr>
                <w:sz w:val="20"/>
                <w:szCs w:val="20"/>
                <w:color w:val="auto"/>
              </w:rPr>
            </w:pPr>
            <w:r>
              <w:rPr>
                <w:rFonts w:ascii="Arial" w:cs="Arial" w:eastAsia="Arial" w:hAnsi="Arial"/>
                <w:sz w:val="15"/>
                <w:szCs w:val="15"/>
                <w:color w:val="183964"/>
              </w:rPr>
              <w:t>206,183</w:t>
            </w:r>
          </w:p>
        </w:tc>
        <w:tc>
          <w:tcPr>
            <w:tcW w:w="980" w:type="dxa"/>
            <w:vAlign w:val="bottom"/>
          </w:tcPr>
          <w:p>
            <w:pPr>
              <w:jc w:val="right"/>
              <w:ind w:right="7"/>
              <w:spacing w:after="0"/>
              <w:rPr>
                <w:sz w:val="20"/>
                <w:szCs w:val="20"/>
                <w:color w:val="auto"/>
              </w:rPr>
            </w:pPr>
            <w:r>
              <w:rPr>
                <w:rFonts w:ascii="Arial" w:cs="Arial" w:eastAsia="Arial" w:hAnsi="Arial"/>
                <w:sz w:val="15"/>
                <w:szCs w:val="15"/>
                <w:color w:val="183964"/>
              </w:rPr>
              <w:t>390,873</w:t>
            </w:r>
          </w:p>
        </w:tc>
      </w:tr>
      <w:tr>
        <w:trPr>
          <w:trHeight w:val="33"/>
        </w:trPr>
        <w:tc>
          <w:tcPr>
            <w:tcW w:w="3340" w:type="dxa"/>
            <w:vAlign w:val="bottom"/>
            <w:tcBorders>
              <w:bottom w:val="single" w:sz="8" w:color="001544"/>
            </w:tcBorders>
          </w:tcPr>
          <w:p>
            <w:pPr>
              <w:spacing w:after="0"/>
              <w:rPr>
                <w:sz w:val="2"/>
                <w:szCs w:val="2"/>
                <w:color w:val="auto"/>
              </w:rPr>
            </w:pPr>
          </w:p>
        </w:tc>
        <w:tc>
          <w:tcPr>
            <w:tcW w:w="1400" w:type="dxa"/>
            <w:vAlign w:val="bottom"/>
            <w:tcBorders>
              <w:bottom w:val="single" w:sz="8" w:color="001544"/>
            </w:tcBorders>
          </w:tcPr>
          <w:p>
            <w:pPr>
              <w:spacing w:after="0"/>
              <w:rPr>
                <w:sz w:val="2"/>
                <w:szCs w:val="2"/>
                <w:color w:val="auto"/>
              </w:rPr>
            </w:pPr>
          </w:p>
        </w:tc>
        <w:tc>
          <w:tcPr>
            <w:tcW w:w="1200" w:type="dxa"/>
            <w:vAlign w:val="bottom"/>
            <w:tcBorders>
              <w:bottom w:val="single" w:sz="8" w:color="001544"/>
            </w:tcBorders>
          </w:tcPr>
          <w:p>
            <w:pPr>
              <w:spacing w:after="0"/>
              <w:rPr>
                <w:sz w:val="2"/>
                <w:szCs w:val="2"/>
                <w:color w:val="auto"/>
              </w:rPr>
            </w:pPr>
          </w:p>
        </w:tc>
        <w:tc>
          <w:tcPr>
            <w:tcW w:w="80" w:type="dxa"/>
            <w:vAlign w:val="bottom"/>
            <w:tcBorders>
              <w:bottom w:val="single" w:sz="8" w:color="001544"/>
            </w:tcBorders>
          </w:tcPr>
          <w:p>
            <w:pPr>
              <w:spacing w:after="0"/>
              <w:rPr>
                <w:sz w:val="2"/>
                <w:szCs w:val="2"/>
                <w:color w:val="auto"/>
              </w:rPr>
            </w:pPr>
          </w:p>
        </w:tc>
        <w:tc>
          <w:tcPr>
            <w:tcW w:w="178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140" w:type="dxa"/>
            <w:vAlign w:val="bottom"/>
            <w:tcBorders>
              <w:bottom w:val="single" w:sz="8" w:color="001544"/>
            </w:tcBorders>
          </w:tcPr>
          <w:p>
            <w:pPr>
              <w:spacing w:after="0"/>
              <w:rPr>
                <w:sz w:val="2"/>
                <w:szCs w:val="2"/>
                <w:color w:val="auto"/>
              </w:rPr>
            </w:pPr>
          </w:p>
        </w:tc>
        <w:tc>
          <w:tcPr>
            <w:tcW w:w="980" w:type="dxa"/>
            <w:vAlign w:val="bottom"/>
            <w:tcBorders>
              <w:bottom w:val="single" w:sz="8" w:color="001544"/>
            </w:tcBorders>
          </w:tcPr>
          <w:p>
            <w:pPr>
              <w:spacing w:after="0"/>
              <w:rPr>
                <w:sz w:val="2"/>
                <w:szCs w:val="2"/>
                <w:color w:val="auto"/>
              </w:rPr>
            </w:pPr>
          </w:p>
        </w:tc>
      </w:tr>
      <w:tr>
        <w:trPr>
          <w:trHeight w:val="203"/>
        </w:trPr>
        <w:tc>
          <w:tcPr>
            <w:tcW w:w="3340" w:type="dxa"/>
            <w:vAlign w:val="bottom"/>
          </w:tcPr>
          <w:p>
            <w:pPr>
              <w:ind w:left="20"/>
              <w:spacing w:after="0"/>
              <w:rPr>
                <w:sz w:val="20"/>
                <w:szCs w:val="20"/>
                <w:color w:val="auto"/>
              </w:rPr>
            </w:pPr>
            <w:r>
              <w:rPr>
                <w:rFonts w:ascii="Arial" w:cs="Arial" w:eastAsia="Arial" w:hAnsi="Arial"/>
                <w:sz w:val="15"/>
                <w:szCs w:val="15"/>
                <w:color w:val="auto"/>
              </w:rPr>
              <w:t>Financial liabilities:</w:t>
            </w: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5"/>
                <w:szCs w:val="15"/>
                <w:color w:val="auto"/>
              </w:rPr>
              <w:t>Subsidiary preferred shares</w:t>
            </w:r>
          </w:p>
        </w:tc>
        <w:tc>
          <w:tcPr>
            <w:tcW w:w="1400" w:type="dxa"/>
            <w:vAlign w:val="bottom"/>
          </w:tcPr>
          <w:p>
            <w:pPr>
              <w:jc w:val="right"/>
              <w:ind w:right="108"/>
              <w:spacing w:after="0"/>
              <w:rPr>
                <w:sz w:val="20"/>
                <w:szCs w:val="20"/>
                <w:color w:val="auto"/>
              </w:rPr>
            </w:pPr>
            <w:r>
              <w:rPr>
                <w:rFonts w:ascii="Arial" w:cs="Arial" w:eastAsia="Arial" w:hAnsi="Arial"/>
                <w:sz w:val="15"/>
                <w:szCs w:val="15"/>
                <w:color w:val="183964"/>
              </w:rPr>
              <w:t>—</w:t>
            </w:r>
          </w:p>
        </w:tc>
        <w:tc>
          <w:tcPr>
            <w:tcW w:w="1200" w:type="dxa"/>
            <w:vAlign w:val="bottom"/>
          </w:tcPr>
          <w:p>
            <w:pPr>
              <w:jc w:val="right"/>
              <w:ind w:right="7"/>
              <w:spacing w:after="0"/>
              <w:rPr>
                <w:sz w:val="20"/>
                <w:szCs w:val="20"/>
                <w:color w:val="auto"/>
              </w:rPr>
            </w:pPr>
            <w:r>
              <w:rPr>
                <w:rFonts w:ascii="Arial" w:cs="Arial" w:eastAsia="Arial" w:hAnsi="Arial"/>
                <w:sz w:val="15"/>
                <w:szCs w:val="15"/>
                <w:color w:val="183964"/>
              </w:rPr>
              <w:t>169</w:t>
            </w:r>
          </w:p>
        </w:tc>
        <w:tc>
          <w:tcPr>
            <w:tcW w:w="80" w:type="dxa"/>
            <w:vAlign w:val="bottom"/>
          </w:tcPr>
          <w:p>
            <w:pPr>
              <w:spacing w:after="0"/>
              <w:rPr>
                <w:sz w:val="21"/>
                <w:szCs w:val="21"/>
                <w:color w:val="auto"/>
              </w:rPr>
            </w:pPr>
          </w:p>
        </w:tc>
        <w:tc>
          <w:tcPr>
            <w:tcW w:w="1780" w:type="dxa"/>
            <w:vAlign w:val="bottom"/>
          </w:tcPr>
          <w:p>
            <w:pPr>
              <w:jc w:val="right"/>
              <w:ind w:right="468"/>
              <w:spacing w:after="0"/>
              <w:rPr>
                <w:sz w:val="20"/>
                <w:szCs w:val="20"/>
                <w:color w:val="auto"/>
              </w:rPr>
            </w:pPr>
            <w:r>
              <w:rPr>
                <w:rFonts w:ascii="Arial" w:cs="Arial" w:eastAsia="Arial" w:hAnsi="Arial"/>
                <w:sz w:val="15"/>
                <w:szCs w:val="15"/>
                <w:color w:val="183964"/>
              </w:rPr>
              <w:t>—</w:t>
            </w:r>
          </w:p>
        </w:tc>
        <w:tc>
          <w:tcPr>
            <w:tcW w:w="1300" w:type="dxa"/>
            <w:vAlign w:val="bottom"/>
          </w:tcPr>
          <w:p>
            <w:pPr>
              <w:ind w:left="600"/>
              <w:spacing w:after="0"/>
              <w:rPr>
                <w:sz w:val="20"/>
                <w:szCs w:val="20"/>
                <w:color w:val="auto"/>
              </w:rPr>
            </w:pPr>
            <w:r>
              <w:rPr>
                <w:rFonts w:ascii="Arial" w:cs="Arial" w:eastAsia="Arial" w:hAnsi="Arial"/>
                <w:sz w:val="15"/>
                <w:szCs w:val="15"/>
                <w:color w:val="183964"/>
              </w:rPr>
              <w:t>—</w:t>
            </w:r>
          </w:p>
        </w:tc>
        <w:tc>
          <w:tcPr>
            <w:tcW w:w="1140" w:type="dxa"/>
            <w:vAlign w:val="bottom"/>
          </w:tcPr>
          <w:p>
            <w:pPr>
              <w:jc w:val="right"/>
              <w:ind w:right="327"/>
              <w:spacing w:after="0"/>
              <w:rPr>
                <w:sz w:val="20"/>
                <w:szCs w:val="20"/>
                <w:color w:val="auto"/>
              </w:rPr>
            </w:pPr>
            <w:r>
              <w:rPr>
                <w:rFonts w:ascii="Arial" w:cs="Arial" w:eastAsia="Arial" w:hAnsi="Arial"/>
                <w:sz w:val="15"/>
                <w:szCs w:val="15"/>
                <w:color w:val="183964"/>
              </w:rPr>
              <w:t>169</w:t>
            </w:r>
          </w:p>
        </w:tc>
        <w:tc>
          <w:tcPr>
            <w:tcW w:w="980" w:type="dxa"/>
            <w:vAlign w:val="bottom"/>
          </w:tcPr>
          <w:p>
            <w:pPr>
              <w:jc w:val="right"/>
              <w:ind w:right="7"/>
              <w:spacing w:after="0"/>
              <w:rPr>
                <w:sz w:val="20"/>
                <w:szCs w:val="20"/>
                <w:color w:val="auto"/>
              </w:rPr>
            </w:pPr>
            <w:r>
              <w:rPr>
                <w:rFonts w:ascii="Arial" w:cs="Arial" w:eastAsia="Arial" w:hAnsi="Arial"/>
                <w:sz w:val="15"/>
                <w:szCs w:val="15"/>
                <w:color w:val="183964"/>
              </w:rPr>
              <w:t>169</w:t>
            </w:r>
          </w:p>
        </w:tc>
      </w:tr>
      <w:tr>
        <w:trPr>
          <w:trHeight w:val="243"/>
        </w:trPr>
        <w:tc>
          <w:tcPr>
            <w:tcW w:w="3340" w:type="dxa"/>
            <w:vAlign w:val="bottom"/>
          </w:tcPr>
          <w:p>
            <w:pPr>
              <w:ind w:left="20"/>
              <w:spacing w:after="0"/>
              <w:rPr>
                <w:sz w:val="20"/>
                <w:szCs w:val="20"/>
                <w:color w:val="auto"/>
              </w:rPr>
            </w:pPr>
            <w:r>
              <w:rPr>
                <w:rFonts w:ascii="Arial" w:cs="Arial" w:eastAsia="Arial" w:hAnsi="Arial"/>
                <w:sz w:val="15"/>
                <w:szCs w:val="15"/>
                <w:color w:val="auto"/>
              </w:rPr>
              <w:t>Share-based liability awards</w:t>
            </w:r>
          </w:p>
        </w:tc>
        <w:tc>
          <w:tcPr>
            <w:tcW w:w="1400" w:type="dxa"/>
            <w:vAlign w:val="bottom"/>
          </w:tcPr>
          <w:p>
            <w:pPr>
              <w:jc w:val="right"/>
              <w:ind w:right="108"/>
              <w:spacing w:after="0"/>
              <w:rPr>
                <w:sz w:val="20"/>
                <w:szCs w:val="20"/>
                <w:color w:val="auto"/>
              </w:rPr>
            </w:pPr>
            <w:r>
              <w:rPr>
                <w:rFonts w:ascii="Arial" w:cs="Arial" w:eastAsia="Arial" w:hAnsi="Arial"/>
                <w:sz w:val="15"/>
                <w:szCs w:val="15"/>
                <w:color w:val="183964"/>
              </w:rPr>
              <w:t>—</w:t>
            </w:r>
          </w:p>
        </w:tc>
        <w:tc>
          <w:tcPr>
            <w:tcW w:w="1200" w:type="dxa"/>
            <w:vAlign w:val="bottom"/>
          </w:tcPr>
          <w:p>
            <w:pPr>
              <w:jc w:val="right"/>
              <w:ind w:right="7"/>
              <w:spacing w:after="0"/>
              <w:rPr>
                <w:sz w:val="20"/>
                <w:szCs w:val="20"/>
                <w:color w:val="auto"/>
              </w:rPr>
            </w:pPr>
            <w:r>
              <w:rPr>
                <w:rFonts w:ascii="Arial" w:cs="Arial" w:eastAsia="Arial" w:hAnsi="Arial"/>
                <w:sz w:val="15"/>
                <w:szCs w:val="15"/>
                <w:color w:val="183964"/>
              </w:rPr>
              <w:t>3,736</w:t>
            </w:r>
          </w:p>
        </w:tc>
        <w:tc>
          <w:tcPr>
            <w:tcW w:w="80" w:type="dxa"/>
            <w:vAlign w:val="bottom"/>
          </w:tcPr>
          <w:p>
            <w:pPr>
              <w:spacing w:after="0"/>
              <w:rPr>
                <w:sz w:val="21"/>
                <w:szCs w:val="21"/>
                <w:color w:val="auto"/>
              </w:rPr>
            </w:pPr>
          </w:p>
        </w:tc>
        <w:tc>
          <w:tcPr>
            <w:tcW w:w="1780" w:type="dxa"/>
            <w:vAlign w:val="bottom"/>
          </w:tcPr>
          <w:p>
            <w:pPr>
              <w:jc w:val="right"/>
              <w:ind w:right="468"/>
              <w:spacing w:after="0"/>
              <w:rPr>
                <w:sz w:val="20"/>
                <w:szCs w:val="20"/>
                <w:color w:val="auto"/>
              </w:rPr>
            </w:pPr>
            <w:r>
              <w:rPr>
                <w:rFonts w:ascii="Arial" w:cs="Arial" w:eastAsia="Arial" w:hAnsi="Arial"/>
                <w:sz w:val="15"/>
                <w:szCs w:val="15"/>
                <w:color w:val="183964"/>
              </w:rPr>
              <w:t>—</w:t>
            </w:r>
          </w:p>
        </w:tc>
        <w:tc>
          <w:tcPr>
            <w:tcW w:w="1300" w:type="dxa"/>
            <w:vAlign w:val="bottom"/>
          </w:tcPr>
          <w:p>
            <w:pPr>
              <w:ind w:left="600"/>
              <w:spacing w:after="0"/>
              <w:rPr>
                <w:sz w:val="20"/>
                <w:szCs w:val="20"/>
                <w:color w:val="auto"/>
              </w:rPr>
            </w:pPr>
            <w:r>
              <w:rPr>
                <w:rFonts w:ascii="Arial" w:cs="Arial" w:eastAsia="Arial" w:hAnsi="Arial"/>
                <w:sz w:val="15"/>
                <w:szCs w:val="15"/>
                <w:color w:val="183964"/>
              </w:rPr>
              <w:t>—</w:t>
            </w:r>
          </w:p>
        </w:tc>
        <w:tc>
          <w:tcPr>
            <w:tcW w:w="1140" w:type="dxa"/>
            <w:vAlign w:val="bottom"/>
          </w:tcPr>
          <w:p>
            <w:pPr>
              <w:jc w:val="right"/>
              <w:ind w:right="327"/>
              <w:spacing w:after="0"/>
              <w:rPr>
                <w:sz w:val="20"/>
                <w:szCs w:val="20"/>
                <w:color w:val="auto"/>
              </w:rPr>
            </w:pPr>
            <w:r>
              <w:rPr>
                <w:rFonts w:ascii="Arial" w:cs="Arial" w:eastAsia="Arial" w:hAnsi="Arial"/>
                <w:sz w:val="15"/>
                <w:szCs w:val="15"/>
                <w:color w:val="183964"/>
              </w:rPr>
              <w:t>3,736</w:t>
            </w:r>
          </w:p>
        </w:tc>
        <w:tc>
          <w:tcPr>
            <w:tcW w:w="980" w:type="dxa"/>
            <w:vAlign w:val="bottom"/>
          </w:tcPr>
          <w:p>
            <w:pPr>
              <w:jc w:val="right"/>
              <w:ind w:right="7"/>
              <w:spacing w:after="0"/>
              <w:rPr>
                <w:sz w:val="20"/>
                <w:szCs w:val="20"/>
                <w:color w:val="auto"/>
              </w:rPr>
            </w:pPr>
            <w:r>
              <w:rPr>
                <w:rFonts w:ascii="Arial" w:cs="Arial" w:eastAsia="Arial" w:hAnsi="Arial"/>
                <w:sz w:val="15"/>
                <w:szCs w:val="15"/>
                <w:color w:val="183964"/>
              </w:rPr>
              <w:t>3,736</w:t>
            </w:r>
          </w:p>
        </w:tc>
      </w:tr>
      <w:tr>
        <w:trPr>
          <w:trHeight w:val="33"/>
        </w:trPr>
        <w:tc>
          <w:tcPr>
            <w:tcW w:w="3340" w:type="dxa"/>
            <w:vAlign w:val="bottom"/>
            <w:tcBorders>
              <w:bottom w:val="single" w:sz="8" w:color="001544"/>
            </w:tcBorders>
          </w:tcPr>
          <w:p>
            <w:pPr>
              <w:spacing w:after="0"/>
              <w:rPr>
                <w:sz w:val="2"/>
                <w:szCs w:val="2"/>
                <w:color w:val="auto"/>
              </w:rPr>
            </w:pPr>
          </w:p>
        </w:tc>
        <w:tc>
          <w:tcPr>
            <w:tcW w:w="1400" w:type="dxa"/>
            <w:vAlign w:val="bottom"/>
            <w:tcBorders>
              <w:bottom w:val="single" w:sz="8" w:color="001544"/>
            </w:tcBorders>
          </w:tcPr>
          <w:p>
            <w:pPr>
              <w:spacing w:after="0"/>
              <w:rPr>
                <w:sz w:val="2"/>
                <w:szCs w:val="2"/>
                <w:color w:val="auto"/>
              </w:rPr>
            </w:pPr>
          </w:p>
        </w:tc>
        <w:tc>
          <w:tcPr>
            <w:tcW w:w="1200" w:type="dxa"/>
            <w:vAlign w:val="bottom"/>
            <w:tcBorders>
              <w:bottom w:val="single" w:sz="8" w:color="001544"/>
            </w:tcBorders>
          </w:tcPr>
          <w:p>
            <w:pPr>
              <w:spacing w:after="0"/>
              <w:rPr>
                <w:sz w:val="2"/>
                <w:szCs w:val="2"/>
                <w:color w:val="auto"/>
              </w:rPr>
            </w:pPr>
          </w:p>
        </w:tc>
        <w:tc>
          <w:tcPr>
            <w:tcW w:w="80" w:type="dxa"/>
            <w:vAlign w:val="bottom"/>
            <w:tcBorders>
              <w:bottom w:val="single" w:sz="8" w:color="001544"/>
            </w:tcBorders>
          </w:tcPr>
          <w:p>
            <w:pPr>
              <w:spacing w:after="0"/>
              <w:rPr>
                <w:sz w:val="2"/>
                <w:szCs w:val="2"/>
                <w:color w:val="auto"/>
              </w:rPr>
            </w:pPr>
          </w:p>
        </w:tc>
        <w:tc>
          <w:tcPr>
            <w:tcW w:w="178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140" w:type="dxa"/>
            <w:vAlign w:val="bottom"/>
            <w:tcBorders>
              <w:bottom w:val="single" w:sz="8" w:color="001544"/>
            </w:tcBorders>
          </w:tcPr>
          <w:p>
            <w:pPr>
              <w:spacing w:after="0"/>
              <w:rPr>
                <w:sz w:val="2"/>
                <w:szCs w:val="2"/>
                <w:color w:val="auto"/>
              </w:rPr>
            </w:pPr>
          </w:p>
        </w:tc>
        <w:tc>
          <w:tcPr>
            <w:tcW w:w="980" w:type="dxa"/>
            <w:vAlign w:val="bottom"/>
            <w:tcBorders>
              <w:bottom w:val="single" w:sz="8" w:color="001544"/>
            </w:tcBorders>
          </w:tcPr>
          <w:p>
            <w:pPr>
              <w:spacing w:after="0"/>
              <w:rPr>
                <w:sz w:val="2"/>
                <w:szCs w:val="2"/>
                <w:color w:val="auto"/>
              </w:rPr>
            </w:pPr>
          </w:p>
        </w:tc>
      </w:tr>
      <w:tr>
        <w:trPr>
          <w:trHeight w:val="203"/>
        </w:trPr>
        <w:tc>
          <w:tcPr>
            <w:tcW w:w="3340" w:type="dxa"/>
            <w:vAlign w:val="bottom"/>
          </w:tcPr>
          <w:p>
            <w:pPr>
              <w:ind w:left="20"/>
              <w:spacing w:after="0"/>
              <w:rPr>
                <w:sz w:val="20"/>
                <w:szCs w:val="20"/>
                <w:color w:val="auto"/>
              </w:rPr>
            </w:pPr>
            <w:r>
              <w:rPr>
                <w:rFonts w:ascii="Arial" w:cs="Arial" w:eastAsia="Arial" w:hAnsi="Arial"/>
                <w:sz w:val="15"/>
                <w:szCs w:val="15"/>
                <w:color w:val="auto"/>
              </w:rPr>
              <w:t>Total financial liabilities</w:t>
            </w:r>
          </w:p>
        </w:tc>
        <w:tc>
          <w:tcPr>
            <w:tcW w:w="1400" w:type="dxa"/>
            <w:vAlign w:val="bottom"/>
          </w:tcPr>
          <w:p>
            <w:pPr>
              <w:jc w:val="right"/>
              <w:ind w:right="108"/>
              <w:spacing w:after="0"/>
              <w:rPr>
                <w:sz w:val="20"/>
                <w:szCs w:val="20"/>
                <w:color w:val="auto"/>
              </w:rPr>
            </w:pPr>
            <w:r>
              <w:rPr>
                <w:rFonts w:ascii="Arial" w:cs="Arial" w:eastAsia="Arial" w:hAnsi="Arial"/>
                <w:sz w:val="15"/>
                <w:szCs w:val="15"/>
                <w:color w:val="183964"/>
              </w:rPr>
              <w:t>—</w:t>
            </w:r>
          </w:p>
        </w:tc>
        <w:tc>
          <w:tcPr>
            <w:tcW w:w="1200" w:type="dxa"/>
            <w:vAlign w:val="bottom"/>
          </w:tcPr>
          <w:p>
            <w:pPr>
              <w:jc w:val="right"/>
              <w:ind w:right="7"/>
              <w:spacing w:after="0"/>
              <w:rPr>
                <w:sz w:val="20"/>
                <w:szCs w:val="20"/>
                <w:color w:val="auto"/>
              </w:rPr>
            </w:pPr>
            <w:r>
              <w:rPr>
                <w:rFonts w:ascii="Arial" w:cs="Arial" w:eastAsia="Arial" w:hAnsi="Arial"/>
                <w:sz w:val="15"/>
                <w:szCs w:val="15"/>
                <w:color w:val="183964"/>
              </w:rPr>
              <w:t>3,905</w:t>
            </w:r>
          </w:p>
        </w:tc>
        <w:tc>
          <w:tcPr>
            <w:tcW w:w="80" w:type="dxa"/>
            <w:vAlign w:val="bottom"/>
          </w:tcPr>
          <w:p>
            <w:pPr>
              <w:spacing w:after="0"/>
              <w:rPr>
                <w:sz w:val="17"/>
                <w:szCs w:val="17"/>
                <w:color w:val="auto"/>
              </w:rPr>
            </w:pPr>
          </w:p>
        </w:tc>
        <w:tc>
          <w:tcPr>
            <w:tcW w:w="1780" w:type="dxa"/>
            <w:vAlign w:val="bottom"/>
          </w:tcPr>
          <w:p>
            <w:pPr>
              <w:jc w:val="right"/>
              <w:ind w:right="468"/>
              <w:spacing w:after="0"/>
              <w:rPr>
                <w:sz w:val="20"/>
                <w:szCs w:val="20"/>
                <w:color w:val="auto"/>
              </w:rPr>
            </w:pPr>
            <w:r>
              <w:rPr>
                <w:rFonts w:ascii="Arial" w:cs="Arial" w:eastAsia="Arial" w:hAnsi="Arial"/>
                <w:sz w:val="15"/>
                <w:szCs w:val="15"/>
                <w:color w:val="183964"/>
              </w:rPr>
              <w:t>—</w:t>
            </w:r>
          </w:p>
        </w:tc>
        <w:tc>
          <w:tcPr>
            <w:tcW w:w="1300" w:type="dxa"/>
            <w:vAlign w:val="bottom"/>
          </w:tcPr>
          <w:p>
            <w:pPr>
              <w:ind w:left="600"/>
              <w:spacing w:after="0"/>
              <w:rPr>
                <w:sz w:val="20"/>
                <w:szCs w:val="20"/>
                <w:color w:val="auto"/>
              </w:rPr>
            </w:pPr>
            <w:r>
              <w:rPr>
                <w:rFonts w:ascii="Arial" w:cs="Arial" w:eastAsia="Arial" w:hAnsi="Arial"/>
                <w:sz w:val="15"/>
                <w:szCs w:val="15"/>
                <w:color w:val="183964"/>
              </w:rPr>
              <w:t>—</w:t>
            </w:r>
          </w:p>
        </w:tc>
        <w:tc>
          <w:tcPr>
            <w:tcW w:w="1140" w:type="dxa"/>
            <w:vAlign w:val="bottom"/>
          </w:tcPr>
          <w:p>
            <w:pPr>
              <w:jc w:val="right"/>
              <w:ind w:right="327"/>
              <w:spacing w:after="0"/>
              <w:rPr>
                <w:sz w:val="20"/>
                <w:szCs w:val="20"/>
                <w:color w:val="auto"/>
              </w:rPr>
            </w:pPr>
            <w:r>
              <w:rPr>
                <w:rFonts w:ascii="Arial" w:cs="Arial" w:eastAsia="Arial" w:hAnsi="Arial"/>
                <w:sz w:val="15"/>
                <w:szCs w:val="15"/>
                <w:color w:val="183964"/>
              </w:rPr>
              <w:t>3,905</w:t>
            </w:r>
          </w:p>
        </w:tc>
        <w:tc>
          <w:tcPr>
            <w:tcW w:w="980" w:type="dxa"/>
            <w:vAlign w:val="bottom"/>
          </w:tcPr>
          <w:p>
            <w:pPr>
              <w:jc w:val="right"/>
              <w:ind w:right="7"/>
              <w:spacing w:after="0"/>
              <w:rPr>
                <w:sz w:val="20"/>
                <w:szCs w:val="20"/>
                <w:color w:val="auto"/>
              </w:rPr>
            </w:pPr>
            <w:r>
              <w:rPr>
                <w:rFonts w:ascii="Arial" w:cs="Arial" w:eastAsia="Arial" w:hAnsi="Arial"/>
                <w:sz w:val="15"/>
                <w:szCs w:val="15"/>
                <w:color w:val="183964"/>
              </w:rPr>
              <w:t>3,905</w:t>
            </w:r>
          </w:p>
        </w:tc>
      </w:tr>
      <w:tr>
        <w:trPr>
          <w:trHeight w:val="33"/>
        </w:trPr>
        <w:tc>
          <w:tcPr>
            <w:tcW w:w="3340" w:type="dxa"/>
            <w:vAlign w:val="bottom"/>
            <w:tcBorders>
              <w:bottom w:val="single" w:sz="8" w:color="001544"/>
            </w:tcBorders>
          </w:tcPr>
          <w:p>
            <w:pPr>
              <w:spacing w:after="0"/>
              <w:rPr>
                <w:sz w:val="2"/>
                <w:szCs w:val="2"/>
                <w:color w:val="auto"/>
              </w:rPr>
            </w:pPr>
          </w:p>
        </w:tc>
        <w:tc>
          <w:tcPr>
            <w:tcW w:w="1400" w:type="dxa"/>
            <w:vAlign w:val="bottom"/>
            <w:tcBorders>
              <w:bottom w:val="single" w:sz="8" w:color="001544"/>
            </w:tcBorders>
          </w:tcPr>
          <w:p>
            <w:pPr>
              <w:spacing w:after="0"/>
              <w:rPr>
                <w:sz w:val="2"/>
                <w:szCs w:val="2"/>
                <w:color w:val="auto"/>
              </w:rPr>
            </w:pPr>
          </w:p>
        </w:tc>
        <w:tc>
          <w:tcPr>
            <w:tcW w:w="1200" w:type="dxa"/>
            <w:vAlign w:val="bottom"/>
            <w:tcBorders>
              <w:bottom w:val="single" w:sz="8" w:color="001544"/>
            </w:tcBorders>
          </w:tcPr>
          <w:p>
            <w:pPr>
              <w:spacing w:after="0"/>
              <w:rPr>
                <w:sz w:val="2"/>
                <w:szCs w:val="2"/>
                <w:color w:val="auto"/>
              </w:rPr>
            </w:pPr>
          </w:p>
        </w:tc>
        <w:tc>
          <w:tcPr>
            <w:tcW w:w="80" w:type="dxa"/>
            <w:vAlign w:val="bottom"/>
            <w:tcBorders>
              <w:bottom w:val="single" w:sz="8" w:color="001544"/>
            </w:tcBorders>
          </w:tcPr>
          <w:p>
            <w:pPr>
              <w:spacing w:after="0"/>
              <w:rPr>
                <w:sz w:val="2"/>
                <w:szCs w:val="2"/>
                <w:color w:val="auto"/>
              </w:rPr>
            </w:pPr>
          </w:p>
        </w:tc>
        <w:tc>
          <w:tcPr>
            <w:tcW w:w="178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140" w:type="dxa"/>
            <w:vAlign w:val="bottom"/>
            <w:tcBorders>
              <w:bottom w:val="single" w:sz="8" w:color="001544"/>
            </w:tcBorders>
          </w:tcPr>
          <w:p>
            <w:pPr>
              <w:spacing w:after="0"/>
              <w:rPr>
                <w:sz w:val="2"/>
                <w:szCs w:val="2"/>
                <w:color w:val="auto"/>
              </w:rPr>
            </w:pPr>
          </w:p>
        </w:tc>
        <w:tc>
          <w:tcPr>
            <w:tcW w:w="980" w:type="dxa"/>
            <w:vAlign w:val="bottom"/>
            <w:tcBorders>
              <w:bottom w:val="single" w:sz="8" w:color="001544"/>
            </w:tcBorders>
          </w:tcPr>
          <w:p>
            <w:pPr>
              <w:spacing w:after="0"/>
              <w:rPr>
                <w:sz w:val="2"/>
                <w:szCs w:val="2"/>
                <w:color w:val="auto"/>
              </w:rPr>
            </w:pPr>
          </w:p>
        </w:tc>
      </w:tr>
    </w:tbl>
    <w:p>
      <w:pPr>
        <w:spacing w:after="0" w:line="176" w:lineRule="exact"/>
        <w:rPr>
          <w:sz w:val="20"/>
          <w:szCs w:val="20"/>
          <w:color w:val="auto"/>
        </w:rPr>
      </w:pPr>
    </w:p>
    <w:p>
      <w:pPr>
        <w:ind w:left="220" w:right="180" w:hanging="212"/>
        <w:spacing w:after="0" w:line="259" w:lineRule="auto"/>
        <w:tabs>
          <w:tab w:leader="none" w:pos="226" w:val="left"/>
        </w:tabs>
        <w:numPr>
          <w:ilvl w:val="0"/>
          <w:numId w:val="30"/>
        </w:numPr>
        <w:rPr>
          <w:rFonts w:ascii="Arial" w:cs="Arial" w:eastAsia="Arial" w:hAnsi="Arial"/>
          <w:sz w:val="11"/>
          <w:szCs w:val="11"/>
          <w:color w:val="183964"/>
        </w:rPr>
      </w:pPr>
      <w:r>
        <w:rPr>
          <w:rFonts w:ascii="Arial" w:cs="Arial" w:eastAsia="Arial" w:hAnsi="Arial"/>
          <w:sz w:val="11"/>
          <w:szCs w:val="11"/>
          <w:color w:val="183964"/>
        </w:rPr>
        <w:t>Excluded from the table above are short-term investments of $86,666 and cash equivalent of $62,179 that are classified at amortized cost as of December 31, 2024. The cost of these short-term investments and cash equivalent approximates current fair value.</w:t>
      </w:r>
    </w:p>
    <w:p>
      <w:pPr>
        <w:spacing w:after="0" w:line="24" w:lineRule="exact"/>
        <w:rPr>
          <w:rFonts w:ascii="Arial" w:cs="Arial" w:eastAsia="Arial" w:hAnsi="Arial"/>
          <w:sz w:val="11"/>
          <w:szCs w:val="11"/>
          <w:color w:val="183964"/>
        </w:rPr>
      </w:pPr>
    </w:p>
    <w:p>
      <w:pPr>
        <w:ind w:left="220" w:hanging="212"/>
        <w:spacing w:after="0"/>
        <w:tabs>
          <w:tab w:leader="none" w:pos="220" w:val="left"/>
        </w:tabs>
        <w:numPr>
          <w:ilvl w:val="0"/>
          <w:numId w:val="30"/>
        </w:numPr>
        <w:rPr>
          <w:rFonts w:ascii="Arial" w:cs="Arial" w:eastAsia="Arial" w:hAnsi="Arial"/>
          <w:sz w:val="11"/>
          <w:szCs w:val="11"/>
          <w:color w:val="183964"/>
        </w:rPr>
      </w:pPr>
      <w:r>
        <w:rPr>
          <w:rFonts w:ascii="Arial" w:cs="Arial" w:eastAsia="Arial" w:hAnsi="Arial"/>
          <w:sz w:val="11"/>
          <w:szCs w:val="11"/>
          <w:color w:val="183964"/>
        </w:rPr>
        <w:t>Included within cash and cash equivalents.</w:t>
      </w:r>
    </w:p>
    <w:p>
      <w:pPr>
        <w:spacing w:after="0" w:line="35" w:lineRule="exact"/>
        <w:rPr>
          <w:rFonts w:ascii="Arial" w:cs="Arial" w:eastAsia="Arial" w:hAnsi="Arial"/>
          <w:sz w:val="11"/>
          <w:szCs w:val="11"/>
          <w:color w:val="183964"/>
        </w:rPr>
      </w:pPr>
    </w:p>
    <w:p>
      <w:pPr>
        <w:ind w:left="220" w:hanging="212"/>
        <w:spacing w:after="0"/>
        <w:tabs>
          <w:tab w:leader="none" w:pos="220" w:val="left"/>
        </w:tabs>
        <w:numPr>
          <w:ilvl w:val="0"/>
          <w:numId w:val="30"/>
        </w:numPr>
        <w:rPr>
          <w:rFonts w:ascii="Arial" w:cs="Arial" w:eastAsia="Arial" w:hAnsi="Arial"/>
          <w:sz w:val="11"/>
          <w:szCs w:val="11"/>
          <w:color w:val="183964"/>
        </w:rPr>
      </w:pPr>
      <w:r>
        <w:rPr>
          <w:rFonts w:ascii="Arial" w:cs="Arial" w:eastAsia="Arial" w:hAnsi="Arial"/>
          <w:sz w:val="11"/>
          <w:szCs w:val="11"/>
          <w:color w:val="183964"/>
        </w:rPr>
        <w:t>The carrying amount of $191,426 reflects the fair value of $196,733 as of December 31, 2024, net of $5,307 in equity method loss allocated to the long-term interest.</w:t>
      </w:r>
    </w:p>
    <w:p>
      <w:pPr>
        <w:spacing w:after="0" w:line="367" w:lineRule="exact"/>
        <w:rPr>
          <w:sz w:val="20"/>
          <w:szCs w:val="20"/>
          <w:color w:val="auto"/>
        </w:rPr>
      </w:pPr>
    </w:p>
    <w:p>
      <w:pPr>
        <w:ind w:left="440" w:hanging="432"/>
        <w:spacing w:after="0"/>
        <w:tabs>
          <w:tab w:leader="none" w:pos="440" w:val="left"/>
        </w:tabs>
        <w:numPr>
          <w:ilvl w:val="0"/>
          <w:numId w:val="31"/>
        </w:numPr>
        <w:rPr>
          <w:rFonts w:ascii="Arial" w:cs="Arial" w:eastAsia="Arial" w:hAnsi="Arial"/>
          <w:sz w:val="15"/>
          <w:szCs w:val="15"/>
          <w:b w:val="1"/>
          <w:bCs w:val="1"/>
          <w:color w:val="183964"/>
        </w:rPr>
      </w:pPr>
      <w:r>
        <w:rPr>
          <w:rFonts w:ascii="Arial" w:cs="Arial" w:eastAsia="Arial" w:hAnsi="Arial"/>
          <w:sz w:val="15"/>
          <w:szCs w:val="15"/>
          <w:b w:val="1"/>
          <w:bCs w:val="1"/>
          <w:color w:val="183964"/>
        </w:rPr>
        <w:t>Non-Controlling Interest</w:t>
      </w:r>
    </w:p>
    <w:p>
      <w:pPr>
        <w:spacing w:after="0" w:line="100" w:lineRule="exact"/>
        <w:rPr>
          <w:sz w:val="20"/>
          <w:szCs w:val="20"/>
          <w:color w:val="auto"/>
        </w:rPr>
      </w:pPr>
    </w:p>
    <w:p>
      <w:pPr>
        <w:ind w:right="260"/>
        <w:spacing w:after="0" w:line="273" w:lineRule="auto"/>
        <w:rPr>
          <w:sz w:val="20"/>
          <w:szCs w:val="20"/>
          <w:color w:val="auto"/>
        </w:rPr>
      </w:pPr>
      <w:r>
        <w:rPr>
          <w:rFonts w:ascii="Arial" w:cs="Arial" w:eastAsia="Arial" w:hAnsi="Arial"/>
          <w:sz w:val="15"/>
          <w:szCs w:val="15"/>
          <w:color w:val="auto"/>
        </w:rPr>
        <w:t>As of June 30, 2025 and December 31, 2024, non-controlling interests included Entrega and Follica. Ownership interests of the non-controlling interests in these entities as of June 30, 2025 were 11.7%, and 19.9%, respectively. There was no change from December 31, 2024 in the ownership interests of the non-controlling interests in these two entities. Non-controlling interests include the amounts recorded for subsidiary stock awards.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changes in the non-controlling ownership interest in subsidiaries: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183964"/>
              </w:rPr>
              <w:t>Non-Controlling</w:t>
            </w:r>
          </w:p>
        </w:tc>
        <w:tc>
          <w:tcPr>
            <w:tcW w:w="0" w:type="dxa"/>
            <w:vAlign w:val="bottom"/>
          </w:tcPr>
          <w:p>
            <w:pPr>
              <w:spacing w:after="0"/>
              <w:rPr>
                <w:sz w:val="1"/>
                <w:szCs w:val="1"/>
                <w:color w:val="auto"/>
              </w:rPr>
            </w:pPr>
          </w:p>
        </w:tc>
      </w:tr>
      <w:tr>
        <w:trPr>
          <w:trHeight w:val="149"/>
        </w:trPr>
        <w:tc>
          <w:tcPr>
            <w:tcW w:w="68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183964"/>
              </w:rPr>
              <w:t>Interest</w:t>
            </w:r>
          </w:p>
        </w:tc>
        <w:tc>
          <w:tcPr>
            <w:tcW w:w="0" w:type="dxa"/>
            <w:vAlign w:val="bottom"/>
          </w:tcPr>
          <w:p>
            <w:pPr>
              <w:spacing w:after="0"/>
              <w:rPr>
                <w:sz w:val="1"/>
                <w:szCs w:val="1"/>
                <w:color w:val="auto"/>
              </w:rPr>
            </w:pPr>
          </w:p>
        </w:tc>
      </w:tr>
      <w:tr>
        <w:trPr>
          <w:trHeight w:val="166"/>
        </w:trPr>
        <w:tc>
          <w:tcPr>
            <w:tcW w:w="68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183964"/>
              </w:rPr>
              <w:t>$</w:t>
            </w:r>
          </w:p>
        </w:tc>
        <w:tc>
          <w:tcPr>
            <w:tcW w:w="0" w:type="dxa"/>
            <w:vAlign w:val="bottom"/>
          </w:tcPr>
          <w:p>
            <w:pPr>
              <w:spacing w:after="0"/>
              <w:rPr>
                <w:sz w:val="1"/>
                <w:szCs w:val="1"/>
                <w:color w:val="auto"/>
              </w:rPr>
            </w:pPr>
          </w:p>
        </w:tc>
      </w:tr>
      <w:tr>
        <w:trPr>
          <w:trHeight w:val="41"/>
        </w:trPr>
        <w:tc>
          <w:tcPr>
            <w:tcW w:w="6840" w:type="dxa"/>
            <w:vAlign w:val="bottom"/>
            <w:tcBorders>
              <w:bottom w:val="single" w:sz="8" w:color="001544"/>
            </w:tcBorders>
          </w:tcPr>
          <w:p>
            <w:pPr>
              <w:spacing w:after="0"/>
              <w:rPr>
                <w:sz w:val="3"/>
                <w:szCs w:val="3"/>
                <w:color w:val="auto"/>
              </w:rPr>
            </w:pPr>
          </w:p>
        </w:tc>
        <w:tc>
          <w:tcPr>
            <w:tcW w:w="3260" w:type="dxa"/>
            <w:vAlign w:val="bottom"/>
            <w:tcBorders>
              <w:bottom w:val="single" w:sz="8" w:color="001544"/>
            </w:tcBorders>
          </w:tcPr>
          <w:p>
            <w:pPr>
              <w:spacing w:after="0"/>
              <w:rPr>
                <w:sz w:val="3"/>
                <w:szCs w:val="3"/>
                <w:color w:val="auto"/>
              </w:rPr>
            </w:pPr>
          </w:p>
        </w:tc>
        <w:tc>
          <w:tcPr>
            <w:tcW w:w="1120" w:type="dxa"/>
            <w:vAlign w:val="bottom"/>
            <w:tcBorders>
              <w:bottom w:val="single" w:sz="8" w:color="001544"/>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6840" w:type="dxa"/>
            <w:vAlign w:val="bottom"/>
          </w:tcPr>
          <w:p>
            <w:pPr>
              <w:ind w:left="20"/>
              <w:spacing w:after="0"/>
              <w:rPr>
                <w:sz w:val="20"/>
                <w:szCs w:val="20"/>
                <w:color w:val="auto"/>
              </w:rPr>
            </w:pPr>
            <w:r>
              <w:rPr>
                <w:rFonts w:ascii="Arial" w:cs="Arial" w:eastAsia="Arial" w:hAnsi="Arial"/>
                <w:sz w:val="15"/>
                <w:szCs w:val="15"/>
                <w:b w:val="1"/>
                <w:bCs w:val="1"/>
                <w:color w:val="auto"/>
              </w:rPr>
              <w:t>Balance as of December 31, 2024 and January 1, 2025</w:t>
            </w:r>
          </w:p>
        </w:tc>
        <w:tc>
          <w:tcPr>
            <w:tcW w:w="3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(6,774)</w:t>
            </w:r>
          </w:p>
        </w:tc>
        <w:tc>
          <w:tcPr>
            <w:tcW w:w="0" w:type="dxa"/>
            <w:vAlign w:val="bottom"/>
          </w:tcPr>
          <w:p>
            <w:pPr>
              <w:spacing w:after="0"/>
              <w:rPr>
                <w:sz w:val="1"/>
                <w:szCs w:val="1"/>
                <w:color w:val="auto"/>
              </w:rPr>
            </w:pPr>
          </w:p>
        </w:tc>
      </w:tr>
      <w:tr>
        <w:trPr>
          <w:trHeight w:val="25"/>
        </w:trPr>
        <w:tc>
          <w:tcPr>
            <w:tcW w:w="6840" w:type="dxa"/>
            <w:vAlign w:val="bottom"/>
            <w:tcBorders>
              <w:bottom w:val="single" w:sz="8" w:color="001544"/>
            </w:tcBorders>
          </w:tcPr>
          <w:p>
            <w:pPr>
              <w:spacing w:after="0"/>
              <w:rPr>
                <w:sz w:val="2"/>
                <w:szCs w:val="2"/>
                <w:color w:val="auto"/>
              </w:rPr>
            </w:pPr>
          </w:p>
        </w:tc>
        <w:tc>
          <w:tcPr>
            <w:tcW w:w="3260" w:type="dxa"/>
            <w:vAlign w:val="bottom"/>
            <w:tcBorders>
              <w:bottom w:val="single" w:sz="8" w:color="001544"/>
            </w:tcBorders>
          </w:tcPr>
          <w:p>
            <w:pPr>
              <w:spacing w:after="0"/>
              <w:rPr>
                <w:sz w:val="2"/>
                <w:szCs w:val="2"/>
                <w:color w:val="auto"/>
              </w:rPr>
            </w:pPr>
          </w:p>
        </w:tc>
        <w:tc>
          <w:tcPr>
            <w:tcW w:w="1120" w:type="dxa"/>
            <w:vAlign w:val="bottom"/>
            <w:tcBorders>
              <w:bottom w:val="single" w:sz="8" w:color="001544"/>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840" w:type="dxa"/>
            <w:vAlign w:val="bottom"/>
          </w:tcPr>
          <w:p>
            <w:pPr>
              <w:ind w:left="20"/>
              <w:spacing w:after="0"/>
              <w:rPr>
                <w:sz w:val="20"/>
                <w:szCs w:val="20"/>
                <w:color w:val="auto"/>
              </w:rPr>
            </w:pPr>
            <w:r>
              <w:rPr>
                <w:rFonts w:ascii="Arial" w:cs="Arial" w:eastAsia="Arial" w:hAnsi="Arial"/>
                <w:sz w:val="15"/>
                <w:szCs w:val="15"/>
                <w:color w:val="auto"/>
              </w:rPr>
              <w:t>Share of comprehensive income (loss)</w:t>
            </w:r>
          </w:p>
        </w:tc>
        <w:tc>
          <w:tcPr>
            <w:tcW w:w="3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183964"/>
              </w:rPr>
              <w:t>(176)</w:t>
            </w:r>
          </w:p>
        </w:tc>
        <w:tc>
          <w:tcPr>
            <w:tcW w:w="0" w:type="dxa"/>
            <w:vAlign w:val="bottom"/>
          </w:tcPr>
          <w:p>
            <w:pPr>
              <w:spacing w:after="0"/>
              <w:rPr>
                <w:sz w:val="1"/>
                <w:szCs w:val="1"/>
                <w:color w:val="auto"/>
              </w:rPr>
            </w:pPr>
          </w:p>
        </w:tc>
      </w:tr>
      <w:tr>
        <w:trPr>
          <w:trHeight w:val="33"/>
        </w:trPr>
        <w:tc>
          <w:tcPr>
            <w:tcW w:w="6840" w:type="dxa"/>
            <w:vAlign w:val="bottom"/>
            <w:tcBorders>
              <w:bottom w:val="single" w:sz="8" w:color="001544"/>
            </w:tcBorders>
          </w:tcPr>
          <w:p>
            <w:pPr>
              <w:spacing w:after="0"/>
              <w:rPr>
                <w:sz w:val="2"/>
                <w:szCs w:val="2"/>
                <w:color w:val="auto"/>
              </w:rPr>
            </w:pPr>
          </w:p>
        </w:tc>
        <w:tc>
          <w:tcPr>
            <w:tcW w:w="3260" w:type="dxa"/>
            <w:vAlign w:val="bottom"/>
            <w:tcBorders>
              <w:bottom w:val="single" w:sz="8" w:color="001544"/>
            </w:tcBorders>
          </w:tcPr>
          <w:p>
            <w:pPr>
              <w:spacing w:after="0"/>
              <w:rPr>
                <w:sz w:val="2"/>
                <w:szCs w:val="2"/>
                <w:color w:val="auto"/>
              </w:rPr>
            </w:pPr>
          </w:p>
        </w:tc>
        <w:tc>
          <w:tcPr>
            <w:tcW w:w="1120" w:type="dxa"/>
            <w:vAlign w:val="bottom"/>
            <w:tcBorders>
              <w:bottom w:val="single" w:sz="8" w:color="001544"/>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840" w:type="dxa"/>
            <w:vAlign w:val="bottom"/>
          </w:tcPr>
          <w:p>
            <w:pPr>
              <w:ind w:left="20"/>
              <w:spacing w:after="0"/>
              <w:rPr>
                <w:sz w:val="20"/>
                <w:szCs w:val="20"/>
                <w:color w:val="auto"/>
              </w:rPr>
            </w:pPr>
            <w:r>
              <w:rPr>
                <w:rFonts w:ascii="Arial" w:cs="Arial" w:eastAsia="Arial" w:hAnsi="Arial"/>
                <w:sz w:val="15"/>
                <w:szCs w:val="15"/>
                <w:b w:val="1"/>
                <w:bCs w:val="1"/>
                <w:color w:val="auto"/>
              </w:rPr>
              <w:t>Balance as of June 30, 2025</w:t>
            </w:r>
          </w:p>
        </w:tc>
        <w:tc>
          <w:tcPr>
            <w:tcW w:w="3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(6,950)</w:t>
            </w:r>
          </w:p>
        </w:tc>
        <w:tc>
          <w:tcPr>
            <w:tcW w:w="0" w:type="dxa"/>
            <w:vAlign w:val="bottom"/>
          </w:tcPr>
          <w:p>
            <w:pPr>
              <w:spacing w:after="0"/>
              <w:rPr>
                <w:sz w:val="1"/>
                <w:szCs w:val="1"/>
                <w:color w:val="auto"/>
              </w:rPr>
            </w:pPr>
          </w:p>
        </w:tc>
      </w:tr>
      <w:tr>
        <w:trPr>
          <w:trHeight w:val="25"/>
        </w:trPr>
        <w:tc>
          <w:tcPr>
            <w:tcW w:w="6840" w:type="dxa"/>
            <w:vAlign w:val="bottom"/>
            <w:tcBorders>
              <w:bottom w:val="single" w:sz="8" w:color="001544"/>
            </w:tcBorders>
          </w:tcPr>
          <w:p>
            <w:pPr>
              <w:spacing w:after="0"/>
              <w:rPr>
                <w:sz w:val="2"/>
                <w:szCs w:val="2"/>
                <w:color w:val="auto"/>
              </w:rPr>
            </w:pPr>
          </w:p>
        </w:tc>
        <w:tc>
          <w:tcPr>
            <w:tcW w:w="3260" w:type="dxa"/>
            <w:vAlign w:val="bottom"/>
            <w:tcBorders>
              <w:bottom w:val="single" w:sz="8" w:color="001544"/>
            </w:tcBorders>
          </w:tcPr>
          <w:p>
            <w:pPr>
              <w:spacing w:after="0"/>
              <w:rPr>
                <w:sz w:val="2"/>
                <w:szCs w:val="2"/>
                <w:color w:val="auto"/>
              </w:rPr>
            </w:pPr>
          </w:p>
        </w:tc>
        <w:tc>
          <w:tcPr>
            <w:tcW w:w="1120" w:type="dxa"/>
            <w:vAlign w:val="bottom"/>
            <w:tcBorders>
              <w:bottom w:val="single" w:sz="8" w:color="001544"/>
            </w:tcBorders>
          </w:tcPr>
          <w:p>
            <w:pPr>
              <w:spacing w:after="0"/>
              <w:rPr>
                <w:sz w:val="2"/>
                <w:szCs w:val="2"/>
                <w:color w:val="auto"/>
              </w:rPr>
            </w:pPr>
          </w:p>
        </w:tc>
        <w:tc>
          <w:tcPr>
            <w:tcW w:w="0" w:type="dxa"/>
            <w:vAlign w:val="bottom"/>
          </w:tcPr>
          <w:p>
            <w:pPr>
              <w:spacing w:after="0"/>
              <w:rPr>
                <w:sz w:val="1"/>
                <w:szCs w:val="1"/>
                <w:color w:val="auto"/>
              </w:rPr>
            </w:pPr>
          </w:p>
        </w:tc>
      </w:tr>
      <w:tr>
        <w:trPr>
          <w:trHeight w:val="360"/>
        </w:trPr>
        <w:tc>
          <w:tcPr>
            <w:tcW w:w="6840" w:type="dxa"/>
            <w:vAlign w:val="bottom"/>
          </w:tcPr>
          <w:p>
            <w:pPr>
              <w:spacing w:after="0"/>
              <w:rPr>
                <w:sz w:val="20"/>
                <w:szCs w:val="20"/>
                <w:color w:val="auto"/>
              </w:rPr>
            </w:pPr>
            <w:r>
              <w:rPr>
                <w:rFonts w:ascii="Arial" w:cs="Arial" w:eastAsia="Arial" w:hAnsi="Arial"/>
                <w:sz w:val="15"/>
                <w:szCs w:val="15"/>
                <w:b w:val="1"/>
                <w:bCs w:val="1"/>
                <w:color w:val="183964"/>
              </w:rPr>
              <w:t>15.   Trade and Other Payables</w:t>
            </w:r>
          </w:p>
        </w:tc>
        <w:tc>
          <w:tcPr>
            <w:tcW w:w="3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840" w:type="dxa"/>
            <w:vAlign w:val="bottom"/>
          </w:tcPr>
          <w:p>
            <w:pPr>
              <w:spacing w:after="0"/>
              <w:rPr>
                <w:sz w:val="20"/>
                <w:szCs w:val="20"/>
                <w:color w:val="auto"/>
              </w:rPr>
            </w:pPr>
            <w:r>
              <w:rPr>
                <w:rFonts w:ascii="Arial" w:cs="Arial" w:eastAsia="Arial" w:hAnsi="Arial"/>
                <w:sz w:val="15"/>
                <w:szCs w:val="15"/>
                <w:color w:val="auto"/>
              </w:rPr>
              <w:t>Information regarding Trade and other payables was as follows:</w:t>
            </w:r>
          </w:p>
        </w:tc>
        <w:tc>
          <w:tcPr>
            <w:tcW w:w="3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840" w:type="dxa"/>
            <w:vAlign w:val="bottom"/>
            <w:vMerge w:val="restart"/>
          </w:tcPr>
          <w:p>
            <w:pPr>
              <w:ind w:left="20"/>
              <w:spacing w:after="0"/>
              <w:rPr>
                <w:sz w:val="20"/>
                <w:szCs w:val="20"/>
                <w:color w:val="auto"/>
              </w:rPr>
            </w:pPr>
            <w:r>
              <w:rPr>
                <w:rFonts w:ascii="Arial" w:cs="Arial" w:eastAsia="Arial" w:hAnsi="Arial"/>
                <w:sz w:val="13"/>
                <w:szCs w:val="13"/>
                <w:color w:val="auto"/>
              </w:rPr>
              <w:t>Balance as of June 30, 2025 and December 31, 2024</w:t>
            </w:r>
          </w:p>
        </w:tc>
        <w:tc>
          <w:tcPr>
            <w:tcW w:w="3260" w:type="dxa"/>
            <w:vAlign w:val="bottom"/>
          </w:tcPr>
          <w:p>
            <w:pPr>
              <w:jc w:val="right"/>
              <w:ind w:right="127"/>
              <w:spacing w:after="0"/>
              <w:rPr>
                <w:sz w:val="20"/>
                <w:szCs w:val="20"/>
                <w:color w:val="auto"/>
              </w:rPr>
            </w:pPr>
            <w:r>
              <w:rPr>
                <w:rFonts w:ascii="Arial" w:cs="Arial" w:eastAsia="Arial" w:hAnsi="Arial"/>
                <w:sz w:val="13"/>
                <w:szCs w:val="13"/>
                <w:b w:val="1"/>
                <w:bCs w:val="1"/>
                <w:color w:val="auto"/>
              </w:rPr>
              <w:t>2025</w:t>
            </w:r>
          </w:p>
        </w:tc>
        <w:tc>
          <w:tcPr>
            <w:tcW w:w="1120" w:type="dxa"/>
            <w:vAlign w:val="bottom"/>
          </w:tcPr>
          <w:p>
            <w:pPr>
              <w:jc w:val="right"/>
              <w:spacing w:after="0"/>
              <w:rPr>
                <w:sz w:val="20"/>
                <w:szCs w:val="20"/>
                <w:color w:val="auto"/>
              </w:rPr>
            </w:pPr>
            <w:r>
              <w:rPr>
                <w:rFonts w:ascii="Arial" w:cs="Arial" w:eastAsia="Arial" w:hAnsi="Arial"/>
                <w:sz w:val="13"/>
                <w:szCs w:val="13"/>
                <w:color w:val="183964"/>
              </w:rPr>
              <w:t>2024</w:t>
            </w:r>
          </w:p>
        </w:tc>
        <w:tc>
          <w:tcPr>
            <w:tcW w:w="0" w:type="dxa"/>
            <w:vAlign w:val="bottom"/>
          </w:tcPr>
          <w:p>
            <w:pPr>
              <w:spacing w:after="0"/>
              <w:rPr>
                <w:sz w:val="1"/>
                <w:szCs w:val="1"/>
                <w:color w:val="auto"/>
              </w:rPr>
            </w:pPr>
          </w:p>
        </w:tc>
      </w:tr>
      <w:tr>
        <w:trPr>
          <w:trHeight w:val="176"/>
        </w:trPr>
        <w:tc>
          <w:tcPr>
            <w:tcW w:w="6840" w:type="dxa"/>
            <w:vAlign w:val="bottom"/>
            <w:tcBorders>
              <w:bottom w:val="single" w:sz="8" w:color="001544"/>
            </w:tcBorders>
            <w:vMerge w:val="continue"/>
          </w:tcPr>
          <w:p>
            <w:pPr>
              <w:spacing w:after="0"/>
              <w:rPr>
                <w:sz w:val="15"/>
                <w:szCs w:val="15"/>
                <w:color w:val="auto"/>
              </w:rPr>
            </w:pPr>
          </w:p>
        </w:tc>
        <w:tc>
          <w:tcPr>
            <w:tcW w:w="3260" w:type="dxa"/>
            <w:vAlign w:val="bottom"/>
            <w:tcBorders>
              <w:bottom w:val="single" w:sz="8" w:color="001544"/>
            </w:tcBorders>
          </w:tcPr>
          <w:p>
            <w:pPr>
              <w:jc w:val="right"/>
              <w:ind w:right="127"/>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001544"/>
            </w:tcBorders>
          </w:tcPr>
          <w:p>
            <w:pPr>
              <w:jc w:val="right"/>
              <w:spacing w:after="0"/>
              <w:rPr>
                <w:sz w:val="20"/>
                <w:szCs w:val="20"/>
                <w:color w:val="auto"/>
              </w:rPr>
            </w:pPr>
            <w:r>
              <w:rPr>
                <w:rFonts w:ascii="Arial" w:cs="Arial" w:eastAsia="Arial" w:hAnsi="Arial"/>
                <w:sz w:val="13"/>
                <w:szCs w:val="13"/>
                <w:color w:val="183964"/>
              </w:rPr>
              <w:t>$</w:t>
            </w:r>
          </w:p>
        </w:tc>
        <w:tc>
          <w:tcPr>
            <w:tcW w:w="0" w:type="dxa"/>
            <w:vAlign w:val="bottom"/>
          </w:tcPr>
          <w:p>
            <w:pPr>
              <w:spacing w:after="0"/>
              <w:rPr>
                <w:sz w:val="1"/>
                <w:szCs w:val="1"/>
                <w:color w:val="auto"/>
              </w:rPr>
            </w:pPr>
          </w:p>
        </w:tc>
      </w:tr>
      <w:tr>
        <w:trPr>
          <w:trHeight w:val="215"/>
        </w:trPr>
        <w:tc>
          <w:tcPr>
            <w:tcW w:w="6840" w:type="dxa"/>
            <w:vAlign w:val="bottom"/>
          </w:tcPr>
          <w:p>
            <w:pPr>
              <w:ind w:left="20"/>
              <w:spacing w:after="0"/>
              <w:rPr>
                <w:sz w:val="20"/>
                <w:szCs w:val="20"/>
                <w:color w:val="auto"/>
              </w:rPr>
            </w:pPr>
            <w:r>
              <w:rPr>
                <w:rFonts w:ascii="Arial" w:cs="Arial" w:eastAsia="Arial" w:hAnsi="Arial"/>
                <w:sz w:val="15"/>
                <w:szCs w:val="15"/>
                <w:color w:val="auto"/>
              </w:rPr>
              <w:t>Trade payables</w:t>
            </w:r>
          </w:p>
        </w:tc>
        <w:tc>
          <w:tcPr>
            <w:tcW w:w="3260" w:type="dxa"/>
            <w:vAlign w:val="bottom"/>
          </w:tcPr>
          <w:p>
            <w:pPr>
              <w:jc w:val="right"/>
              <w:ind w:right="187"/>
              <w:spacing w:after="0"/>
              <w:rPr>
                <w:sz w:val="20"/>
                <w:szCs w:val="20"/>
                <w:color w:val="auto"/>
              </w:rPr>
            </w:pPr>
            <w:r>
              <w:rPr>
                <w:rFonts w:ascii="Arial" w:cs="Arial" w:eastAsia="Arial" w:hAnsi="Arial"/>
                <w:sz w:val="15"/>
                <w:szCs w:val="15"/>
                <w:b w:val="1"/>
                <w:bCs w:val="1"/>
                <w:color w:val="auto"/>
              </w:rPr>
              <w:t>4,698</w:t>
            </w:r>
          </w:p>
        </w:tc>
        <w:tc>
          <w:tcPr>
            <w:tcW w:w="1120" w:type="dxa"/>
            <w:vAlign w:val="bottom"/>
          </w:tcPr>
          <w:p>
            <w:pPr>
              <w:jc w:val="right"/>
              <w:ind w:right="9"/>
              <w:spacing w:after="0"/>
              <w:rPr>
                <w:sz w:val="20"/>
                <w:szCs w:val="20"/>
                <w:color w:val="auto"/>
              </w:rPr>
            </w:pPr>
            <w:r>
              <w:rPr>
                <w:rFonts w:ascii="Arial" w:cs="Arial" w:eastAsia="Arial" w:hAnsi="Arial"/>
                <w:sz w:val="15"/>
                <w:szCs w:val="15"/>
                <w:color w:val="183964"/>
              </w:rPr>
              <w:t>5,522</w:t>
            </w: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Arial" w:cs="Arial" w:eastAsia="Arial" w:hAnsi="Arial"/>
                <w:sz w:val="15"/>
                <w:szCs w:val="15"/>
                <w:color w:val="auto"/>
              </w:rPr>
              <w:t>Accrued expenses</w:t>
            </w:r>
          </w:p>
        </w:tc>
        <w:tc>
          <w:tcPr>
            <w:tcW w:w="3260" w:type="dxa"/>
            <w:vAlign w:val="bottom"/>
          </w:tcPr>
          <w:p>
            <w:pPr>
              <w:jc w:val="right"/>
              <w:ind w:right="187"/>
              <w:spacing w:after="0"/>
              <w:rPr>
                <w:sz w:val="20"/>
                <w:szCs w:val="20"/>
                <w:color w:val="auto"/>
              </w:rPr>
            </w:pPr>
            <w:r>
              <w:rPr>
                <w:rFonts w:ascii="Arial" w:cs="Arial" w:eastAsia="Arial" w:hAnsi="Arial"/>
                <w:sz w:val="15"/>
                <w:szCs w:val="15"/>
                <w:b w:val="1"/>
                <w:bCs w:val="1"/>
                <w:color w:val="auto"/>
              </w:rPr>
              <w:t>12,601</w:t>
            </w:r>
          </w:p>
        </w:tc>
        <w:tc>
          <w:tcPr>
            <w:tcW w:w="1120" w:type="dxa"/>
            <w:vAlign w:val="bottom"/>
          </w:tcPr>
          <w:p>
            <w:pPr>
              <w:jc w:val="right"/>
              <w:ind w:right="9"/>
              <w:spacing w:after="0"/>
              <w:rPr>
                <w:sz w:val="20"/>
                <w:szCs w:val="20"/>
                <w:color w:val="auto"/>
              </w:rPr>
            </w:pPr>
            <w:r>
              <w:rPr>
                <w:rFonts w:ascii="Arial" w:cs="Arial" w:eastAsia="Arial" w:hAnsi="Arial"/>
                <w:sz w:val="15"/>
                <w:szCs w:val="15"/>
                <w:color w:val="183964"/>
              </w:rPr>
              <w:t>18,705</w:t>
            </w: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Arial" w:cs="Arial" w:eastAsia="Arial" w:hAnsi="Arial"/>
                <w:sz w:val="15"/>
                <w:szCs w:val="15"/>
                <w:color w:val="auto"/>
              </w:rPr>
              <w:t>Liability for share-based awards- short term</w:t>
            </w:r>
          </w:p>
        </w:tc>
        <w:tc>
          <w:tcPr>
            <w:tcW w:w="3260" w:type="dxa"/>
            <w:vAlign w:val="bottom"/>
          </w:tcPr>
          <w:p>
            <w:pPr>
              <w:jc w:val="right"/>
              <w:ind w:right="187"/>
              <w:spacing w:after="0"/>
              <w:rPr>
                <w:sz w:val="20"/>
                <w:szCs w:val="20"/>
                <w:color w:val="auto"/>
              </w:rPr>
            </w:pPr>
            <w:r>
              <w:rPr>
                <w:rFonts w:ascii="Arial" w:cs="Arial" w:eastAsia="Arial" w:hAnsi="Arial"/>
                <w:sz w:val="15"/>
                <w:szCs w:val="15"/>
                <w:b w:val="1"/>
                <w:bCs w:val="1"/>
                <w:color w:val="auto"/>
              </w:rPr>
              <w:t>1,506</w:t>
            </w:r>
          </w:p>
        </w:tc>
        <w:tc>
          <w:tcPr>
            <w:tcW w:w="1120" w:type="dxa"/>
            <w:vAlign w:val="bottom"/>
          </w:tcPr>
          <w:p>
            <w:pPr>
              <w:jc w:val="right"/>
              <w:ind w:right="9"/>
              <w:spacing w:after="0"/>
              <w:rPr>
                <w:sz w:val="20"/>
                <w:szCs w:val="20"/>
                <w:color w:val="auto"/>
              </w:rPr>
            </w:pPr>
            <w:r>
              <w:rPr>
                <w:rFonts w:ascii="Arial" w:cs="Arial" w:eastAsia="Arial" w:hAnsi="Arial"/>
                <w:sz w:val="15"/>
                <w:szCs w:val="15"/>
                <w:color w:val="183964"/>
              </w:rPr>
              <w:t>1,875</w:t>
            </w: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Arial" w:cs="Arial" w:eastAsia="Arial" w:hAnsi="Arial"/>
                <w:sz w:val="15"/>
                <w:szCs w:val="15"/>
                <w:color w:val="auto"/>
              </w:rPr>
              <w:t>Other</w:t>
            </w:r>
          </w:p>
        </w:tc>
        <w:tc>
          <w:tcPr>
            <w:tcW w:w="3260" w:type="dxa"/>
            <w:vAlign w:val="bottom"/>
          </w:tcPr>
          <w:p>
            <w:pPr>
              <w:jc w:val="right"/>
              <w:ind w:right="187"/>
              <w:spacing w:after="0"/>
              <w:rPr>
                <w:sz w:val="20"/>
                <w:szCs w:val="20"/>
                <w:color w:val="auto"/>
              </w:rPr>
            </w:pPr>
            <w:r>
              <w:rPr>
                <w:rFonts w:ascii="Arial" w:cs="Arial" w:eastAsia="Arial" w:hAnsi="Arial"/>
                <w:sz w:val="15"/>
                <w:szCs w:val="15"/>
                <w:b w:val="1"/>
                <w:bCs w:val="1"/>
                <w:color w:val="auto"/>
              </w:rPr>
              <w:t>15</w:t>
            </w:r>
          </w:p>
        </w:tc>
        <w:tc>
          <w:tcPr>
            <w:tcW w:w="1120" w:type="dxa"/>
            <w:vAlign w:val="bottom"/>
          </w:tcPr>
          <w:p>
            <w:pPr>
              <w:jc w:val="right"/>
              <w:ind w:right="9"/>
              <w:spacing w:after="0"/>
              <w:rPr>
                <w:sz w:val="20"/>
                <w:szCs w:val="20"/>
                <w:color w:val="auto"/>
              </w:rPr>
            </w:pPr>
            <w:r>
              <w:rPr>
                <w:rFonts w:ascii="Arial" w:cs="Arial" w:eastAsia="Arial" w:hAnsi="Arial"/>
                <w:sz w:val="15"/>
                <w:szCs w:val="15"/>
                <w:color w:val="183964"/>
              </w:rPr>
              <w:t>917</w:t>
            </w:r>
          </w:p>
        </w:tc>
        <w:tc>
          <w:tcPr>
            <w:tcW w:w="0" w:type="dxa"/>
            <w:vAlign w:val="bottom"/>
          </w:tcPr>
          <w:p>
            <w:pPr>
              <w:spacing w:after="0"/>
              <w:rPr>
                <w:sz w:val="1"/>
                <w:szCs w:val="1"/>
                <w:color w:val="auto"/>
              </w:rPr>
            </w:pPr>
          </w:p>
        </w:tc>
      </w:tr>
      <w:tr>
        <w:trPr>
          <w:trHeight w:val="25"/>
        </w:trPr>
        <w:tc>
          <w:tcPr>
            <w:tcW w:w="6840" w:type="dxa"/>
            <w:vAlign w:val="bottom"/>
            <w:tcBorders>
              <w:bottom w:val="single" w:sz="8" w:color="001544"/>
            </w:tcBorders>
          </w:tcPr>
          <w:p>
            <w:pPr>
              <w:spacing w:after="0"/>
              <w:rPr>
                <w:sz w:val="2"/>
                <w:szCs w:val="2"/>
                <w:color w:val="auto"/>
              </w:rPr>
            </w:pPr>
          </w:p>
        </w:tc>
        <w:tc>
          <w:tcPr>
            <w:tcW w:w="3260" w:type="dxa"/>
            <w:vAlign w:val="bottom"/>
            <w:tcBorders>
              <w:bottom w:val="single" w:sz="8" w:color="001544"/>
            </w:tcBorders>
          </w:tcPr>
          <w:p>
            <w:pPr>
              <w:spacing w:after="0"/>
              <w:rPr>
                <w:sz w:val="2"/>
                <w:szCs w:val="2"/>
                <w:color w:val="auto"/>
              </w:rPr>
            </w:pPr>
          </w:p>
        </w:tc>
        <w:tc>
          <w:tcPr>
            <w:tcW w:w="1120" w:type="dxa"/>
            <w:vAlign w:val="bottom"/>
            <w:tcBorders>
              <w:bottom w:val="single" w:sz="8" w:color="001544"/>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840" w:type="dxa"/>
            <w:vAlign w:val="bottom"/>
          </w:tcPr>
          <w:p>
            <w:pPr>
              <w:ind w:left="20"/>
              <w:spacing w:after="0"/>
              <w:rPr>
                <w:sz w:val="20"/>
                <w:szCs w:val="20"/>
                <w:color w:val="auto"/>
              </w:rPr>
            </w:pPr>
            <w:r>
              <w:rPr>
                <w:rFonts w:ascii="Arial" w:cs="Arial" w:eastAsia="Arial" w:hAnsi="Arial"/>
                <w:sz w:val="15"/>
                <w:szCs w:val="15"/>
                <w:b w:val="1"/>
                <w:bCs w:val="1"/>
                <w:color w:val="auto"/>
              </w:rPr>
              <w:t>Total trade and other payables</w:t>
            </w:r>
          </w:p>
        </w:tc>
        <w:tc>
          <w:tcPr>
            <w:tcW w:w="3260" w:type="dxa"/>
            <w:vAlign w:val="bottom"/>
          </w:tcPr>
          <w:p>
            <w:pPr>
              <w:jc w:val="right"/>
              <w:ind w:right="187"/>
              <w:spacing w:after="0"/>
              <w:rPr>
                <w:sz w:val="20"/>
                <w:szCs w:val="20"/>
                <w:color w:val="auto"/>
              </w:rPr>
            </w:pPr>
            <w:r>
              <w:rPr>
                <w:rFonts w:ascii="Arial" w:cs="Arial" w:eastAsia="Arial" w:hAnsi="Arial"/>
                <w:sz w:val="15"/>
                <w:szCs w:val="15"/>
                <w:b w:val="1"/>
                <w:bCs w:val="1"/>
                <w:color w:val="auto"/>
              </w:rPr>
              <w:t>18,819</w:t>
            </w:r>
          </w:p>
        </w:tc>
        <w:tc>
          <w:tcPr>
            <w:tcW w:w="1120" w:type="dxa"/>
            <w:vAlign w:val="bottom"/>
          </w:tcPr>
          <w:p>
            <w:pPr>
              <w:jc w:val="right"/>
              <w:ind w:right="9"/>
              <w:spacing w:after="0"/>
              <w:rPr>
                <w:sz w:val="20"/>
                <w:szCs w:val="20"/>
                <w:color w:val="auto"/>
              </w:rPr>
            </w:pPr>
            <w:r>
              <w:rPr>
                <w:rFonts w:ascii="Arial" w:cs="Arial" w:eastAsia="Arial" w:hAnsi="Arial"/>
                <w:sz w:val="15"/>
                <w:szCs w:val="15"/>
                <w:color w:val="183964"/>
              </w:rPr>
              <w:t>27,020</w:t>
            </w:r>
          </w:p>
        </w:tc>
        <w:tc>
          <w:tcPr>
            <w:tcW w:w="0" w:type="dxa"/>
            <w:vAlign w:val="bottom"/>
          </w:tcPr>
          <w:p>
            <w:pPr>
              <w:spacing w:after="0"/>
              <w:rPr>
                <w:sz w:val="1"/>
                <w:szCs w:val="1"/>
                <w:color w:val="auto"/>
              </w:rPr>
            </w:pPr>
          </w:p>
        </w:tc>
      </w:tr>
      <w:tr>
        <w:trPr>
          <w:trHeight w:val="25"/>
        </w:trPr>
        <w:tc>
          <w:tcPr>
            <w:tcW w:w="6840" w:type="dxa"/>
            <w:vAlign w:val="bottom"/>
            <w:tcBorders>
              <w:bottom w:val="single" w:sz="8" w:color="001544"/>
            </w:tcBorders>
          </w:tcPr>
          <w:p>
            <w:pPr>
              <w:spacing w:after="0"/>
              <w:rPr>
                <w:sz w:val="2"/>
                <w:szCs w:val="2"/>
                <w:color w:val="auto"/>
              </w:rPr>
            </w:pPr>
          </w:p>
        </w:tc>
        <w:tc>
          <w:tcPr>
            <w:tcW w:w="3260" w:type="dxa"/>
            <w:vAlign w:val="bottom"/>
            <w:tcBorders>
              <w:bottom w:val="single" w:sz="8" w:color="001544"/>
            </w:tcBorders>
          </w:tcPr>
          <w:p>
            <w:pPr>
              <w:spacing w:after="0"/>
              <w:rPr>
                <w:sz w:val="2"/>
                <w:szCs w:val="2"/>
                <w:color w:val="auto"/>
              </w:rPr>
            </w:pPr>
          </w:p>
        </w:tc>
        <w:tc>
          <w:tcPr>
            <w:tcW w:w="1120" w:type="dxa"/>
            <w:vAlign w:val="bottom"/>
            <w:tcBorders>
              <w:bottom w:val="single" w:sz="8" w:color="001544"/>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43" w:right="359" w:bottom="1135" w:gutter="0" w:footer="0" w:header="0"/>
        </w:sectPr>
      </w:pPr>
    </w:p>
    <w:bookmarkStart w:id="41" w:name="page42"/>
    <w:bookmarkEnd w:id="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ind w:left="400" w:hanging="392"/>
        <w:spacing w:after="0"/>
        <w:tabs>
          <w:tab w:leader="none" w:pos="400" w:val="left"/>
        </w:tabs>
        <w:numPr>
          <w:ilvl w:val="0"/>
          <w:numId w:val="32"/>
        </w:numPr>
        <w:rPr>
          <w:rFonts w:ascii="Arial" w:cs="Arial" w:eastAsia="Arial" w:hAnsi="Arial"/>
          <w:sz w:val="15"/>
          <w:szCs w:val="15"/>
          <w:b w:val="1"/>
          <w:bCs w:val="1"/>
          <w:color w:val="183964"/>
        </w:rPr>
      </w:pPr>
      <w:r>
        <w:rPr>
          <w:rFonts w:ascii="Arial" w:cs="Arial" w:eastAsia="Arial" w:hAnsi="Arial"/>
          <w:sz w:val="15"/>
          <w:szCs w:val="15"/>
          <w:b w:val="1"/>
          <w:bCs w:val="1"/>
          <w:color w:val="183964"/>
        </w:rPr>
        <w:t>Commitments and Contingencies</w:t>
      </w:r>
    </w:p>
    <w:p>
      <w:pPr>
        <w:spacing w:after="0" w:line="100"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The Group is a party to certain licensing agreements where the Group is licensing IP from third parties. In consideration for such licenses, the Group has made upfront payments and may be required to make additional contingent payments based on developmental and sales milestones and/or royalty on future sales. As of June 30, 2025, certain milestone events have not yet occurred, and therefore, the Group does not have a present obligation to make the related payments in respect of the licenses. Such milestones are dependent on events that are outside of the control of the Group, and many of these milestone events are remote of occurring. Payments in respect of developmental milestones that are dependent on events that are outside the control of the Group but are reasonably possible to occur amounted to approximately $7,121 and $7,121, respectively, as of June 30, 2025 and December 31, 2024. These milestone amounts represent an aggregate of multiple milestone payments depending on different milestone events in multiple agreements. The probability that all such milestone events will occur in the aggregate is remote. Payments made to license IP represent the acquisition cost of intangible assets.</w:t>
      </w:r>
    </w:p>
    <w:p>
      <w:pPr>
        <w:spacing w:after="0" w:line="58" w:lineRule="exact"/>
        <w:rPr>
          <w:sz w:val="20"/>
          <w:szCs w:val="20"/>
          <w:color w:val="auto"/>
        </w:rPr>
      </w:pPr>
    </w:p>
    <w:p>
      <w:pPr>
        <w:ind w:right="160"/>
        <w:spacing w:after="0" w:line="273" w:lineRule="auto"/>
        <w:rPr>
          <w:sz w:val="20"/>
          <w:szCs w:val="20"/>
          <w:color w:val="auto"/>
        </w:rPr>
      </w:pPr>
      <w:r>
        <w:rPr>
          <w:rFonts w:ascii="Arial" w:cs="Arial" w:eastAsia="Arial" w:hAnsi="Arial"/>
          <w:sz w:val="15"/>
          <w:szCs w:val="15"/>
          <w:color w:val="auto"/>
        </w:rPr>
        <w:t>The Group is a party to arrangements with contract manufacturing and contract research organizations, whereby the counterparty provides the Group with research and/or manufacturing services. As of June 30, 2025 and December 31, 2024, the noncancellable commitments in respect of such contracts amounted to approximately $6,068 and $8,395, respectively.</w:t>
      </w:r>
    </w:p>
    <w:p>
      <w:pPr>
        <w:spacing w:after="0" w:line="59" w:lineRule="exact"/>
        <w:rPr>
          <w:sz w:val="20"/>
          <w:szCs w:val="20"/>
          <w:color w:val="auto"/>
        </w:rPr>
      </w:pPr>
    </w:p>
    <w:p>
      <w:pPr>
        <w:ind w:right="140"/>
        <w:spacing w:after="0" w:line="263" w:lineRule="auto"/>
        <w:rPr>
          <w:sz w:val="20"/>
          <w:szCs w:val="20"/>
          <w:color w:val="auto"/>
        </w:rPr>
      </w:pPr>
      <w:r>
        <w:rPr>
          <w:rFonts w:ascii="Arial" w:cs="Arial" w:eastAsia="Arial" w:hAnsi="Arial"/>
          <w:sz w:val="15"/>
          <w:szCs w:val="15"/>
          <w:color w:val="auto"/>
        </w:rPr>
        <w:t>In March 2024, a complaint was filed in Massachusetts District Court against the Group alleging breach of contract with respect to certain payments alleged to be owed to a previous employee of a Group's subsidiary based on purported terms of a contract between such individual and the Group. As of December 31, 2024, the Group recognized a provision of $900, which represented management's best estimate of the expected settlement related to the financial obligation associated with the lawsuit, considering the likelihood of settlement. During the six months ended June 30, 2025, a settlement was reached, and payments in the amounts of $850 and $89 were made in June 2025 and July 2025, respectively.</w:t>
      </w:r>
    </w:p>
    <w:p>
      <w:pPr>
        <w:spacing w:after="0" w:line="54" w:lineRule="exact"/>
        <w:rPr>
          <w:sz w:val="20"/>
          <w:szCs w:val="20"/>
          <w:color w:val="auto"/>
        </w:rPr>
      </w:pPr>
    </w:p>
    <w:p>
      <w:pPr>
        <w:jc w:val="both"/>
        <w:ind w:right="20"/>
        <w:spacing w:after="0" w:line="269" w:lineRule="auto"/>
        <w:rPr>
          <w:sz w:val="20"/>
          <w:szCs w:val="20"/>
          <w:color w:val="auto"/>
        </w:rPr>
      </w:pPr>
      <w:r>
        <w:rPr>
          <w:rFonts w:ascii="Arial" w:cs="Arial" w:eastAsia="Arial" w:hAnsi="Arial"/>
          <w:sz w:val="15"/>
          <w:szCs w:val="15"/>
          <w:color w:val="auto"/>
        </w:rPr>
        <w:t>The Group is involved from time-to-time in various legal proceedings arising in the normal course of business. Although the outcomes of these legal proceedings are inherently difficult to predict, the Group does not expect the resolution of such legal proceedings to have a material adverse effect on its financial position or results of operations. The Group did not book any provisions and did not identify any contingent liabilities requiring disclosure for any legal proceedings in the six months ended June 30, 2025.</w:t>
      </w:r>
    </w:p>
    <w:p>
      <w:pPr>
        <w:spacing w:after="0" w:line="48"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5"/>
          <w:szCs w:val="15"/>
          <w:b w:val="1"/>
          <w:bCs w:val="1"/>
          <w:color w:val="183964"/>
        </w:rPr>
      </w:pPr>
      <w:r>
        <w:rPr>
          <w:rFonts w:ascii="Arial" w:cs="Arial" w:eastAsia="Arial" w:hAnsi="Arial"/>
          <w:sz w:val="15"/>
          <w:szCs w:val="15"/>
          <w:b w:val="1"/>
          <w:bCs w:val="1"/>
          <w:color w:val="183964"/>
        </w:rPr>
        <w:t>Related Parties Transactions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183964"/>
        </w:rPr>
        <w:t>Key Management Personnel Compensation</w:t>
      </w:r>
    </w:p>
    <w:p>
      <w:pPr>
        <w:spacing w:after="0" w:line="17"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Key management includes executive directors and members of the executive management team of the Group (not including non-executive directors and not including subsidiary directors). The key management personnel compensation of the Group was as follows for the six months ended June 30:</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20" w:type="dxa"/>
            <w:vAlign w:val="bottom"/>
          </w:tcPr>
          <w:p>
            <w:pPr>
              <w:spacing w:after="0"/>
              <w:rPr>
                <w:sz w:val="13"/>
                <w:szCs w:val="13"/>
                <w:color w:val="auto"/>
              </w:rPr>
            </w:pPr>
          </w:p>
        </w:tc>
        <w:tc>
          <w:tcPr>
            <w:tcW w:w="4520" w:type="dxa"/>
            <w:vAlign w:val="bottom"/>
          </w:tcPr>
          <w:p>
            <w:pPr>
              <w:jc w:val="right"/>
              <w:ind w:right="347"/>
              <w:spacing w:after="0"/>
              <w:rPr>
                <w:sz w:val="20"/>
                <w:szCs w:val="20"/>
                <w:color w:val="auto"/>
              </w:rPr>
            </w:pPr>
            <w:r>
              <w:rPr>
                <w:rFonts w:ascii="Arial" w:cs="Arial" w:eastAsia="Arial" w:hAnsi="Arial"/>
                <w:sz w:val="13"/>
                <w:szCs w:val="13"/>
                <w:b w:val="1"/>
                <w:bCs w:val="1"/>
                <w:color w:val="auto"/>
              </w:rPr>
              <w:t>2025</w:t>
            </w:r>
          </w:p>
        </w:tc>
        <w:tc>
          <w:tcPr>
            <w:tcW w:w="880" w:type="dxa"/>
            <w:vAlign w:val="bottom"/>
          </w:tcPr>
          <w:p>
            <w:pPr>
              <w:jc w:val="right"/>
              <w:spacing w:after="0"/>
              <w:rPr>
                <w:sz w:val="20"/>
                <w:szCs w:val="20"/>
                <w:color w:val="auto"/>
              </w:rPr>
            </w:pPr>
            <w:r>
              <w:rPr>
                <w:rFonts w:ascii="Arial" w:cs="Arial" w:eastAsia="Arial" w:hAnsi="Arial"/>
                <w:sz w:val="13"/>
                <w:szCs w:val="13"/>
                <w:color w:val="183964"/>
              </w:rPr>
              <w:t>2024</w:t>
            </w:r>
          </w:p>
        </w:tc>
      </w:tr>
      <w:tr>
        <w:trPr>
          <w:trHeight w:val="172"/>
        </w:trPr>
        <w:tc>
          <w:tcPr>
            <w:tcW w:w="5820" w:type="dxa"/>
            <w:vAlign w:val="bottom"/>
          </w:tcPr>
          <w:p>
            <w:pPr>
              <w:ind w:left="20"/>
              <w:spacing w:after="0"/>
              <w:rPr>
                <w:sz w:val="20"/>
                <w:szCs w:val="20"/>
                <w:color w:val="auto"/>
              </w:rPr>
            </w:pPr>
            <w:r>
              <w:rPr>
                <w:rFonts w:ascii="Arial" w:cs="Arial" w:eastAsia="Arial" w:hAnsi="Arial"/>
                <w:sz w:val="13"/>
                <w:szCs w:val="13"/>
                <w:color w:val="auto"/>
              </w:rPr>
              <w:t>For the six months ended June 30</w:t>
            </w:r>
          </w:p>
        </w:tc>
        <w:tc>
          <w:tcPr>
            <w:tcW w:w="4520" w:type="dxa"/>
            <w:vAlign w:val="bottom"/>
          </w:tcPr>
          <w:p>
            <w:pPr>
              <w:jc w:val="right"/>
              <w:ind w:right="347"/>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183964"/>
              </w:rPr>
              <w:t>$</w:t>
            </w:r>
          </w:p>
        </w:tc>
      </w:tr>
      <w:tr>
        <w:trPr>
          <w:trHeight w:val="22"/>
        </w:trPr>
        <w:tc>
          <w:tcPr>
            <w:tcW w:w="5820" w:type="dxa"/>
            <w:vAlign w:val="bottom"/>
            <w:tcBorders>
              <w:bottom w:val="single" w:sz="8" w:color="001544"/>
            </w:tcBorders>
          </w:tcPr>
          <w:p>
            <w:pPr>
              <w:spacing w:after="0" w:line="20" w:lineRule="exact"/>
              <w:rPr>
                <w:sz w:val="1"/>
                <w:szCs w:val="1"/>
                <w:color w:val="auto"/>
              </w:rPr>
            </w:pPr>
          </w:p>
        </w:tc>
        <w:tc>
          <w:tcPr>
            <w:tcW w:w="4520" w:type="dxa"/>
            <w:vAlign w:val="bottom"/>
            <w:tcBorders>
              <w:bottom w:val="single" w:sz="8" w:color="001544"/>
            </w:tcBorders>
          </w:tcPr>
          <w:p>
            <w:pPr>
              <w:spacing w:after="0" w:line="20" w:lineRule="exact"/>
              <w:rPr>
                <w:sz w:val="1"/>
                <w:szCs w:val="1"/>
                <w:color w:val="auto"/>
              </w:rPr>
            </w:pPr>
          </w:p>
        </w:tc>
        <w:tc>
          <w:tcPr>
            <w:tcW w:w="880" w:type="dxa"/>
            <w:vAlign w:val="bottom"/>
            <w:tcBorders>
              <w:bottom w:val="single" w:sz="8" w:color="001544"/>
            </w:tcBorders>
          </w:tcPr>
          <w:p>
            <w:pPr>
              <w:spacing w:after="0" w:line="20" w:lineRule="exact"/>
              <w:rPr>
                <w:sz w:val="1"/>
                <w:szCs w:val="1"/>
                <w:color w:val="auto"/>
              </w:rPr>
            </w:pPr>
          </w:p>
        </w:tc>
      </w:tr>
      <w:tr>
        <w:trPr>
          <w:trHeight w:val="211"/>
        </w:trPr>
        <w:tc>
          <w:tcPr>
            <w:tcW w:w="5820" w:type="dxa"/>
            <w:vAlign w:val="bottom"/>
          </w:tcPr>
          <w:p>
            <w:pPr>
              <w:ind w:left="20"/>
              <w:spacing w:after="0"/>
              <w:rPr>
                <w:sz w:val="20"/>
                <w:szCs w:val="20"/>
                <w:color w:val="auto"/>
              </w:rPr>
            </w:pPr>
            <w:r>
              <w:rPr>
                <w:rFonts w:ascii="Arial" w:cs="Arial" w:eastAsia="Arial" w:hAnsi="Arial"/>
                <w:sz w:val="15"/>
                <w:szCs w:val="15"/>
                <w:color w:val="auto"/>
              </w:rPr>
              <w:t>Short-term employee benefits</w:t>
            </w:r>
          </w:p>
        </w:tc>
        <w:tc>
          <w:tcPr>
            <w:tcW w:w="4520" w:type="dxa"/>
            <w:vAlign w:val="bottom"/>
          </w:tcPr>
          <w:p>
            <w:pPr>
              <w:jc w:val="right"/>
              <w:ind w:right="407"/>
              <w:spacing w:after="0"/>
              <w:rPr>
                <w:sz w:val="20"/>
                <w:szCs w:val="20"/>
                <w:color w:val="auto"/>
              </w:rPr>
            </w:pPr>
            <w:r>
              <w:rPr>
                <w:rFonts w:ascii="Arial" w:cs="Arial" w:eastAsia="Arial" w:hAnsi="Arial"/>
                <w:sz w:val="15"/>
                <w:szCs w:val="15"/>
                <w:b w:val="1"/>
                <w:bCs w:val="1"/>
                <w:color w:val="auto"/>
              </w:rPr>
              <w:t>1,462</w:t>
            </w:r>
          </w:p>
        </w:tc>
        <w:tc>
          <w:tcPr>
            <w:tcW w:w="880" w:type="dxa"/>
            <w:vAlign w:val="bottom"/>
          </w:tcPr>
          <w:p>
            <w:pPr>
              <w:jc w:val="right"/>
              <w:spacing w:after="0"/>
              <w:rPr>
                <w:sz w:val="20"/>
                <w:szCs w:val="20"/>
                <w:color w:val="auto"/>
              </w:rPr>
            </w:pPr>
            <w:r>
              <w:rPr>
                <w:rFonts w:ascii="Arial" w:cs="Arial" w:eastAsia="Arial" w:hAnsi="Arial"/>
                <w:sz w:val="15"/>
                <w:szCs w:val="15"/>
                <w:color w:val="183964"/>
              </w:rPr>
              <w:t>1,872</w:t>
            </w:r>
          </w:p>
        </w:tc>
      </w:tr>
      <w:tr>
        <w:trPr>
          <w:trHeight w:val="243"/>
        </w:trPr>
        <w:tc>
          <w:tcPr>
            <w:tcW w:w="5820" w:type="dxa"/>
            <w:vAlign w:val="bottom"/>
          </w:tcPr>
          <w:p>
            <w:pPr>
              <w:ind w:left="20"/>
              <w:spacing w:after="0"/>
              <w:rPr>
                <w:sz w:val="20"/>
                <w:szCs w:val="20"/>
                <w:color w:val="auto"/>
              </w:rPr>
            </w:pPr>
            <w:r>
              <w:rPr>
                <w:rFonts w:ascii="Arial" w:cs="Arial" w:eastAsia="Arial" w:hAnsi="Arial"/>
                <w:sz w:val="15"/>
                <w:szCs w:val="15"/>
                <w:color w:val="auto"/>
              </w:rPr>
              <w:t>Post-employment benefits</w:t>
            </w:r>
          </w:p>
        </w:tc>
        <w:tc>
          <w:tcPr>
            <w:tcW w:w="4520" w:type="dxa"/>
            <w:vAlign w:val="bottom"/>
          </w:tcPr>
          <w:p>
            <w:pPr>
              <w:jc w:val="right"/>
              <w:ind w:right="407"/>
              <w:spacing w:after="0"/>
              <w:rPr>
                <w:sz w:val="20"/>
                <w:szCs w:val="20"/>
                <w:color w:val="auto"/>
              </w:rPr>
            </w:pPr>
            <w:r>
              <w:rPr>
                <w:rFonts w:ascii="Arial" w:cs="Arial" w:eastAsia="Arial" w:hAnsi="Arial"/>
                <w:sz w:val="15"/>
                <w:szCs w:val="15"/>
                <w:b w:val="1"/>
                <w:bCs w:val="1"/>
                <w:color w:val="auto"/>
              </w:rPr>
              <w:t>47</w:t>
            </w:r>
          </w:p>
        </w:tc>
        <w:tc>
          <w:tcPr>
            <w:tcW w:w="880" w:type="dxa"/>
            <w:vAlign w:val="bottom"/>
          </w:tcPr>
          <w:p>
            <w:pPr>
              <w:jc w:val="right"/>
              <w:spacing w:after="0"/>
              <w:rPr>
                <w:sz w:val="20"/>
                <w:szCs w:val="20"/>
                <w:color w:val="auto"/>
              </w:rPr>
            </w:pPr>
            <w:r>
              <w:rPr>
                <w:rFonts w:ascii="Arial" w:cs="Arial" w:eastAsia="Arial" w:hAnsi="Arial"/>
                <w:sz w:val="15"/>
                <w:szCs w:val="15"/>
                <w:color w:val="183964"/>
              </w:rPr>
              <w:t>44</w:t>
            </w:r>
          </w:p>
        </w:tc>
      </w:tr>
      <w:tr>
        <w:trPr>
          <w:trHeight w:val="243"/>
        </w:trPr>
        <w:tc>
          <w:tcPr>
            <w:tcW w:w="5820" w:type="dxa"/>
            <w:vAlign w:val="bottom"/>
          </w:tcPr>
          <w:p>
            <w:pPr>
              <w:ind w:left="20"/>
              <w:spacing w:after="0"/>
              <w:rPr>
                <w:sz w:val="20"/>
                <w:szCs w:val="20"/>
                <w:color w:val="auto"/>
              </w:rPr>
            </w:pPr>
            <w:r>
              <w:rPr>
                <w:rFonts w:ascii="Arial" w:cs="Arial" w:eastAsia="Arial" w:hAnsi="Arial"/>
                <w:sz w:val="15"/>
                <w:szCs w:val="15"/>
                <w:color w:val="auto"/>
              </w:rPr>
              <w:t>Termination benefits</w:t>
            </w:r>
          </w:p>
        </w:tc>
        <w:tc>
          <w:tcPr>
            <w:tcW w:w="4520" w:type="dxa"/>
            <w:vAlign w:val="bottom"/>
          </w:tcPr>
          <w:p>
            <w:pPr>
              <w:jc w:val="right"/>
              <w:ind w:right="407"/>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183964"/>
              </w:rPr>
              <w:t>140</w:t>
            </w:r>
          </w:p>
        </w:tc>
      </w:tr>
      <w:tr>
        <w:trPr>
          <w:trHeight w:val="243"/>
        </w:trPr>
        <w:tc>
          <w:tcPr>
            <w:tcW w:w="5820" w:type="dxa"/>
            <w:vAlign w:val="bottom"/>
          </w:tcPr>
          <w:p>
            <w:pPr>
              <w:ind w:left="20"/>
              <w:spacing w:after="0"/>
              <w:rPr>
                <w:sz w:val="20"/>
                <w:szCs w:val="20"/>
                <w:color w:val="auto"/>
              </w:rPr>
            </w:pPr>
            <w:r>
              <w:rPr>
                <w:rFonts w:ascii="Arial" w:cs="Arial" w:eastAsia="Arial" w:hAnsi="Arial"/>
                <w:sz w:val="15"/>
                <w:szCs w:val="15"/>
                <w:color w:val="auto"/>
              </w:rPr>
              <w:t>Share-based payment expense</w:t>
            </w:r>
          </w:p>
        </w:tc>
        <w:tc>
          <w:tcPr>
            <w:tcW w:w="4520" w:type="dxa"/>
            <w:vAlign w:val="bottom"/>
          </w:tcPr>
          <w:p>
            <w:pPr>
              <w:jc w:val="right"/>
              <w:ind w:right="407"/>
              <w:spacing w:after="0"/>
              <w:rPr>
                <w:sz w:val="20"/>
                <w:szCs w:val="20"/>
                <w:color w:val="auto"/>
              </w:rPr>
            </w:pPr>
            <w:r>
              <w:rPr>
                <w:rFonts w:ascii="Arial" w:cs="Arial" w:eastAsia="Arial" w:hAnsi="Arial"/>
                <w:sz w:val="15"/>
                <w:szCs w:val="15"/>
                <w:b w:val="1"/>
                <w:bCs w:val="1"/>
                <w:color w:val="auto"/>
              </w:rPr>
              <w:t>1,755</w:t>
            </w:r>
          </w:p>
        </w:tc>
        <w:tc>
          <w:tcPr>
            <w:tcW w:w="880" w:type="dxa"/>
            <w:vAlign w:val="bottom"/>
          </w:tcPr>
          <w:p>
            <w:pPr>
              <w:jc w:val="right"/>
              <w:spacing w:after="0"/>
              <w:rPr>
                <w:sz w:val="20"/>
                <w:szCs w:val="20"/>
                <w:color w:val="auto"/>
              </w:rPr>
            </w:pPr>
            <w:r>
              <w:rPr>
                <w:rFonts w:ascii="Arial" w:cs="Arial" w:eastAsia="Arial" w:hAnsi="Arial"/>
                <w:sz w:val="15"/>
                <w:szCs w:val="15"/>
                <w:color w:val="183964"/>
              </w:rPr>
              <w:t>314</w:t>
            </w:r>
          </w:p>
        </w:tc>
      </w:tr>
      <w:tr>
        <w:trPr>
          <w:trHeight w:val="25"/>
        </w:trPr>
        <w:tc>
          <w:tcPr>
            <w:tcW w:w="5820" w:type="dxa"/>
            <w:vAlign w:val="bottom"/>
            <w:tcBorders>
              <w:bottom w:val="single" w:sz="8" w:color="001544"/>
            </w:tcBorders>
          </w:tcPr>
          <w:p>
            <w:pPr>
              <w:spacing w:after="0"/>
              <w:rPr>
                <w:sz w:val="2"/>
                <w:szCs w:val="2"/>
                <w:color w:val="auto"/>
              </w:rPr>
            </w:pPr>
          </w:p>
        </w:tc>
        <w:tc>
          <w:tcPr>
            <w:tcW w:w="4520" w:type="dxa"/>
            <w:vAlign w:val="bottom"/>
            <w:tcBorders>
              <w:bottom w:val="single" w:sz="8" w:color="001544"/>
            </w:tcBorders>
          </w:tcPr>
          <w:p>
            <w:pPr>
              <w:spacing w:after="0"/>
              <w:rPr>
                <w:sz w:val="2"/>
                <w:szCs w:val="2"/>
                <w:color w:val="auto"/>
              </w:rPr>
            </w:pPr>
          </w:p>
        </w:tc>
        <w:tc>
          <w:tcPr>
            <w:tcW w:w="880" w:type="dxa"/>
            <w:vAlign w:val="bottom"/>
            <w:tcBorders>
              <w:bottom w:val="single" w:sz="8" w:color="001544"/>
            </w:tcBorders>
          </w:tcPr>
          <w:p>
            <w:pPr>
              <w:spacing w:after="0"/>
              <w:rPr>
                <w:sz w:val="2"/>
                <w:szCs w:val="2"/>
                <w:color w:val="auto"/>
              </w:rPr>
            </w:pPr>
          </w:p>
        </w:tc>
      </w:tr>
      <w:tr>
        <w:trPr>
          <w:trHeight w:val="211"/>
        </w:trPr>
        <w:tc>
          <w:tcPr>
            <w:tcW w:w="5820" w:type="dxa"/>
            <w:vAlign w:val="bottom"/>
          </w:tcPr>
          <w:p>
            <w:pPr>
              <w:ind w:left="20"/>
              <w:spacing w:after="0"/>
              <w:rPr>
                <w:sz w:val="20"/>
                <w:szCs w:val="20"/>
                <w:color w:val="auto"/>
              </w:rPr>
            </w:pPr>
            <w:r>
              <w:rPr>
                <w:rFonts w:ascii="Arial" w:cs="Arial" w:eastAsia="Arial" w:hAnsi="Arial"/>
                <w:sz w:val="15"/>
                <w:szCs w:val="15"/>
                <w:b w:val="1"/>
                <w:bCs w:val="1"/>
                <w:color w:val="auto"/>
              </w:rPr>
              <w:t>Total</w:t>
            </w:r>
          </w:p>
        </w:tc>
        <w:tc>
          <w:tcPr>
            <w:tcW w:w="4520" w:type="dxa"/>
            <w:vAlign w:val="bottom"/>
          </w:tcPr>
          <w:p>
            <w:pPr>
              <w:jc w:val="right"/>
              <w:ind w:right="407"/>
              <w:spacing w:after="0"/>
              <w:rPr>
                <w:sz w:val="20"/>
                <w:szCs w:val="20"/>
                <w:color w:val="auto"/>
              </w:rPr>
            </w:pPr>
            <w:r>
              <w:rPr>
                <w:rFonts w:ascii="Arial" w:cs="Arial" w:eastAsia="Arial" w:hAnsi="Arial"/>
                <w:sz w:val="15"/>
                <w:szCs w:val="15"/>
                <w:b w:val="1"/>
                <w:bCs w:val="1"/>
                <w:color w:val="auto"/>
              </w:rPr>
              <w:t>3,264</w:t>
            </w:r>
          </w:p>
        </w:tc>
        <w:tc>
          <w:tcPr>
            <w:tcW w:w="880" w:type="dxa"/>
            <w:vAlign w:val="bottom"/>
          </w:tcPr>
          <w:p>
            <w:pPr>
              <w:jc w:val="right"/>
              <w:spacing w:after="0"/>
              <w:rPr>
                <w:sz w:val="20"/>
                <w:szCs w:val="20"/>
                <w:color w:val="auto"/>
              </w:rPr>
            </w:pPr>
            <w:r>
              <w:rPr>
                <w:rFonts w:ascii="Arial" w:cs="Arial" w:eastAsia="Arial" w:hAnsi="Arial"/>
                <w:sz w:val="15"/>
                <w:szCs w:val="15"/>
                <w:color w:val="183964"/>
              </w:rPr>
              <w:t>2,370</w:t>
            </w:r>
          </w:p>
        </w:tc>
      </w:tr>
      <w:tr>
        <w:trPr>
          <w:trHeight w:val="25"/>
        </w:trPr>
        <w:tc>
          <w:tcPr>
            <w:tcW w:w="5820" w:type="dxa"/>
            <w:vAlign w:val="bottom"/>
            <w:tcBorders>
              <w:bottom w:val="single" w:sz="8" w:color="001544"/>
            </w:tcBorders>
          </w:tcPr>
          <w:p>
            <w:pPr>
              <w:spacing w:after="0"/>
              <w:rPr>
                <w:sz w:val="2"/>
                <w:szCs w:val="2"/>
                <w:color w:val="auto"/>
              </w:rPr>
            </w:pPr>
          </w:p>
        </w:tc>
        <w:tc>
          <w:tcPr>
            <w:tcW w:w="4520" w:type="dxa"/>
            <w:vAlign w:val="bottom"/>
            <w:tcBorders>
              <w:bottom w:val="single" w:sz="8" w:color="001544"/>
            </w:tcBorders>
          </w:tcPr>
          <w:p>
            <w:pPr>
              <w:spacing w:after="0"/>
              <w:rPr>
                <w:sz w:val="2"/>
                <w:szCs w:val="2"/>
                <w:color w:val="auto"/>
              </w:rPr>
            </w:pPr>
          </w:p>
        </w:tc>
        <w:tc>
          <w:tcPr>
            <w:tcW w:w="880" w:type="dxa"/>
            <w:vAlign w:val="bottom"/>
            <w:tcBorders>
              <w:bottom w:val="single" w:sz="8" w:color="001544"/>
            </w:tcBorders>
          </w:tcPr>
          <w:p>
            <w:pPr>
              <w:spacing w:after="0"/>
              <w:rPr>
                <w:sz w:val="2"/>
                <w:szCs w:val="2"/>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Short-term employee benefits include salaries, health care and other non-cash benefits. Post-employment benefits include 401K contributions from the Group.</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Termination benefits include severance pay. Share-based payments are generally subject to vesting terms over future periods. See Note 7. Share-based Payments.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As of June 30, 2025 and December 31, 2024, the payable due to the key management employees was $796, and $1,509, respectively.</w:t>
      </w:r>
    </w:p>
    <w:p>
      <w:pPr>
        <w:spacing w:after="0" w:line="86" w:lineRule="exact"/>
        <w:rPr>
          <w:sz w:val="20"/>
          <w:szCs w:val="20"/>
          <w:color w:val="auto"/>
        </w:rPr>
      </w:pPr>
    </w:p>
    <w:p>
      <w:pPr>
        <w:ind w:right="200"/>
        <w:spacing w:after="0" w:line="273" w:lineRule="auto"/>
        <w:rPr>
          <w:sz w:val="20"/>
          <w:szCs w:val="20"/>
          <w:color w:val="auto"/>
        </w:rPr>
      </w:pPr>
      <w:r>
        <w:rPr>
          <w:rFonts w:ascii="Arial" w:cs="Arial" w:eastAsia="Arial" w:hAnsi="Arial"/>
          <w:sz w:val="15"/>
          <w:szCs w:val="15"/>
          <w:color w:val="auto"/>
        </w:rPr>
        <w:t>In addition, the Group incurred remuneration expense for non-executive directors in the amounts of $370 and $245 for the six months ended June 30, 2025, and 2024, respectively. Also, the Group incurred $419 and $147 of share-based compensation expense for such non-executive directors for the six months ended June 30, 2025, and June 30, 2024,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During the six months ended June 30, 2025, and June 30, 2024, the Group incurred $46, and $5, respectively, of expenses paid to related parties.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183964"/>
        </w:rPr>
        <w:t>Convertible Notes Issued to Directors</w:t>
      </w:r>
    </w:p>
    <w:p>
      <w:pPr>
        <w:spacing w:after="0" w:line="17" w:lineRule="exact"/>
        <w:rPr>
          <w:sz w:val="20"/>
          <w:szCs w:val="20"/>
          <w:color w:val="auto"/>
        </w:rPr>
      </w:pPr>
    </w:p>
    <w:p>
      <w:pPr>
        <w:ind w:right="280"/>
        <w:spacing w:after="0" w:line="272" w:lineRule="auto"/>
        <w:rPr>
          <w:sz w:val="20"/>
          <w:szCs w:val="20"/>
          <w:color w:val="auto"/>
        </w:rPr>
      </w:pPr>
      <w:r>
        <w:rPr>
          <w:rFonts w:ascii="Arial" w:cs="Arial" w:eastAsia="Arial" w:hAnsi="Arial"/>
          <w:sz w:val="15"/>
          <w:szCs w:val="15"/>
          <w:color w:val="auto"/>
        </w:rPr>
        <w:t>During the year ended December 31, 2024, the Group dissolved an inactive subsidiary, which held a convertible note issued to a related party. As a result of the entity's dissolution, the convertible note's outstanding balance on the day of dissolution was written down to $0. As of June 30, 2024, the outstanding related party notes payable totaled $107, including principal and interest.</w:t>
      </w:r>
    </w:p>
    <w:p>
      <w:pPr>
        <w:sectPr>
          <w:pgSz w:w="11900" w:h="16838" w:orient="portrait"/>
          <w:cols w:equalWidth="0" w:num="1">
            <w:col w:w="11220"/>
          </w:cols>
          <w:pgMar w:left="320" w:top="1241" w:right="359" w:bottom="1440" w:gutter="0" w:footer="0" w:header="0"/>
        </w:sectPr>
      </w:pPr>
    </w:p>
    <w:bookmarkStart w:id="43" w:name="page44"/>
    <w:bookmarkEnd w:id="43"/>
    <w:p>
      <w:pPr>
        <w:spacing w:after="0"/>
        <w:rPr>
          <w:sz w:val="20"/>
          <w:szCs w:val="20"/>
          <w:color w:val="auto"/>
        </w:rPr>
      </w:pPr>
      <w:r>
        <w:rPr>
          <w:rFonts w:ascii="Arial" w:cs="Arial" w:eastAsia="Arial" w:hAnsi="Arial"/>
          <w:sz w:val="15"/>
          <w:szCs w:val="15"/>
          <w:color w:val="183964"/>
        </w:rPr>
        <w:t>Directors’ and Senior Managers’ Shareholdings and Share Incentive Awards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The Directors and senior managers hold beneficial interests in shares in the following businesses as of June 30, 2025: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40" w:type="dxa"/>
            <w:vAlign w:val="bottom"/>
          </w:tcPr>
          <w:p>
            <w:pPr>
              <w:jc w:val="right"/>
              <w:ind w:right="67"/>
              <w:spacing w:after="0"/>
              <w:rPr>
                <w:sz w:val="20"/>
                <w:szCs w:val="20"/>
                <w:color w:val="auto"/>
              </w:rPr>
            </w:pPr>
            <w:r>
              <w:rPr>
                <w:rFonts w:ascii="Arial" w:cs="Arial" w:eastAsia="Arial" w:hAnsi="Arial"/>
                <w:sz w:val="13"/>
                <w:szCs w:val="13"/>
                <w:b w:val="1"/>
                <w:bCs w:val="1"/>
                <w:color w:val="auto"/>
              </w:rPr>
              <w:t>Number of shares</w:t>
            </w:r>
          </w:p>
        </w:tc>
        <w:tc>
          <w:tcPr>
            <w:tcW w:w="1340" w:type="dxa"/>
            <w:vAlign w:val="bottom"/>
          </w:tcPr>
          <w:p>
            <w:pPr>
              <w:jc w:val="right"/>
              <w:ind w:right="7"/>
              <w:spacing w:after="0"/>
              <w:rPr>
                <w:sz w:val="20"/>
                <w:szCs w:val="20"/>
                <w:color w:val="auto"/>
              </w:rPr>
            </w:pPr>
            <w:r>
              <w:rPr>
                <w:rFonts w:ascii="Arial" w:cs="Arial" w:eastAsia="Arial" w:hAnsi="Arial"/>
                <w:sz w:val="13"/>
                <w:szCs w:val="13"/>
                <w:b w:val="1"/>
                <w:bCs w:val="1"/>
                <w:color w:val="auto"/>
              </w:rPr>
              <w:t>Number of options</w:t>
            </w:r>
          </w:p>
        </w:tc>
        <w:tc>
          <w:tcPr>
            <w:tcW w:w="1520" w:type="dxa"/>
            <w:vAlign w:val="bottom"/>
          </w:tcPr>
          <w:p>
            <w:pPr>
              <w:jc w:val="right"/>
              <w:ind w:right="227"/>
              <w:spacing w:after="0"/>
              <w:rPr>
                <w:sz w:val="20"/>
                <w:szCs w:val="20"/>
                <w:color w:val="auto"/>
              </w:rPr>
            </w:pPr>
            <w:r>
              <w:rPr>
                <w:rFonts w:ascii="Arial" w:cs="Arial" w:eastAsia="Arial" w:hAnsi="Arial"/>
                <w:sz w:val="13"/>
                <w:szCs w:val="13"/>
                <w:b w:val="1"/>
                <w:bCs w:val="1"/>
                <w:color w:val="auto"/>
              </w:rPr>
              <w:t>Number of RSUs</w:t>
            </w:r>
          </w:p>
        </w:tc>
        <w:tc>
          <w:tcPr>
            <w:tcW w:w="1000" w:type="dxa"/>
            <w:vAlign w:val="bottom"/>
          </w:tcPr>
          <w:p>
            <w:pPr>
              <w:spacing w:after="0"/>
              <w:rPr>
                <w:sz w:val="14"/>
                <w:szCs w:val="14"/>
                <w:color w:val="auto"/>
              </w:rPr>
            </w:pPr>
          </w:p>
        </w:tc>
      </w:tr>
      <w:tr>
        <w:trPr>
          <w:trHeight w:val="148"/>
        </w:trPr>
        <w:tc>
          <w:tcPr>
            <w:tcW w:w="20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740" w:type="dxa"/>
            <w:vAlign w:val="bottom"/>
          </w:tcPr>
          <w:p>
            <w:pPr>
              <w:jc w:val="right"/>
              <w:ind w:right="67"/>
              <w:spacing w:after="0"/>
              <w:rPr>
                <w:sz w:val="20"/>
                <w:szCs w:val="20"/>
                <w:color w:val="auto"/>
              </w:rPr>
            </w:pPr>
            <w:r>
              <w:rPr>
                <w:rFonts w:ascii="Arial" w:cs="Arial" w:eastAsia="Arial" w:hAnsi="Arial"/>
                <w:sz w:val="13"/>
                <w:szCs w:val="13"/>
                <w:b w:val="1"/>
                <w:bCs w:val="1"/>
                <w:color w:val="auto"/>
              </w:rPr>
              <w:t>held as of June 30,</w:t>
            </w:r>
          </w:p>
        </w:tc>
        <w:tc>
          <w:tcPr>
            <w:tcW w:w="1340" w:type="dxa"/>
            <w:vAlign w:val="bottom"/>
          </w:tcPr>
          <w:p>
            <w:pPr>
              <w:jc w:val="right"/>
              <w:ind w:right="7"/>
              <w:spacing w:after="0"/>
              <w:rPr>
                <w:sz w:val="20"/>
                <w:szCs w:val="20"/>
                <w:color w:val="auto"/>
              </w:rPr>
            </w:pPr>
            <w:r>
              <w:rPr>
                <w:rFonts w:ascii="Arial" w:cs="Arial" w:eastAsia="Arial" w:hAnsi="Arial"/>
                <w:sz w:val="13"/>
                <w:szCs w:val="13"/>
                <w:b w:val="1"/>
                <w:bCs w:val="1"/>
                <w:color w:val="auto"/>
              </w:rPr>
              <w:t>held as of June 30,</w:t>
            </w:r>
          </w:p>
        </w:tc>
        <w:tc>
          <w:tcPr>
            <w:tcW w:w="1520" w:type="dxa"/>
            <w:vAlign w:val="bottom"/>
          </w:tcPr>
          <w:p>
            <w:pPr>
              <w:jc w:val="right"/>
              <w:ind w:right="227"/>
              <w:spacing w:after="0"/>
              <w:rPr>
                <w:sz w:val="20"/>
                <w:szCs w:val="20"/>
                <w:color w:val="auto"/>
              </w:rPr>
            </w:pPr>
            <w:r>
              <w:rPr>
                <w:rFonts w:ascii="Arial" w:cs="Arial" w:eastAsia="Arial" w:hAnsi="Arial"/>
                <w:sz w:val="13"/>
                <w:szCs w:val="13"/>
                <w:b w:val="1"/>
                <w:bCs w:val="1"/>
                <w:color w:val="auto"/>
              </w:rPr>
              <w:t>held as of June 30,</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Ownership</w:t>
            </w:r>
          </w:p>
        </w:tc>
      </w:tr>
      <w:tr>
        <w:trPr>
          <w:trHeight w:val="189"/>
        </w:trPr>
        <w:tc>
          <w:tcPr>
            <w:tcW w:w="2080" w:type="dxa"/>
            <w:vAlign w:val="bottom"/>
            <w:tcBorders>
              <w:bottom w:val="single" w:sz="8" w:color="001544"/>
            </w:tcBorders>
          </w:tcPr>
          <w:p>
            <w:pPr>
              <w:spacing w:after="0"/>
              <w:rPr>
                <w:sz w:val="16"/>
                <w:szCs w:val="16"/>
                <w:color w:val="auto"/>
              </w:rPr>
            </w:pPr>
          </w:p>
        </w:tc>
        <w:tc>
          <w:tcPr>
            <w:tcW w:w="3540" w:type="dxa"/>
            <w:vAlign w:val="bottom"/>
            <w:tcBorders>
              <w:bottom w:val="single" w:sz="8" w:color="001544"/>
            </w:tcBorders>
          </w:tcPr>
          <w:p>
            <w:pPr>
              <w:ind w:left="640"/>
              <w:spacing w:after="0"/>
              <w:rPr>
                <w:sz w:val="20"/>
                <w:szCs w:val="20"/>
                <w:color w:val="auto"/>
              </w:rPr>
            </w:pPr>
            <w:r>
              <w:rPr>
                <w:rFonts w:ascii="Arial" w:cs="Arial" w:eastAsia="Arial" w:hAnsi="Arial"/>
                <w:sz w:val="13"/>
                <w:szCs w:val="13"/>
                <w:color w:val="auto"/>
              </w:rPr>
              <w:t>Business name (share class)</w:t>
            </w:r>
          </w:p>
        </w:tc>
        <w:tc>
          <w:tcPr>
            <w:tcW w:w="1740" w:type="dxa"/>
            <w:vAlign w:val="bottom"/>
            <w:tcBorders>
              <w:bottom w:val="single" w:sz="8" w:color="001544"/>
            </w:tcBorders>
          </w:tcPr>
          <w:p>
            <w:pPr>
              <w:jc w:val="right"/>
              <w:ind w:right="67"/>
              <w:spacing w:after="0"/>
              <w:rPr>
                <w:sz w:val="20"/>
                <w:szCs w:val="20"/>
                <w:color w:val="auto"/>
              </w:rPr>
            </w:pPr>
            <w:r>
              <w:rPr>
                <w:rFonts w:ascii="Arial" w:cs="Arial" w:eastAsia="Arial" w:hAnsi="Arial"/>
                <w:sz w:val="13"/>
                <w:szCs w:val="13"/>
                <w:b w:val="1"/>
                <w:bCs w:val="1"/>
                <w:color w:val="auto"/>
              </w:rPr>
              <w:t>2025</w:t>
            </w:r>
          </w:p>
        </w:tc>
        <w:tc>
          <w:tcPr>
            <w:tcW w:w="1340" w:type="dxa"/>
            <w:vAlign w:val="bottom"/>
            <w:tcBorders>
              <w:bottom w:val="single" w:sz="8" w:color="001544"/>
            </w:tcBorders>
          </w:tcPr>
          <w:p>
            <w:pPr>
              <w:jc w:val="right"/>
              <w:ind w:right="7"/>
              <w:spacing w:after="0"/>
              <w:rPr>
                <w:sz w:val="20"/>
                <w:szCs w:val="20"/>
                <w:color w:val="auto"/>
              </w:rPr>
            </w:pPr>
            <w:r>
              <w:rPr>
                <w:rFonts w:ascii="Arial" w:cs="Arial" w:eastAsia="Arial" w:hAnsi="Arial"/>
                <w:sz w:val="13"/>
                <w:szCs w:val="13"/>
                <w:b w:val="1"/>
                <w:bCs w:val="1"/>
                <w:color w:val="auto"/>
              </w:rPr>
              <w:t>2025</w:t>
            </w:r>
          </w:p>
        </w:tc>
        <w:tc>
          <w:tcPr>
            <w:tcW w:w="1520" w:type="dxa"/>
            <w:vAlign w:val="bottom"/>
            <w:tcBorders>
              <w:bottom w:val="single" w:sz="8" w:color="001544"/>
            </w:tcBorders>
          </w:tcPr>
          <w:p>
            <w:pPr>
              <w:jc w:val="right"/>
              <w:ind w:right="227"/>
              <w:spacing w:after="0"/>
              <w:rPr>
                <w:sz w:val="20"/>
                <w:szCs w:val="20"/>
                <w:color w:val="auto"/>
              </w:rPr>
            </w:pPr>
            <w:r>
              <w:rPr>
                <w:rFonts w:ascii="Arial" w:cs="Arial" w:eastAsia="Arial" w:hAnsi="Arial"/>
                <w:sz w:val="13"/>
                <w:szCs w:val="13"/>
                <w:b w:val="1"/>
                <w:bCs w:val="1"/>
                <w:color w:val="auto"/>
              </w:rPr>
              <w:t>2025</w:t>
            </w:r>
          </w:p>
        </w:tc>
        <w:tc>
          <w:tcPr>
            <w:tcW w:w="1000" w:type="dxa"/>
            <w:vAlign w:val="bottom"/>
            <w:tcBorders>
              <w:bottom w:val="single" w:sz="8" w:color="001544"/>
            </w:tcBorders>
          </w:tcPr>
          <w:p>
            <w:pPr>
              <w:jc w:val="right"/>
              <w:spacing w:after="0"/>
              <w:rPr>
                <w:sz w:val="20"/>
                <w:szCs w:val="20"/>
                <w:color w:val="auto"/>
              </w:rPr>
            </w:pPr>
            <w:r>
              <w:rPr>
                <w:rFonts w:ascii="Arial" w:cs="Arial" w:eastAsia="Arial" w:hAnsi="Arial"/>
                <w:sz w:val="13"/>
                <w:szCs w:val="13"/>
                <w:b w:val="1"/>
                <w:bCs w:val="1"/>
                <w:color w:val="auto"/>
              </w:rPr>
              <w:t>interest¹</w:t>
            </w:r>
          </w:p>
        </w:tc>
      </w:tr>
      <w:tr>
        <w:trPr>
          <w:trHeight w:val="215"/>
        </w:trPr>
        <w:tc>
          <w:tcPr>
            <w:tcW w:w="2080" w:type="dxa"/>
            <w:vAlign w:val="bottom"/>
          </w:tcPr>
          <w:p>
            <w:pPr>
              <w:ind w:left="20"/>
              <w:spacing w:after="0"/>
              <w:rPr>
                <w:sz w:val="20"/>
                <w:szCs w:val="20"/>
                <w:color w:val="auto"/>
              </w:rPr>
            </w:pPr>
            <w:r>
              <w:rPr>
                <w:rFonts w:ascii="Arial" w:cs="Arial" w:eastAsia="Arial" w:hAnsi="Arial"/>
                <w:sz w:val="15"/>
                <w:szCs w:val="15"/>
                <w:b w:val="1"/>
                <w:bCs w:val="1"/>
                <w:color w:val="auto"/>
              </w:rPr>
              <w:t>Directors:</w:t>
            </w:r>
          </w:p>
        </w:tc>
        <w:tc>
          <w:tcPr>
            <w:tcW w:w="3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5"/>
                <w:szCs w:val="15"/>
                <w:color w:val="auto"/>
              </w:rPr>
              <w:t>Dr Robert Langer</w:t>
            </w:r>
          </w:p>
        </w:tc>
        <w:tc>
          <w:tcPr>
            <w:tcW w:w="3540" w:type="dxa"/>
            <w:vAlign w:val="bottom"/>
          </w:tcPr>
          <w:p>
            <w:pPr>
              <w:ind w:left="640"/>
              <w:spacing w:after="0"/>
              <w:rPr>
                <w:sz w:val="20"/>
                <w:szCs w:val="20"/>
                <w:color w:val="auto"/>
              </w:rPr>
            </w:pPr>
            <w:r>
              <w:rPr>
                <w:rFonts w:ascii="Arial" w:cs="Arial" w:eastAsia="Arial" w:hAnsi="Arial"/>
                <w:sz w:val="15"/>
                <w:szCs w:val="15"/>
                <w:color w:val="auto"/>
              </w:rPr>
              <w:t>Entrega (Common)</w:t>
            </w:r>
          </w:p>
        </w:tc>
        <w:tc>
          <w:tcPr>
            <w:tcW w:w="1740" w:type="dxa"/>
            <w:vAlign w:val="bottom"/>
          </w:tcPr>
          <w:p>
            <w:pPr>
              <w:jc w:val="right"/>
              <w:ind w:right="67"/>
              <w:spacing w:after="0"/>
              <w:rPr>
                <w:sz w:val="20"/>
                <w:szCs w:val="20"/>
                <w:color w:val="auto"/>
              </w:rPr>
            </w:pPr>
            <w:r>
              <w:rPr>
                <w:rFonts w:ascii="Arial" w:cs="Arial" w:eastAsia="Arial" w:hAnsi="Arial"/>
                <w:sz w:val="15"/>
                <w:szCs w:val="15"/>
                <w:b w:val="1"/>
                <w:bCs w:val="1"/>
                <w:color w:val="auto"/>
              </w:rPr>
              <w:t>250,000</w:t>
            </w:r>
          </w:p>
        </w:tc>
        <w:tc>
          <w:tcPr>
            <w:tcW w:w="1340" w:type="dxa"/>
            <w:vAlign w:val="bottom"/>
          </w:tcPr>
          <w:p>
            <w:pPr>
              <w:jc w:val="right"/>
              <w:ind w:right="7"/>
              <w:spacing w:after="0"/>
              <w:rPr>
                <w:sz w:val="20"/>
                <w:szCs w:val="20"/>
                <w:color w:val="auto"/>
              </w:rPr>
            </w:pPr>
            <w:r>
              <w:rPr>
                <w:rFonts w:ascii="Arial" w:cs="Arial" w:eastAsia="Arial" w:hAnsi="Arial"/>
                <w:sz w:val="15"/>
                <w:szCs w:val="15"/>
                <w:b w:val="1"/>
                <w:bCs w:val="1"/>
                <w:color w:val="auto"/>
              </w:rPr>
              <w:t>82,500</w:t>
            </w:r>
          </w:p>
        </w:tc>
        <w:tc>
          <w:tcPr>
            <w:tcW w:w="1520" w:type="dxa"/>
            <w:vAlign w:val="bottom"/>
          </w:tcPr>
          <w:p>
            <w:pPr>
              <w:jc w:val="right"/>
              <w:ind w:right="227"/>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4.29 %</w:t>
            </w:r>
          </w:p>
        </w:tc>
      </w:tr>
      <w:tr>
        <w:trPr>
          <w:trHeight w:val="243"/>
        </w:trPr>
        <w:tc>
          <w:tcPr>
            <w:tcW w:w="2080" w:type="dxa"/>
            <w:vAlign w:val="bottom"/>
          </w:tcPr>
          <w:p>
            <w:pPr>
              <w:ind w:left="20"/>
              <w:spacing w:after="0"/>
              <w:rPr>
                <w:sz w:val="20"/>
                <w:szCs w:val="20"/>
                <w:color w:val="auto"/>
              </w:rPr>
            </w:pPr>
            <w:r>
              <w:rPr>
                <w:rFonts w:ascii="Arial" w:cs="Arial" w:eastAsia="Arial" w:hAnsi="Arial"/>
                <w:sz w:val="15"/>
                <w:szCs w:val="15"/>
                <w:color w:val="auto"/>
              </w:rPr>
              <w:t>Dr Raju Kucherlapati</w:t>
            </w:r>
          </w:p>
        </w:tc>
        <w:tc>
          <w:tcPr>
            <w:tcW w:w="3540" w:type="dxa"/>
            <w:vAlign w:val="bottom"/>
          </w:tcPr>
          <w:p>
            <w:pPr>
              <w:ind w:left="640"/>
              <w:spacing w:after="0"/>
              <w:rPr>
                <w:sz w:val="20"/>
                <w:szCs w:val="20"/>
                <w:color w:val="auto"/>
              </w:rPr>
            </w:pPr>
            <w:r>
              <w:rPr>
                <w:rFonts w:ascii="Arial" w:cs="Arial" w:eastAsia="Arial" w:hAnsi="Arial"/>
                <w:sz w:val="15"/>
                <w:szCs w:val="15"/>
                <w:color w:val="auto"/>
              </w:rPr>
              <w:t>Enlight (Class B Common)</w:t>
            </w:r>
          </w:p>
        </w:tc>
        <w:tc>
          <w:tcPr>
            <w:tcW w:w="1740" w:type="dxa"/>
            <w:vAlign w:val="bottom"/>
          </w:tcPr>
          <w:p>
            <w:pPr>
              <w:jc w:val="right"/>
              <w:ind w:right="67"/>
              <w:spacing w:after="0"/>
              <w:rPr>
                <w:sz w:val="20"/>
                <w:szCs w:val="20"/>
                <w:color w:val="auto"/>
              </w:rPr>
            </w:pPr>
            <w:r>
              <w:rPr>
                <w:rFonts w:ascii="Arial" w:cs="Arial" w:eastAsia="Arial" w:hAnsi="Arial"/>
                <w:sz w:val="15"/>
                <w:szCs w:val="15"/>
                <w:b w:val="1"/>
                <w:bCs w:val="1"/>
                <w:color w:val="auto"/>
              </w:rPr>
              <w:t>—</w:t>
            </w:r>
          </w:p>
        </w:tc>
        <w:tc>
          <w:tcPr>
            <w:tcW w:w="1340" w:type="dxa"/>
            <w:vAlign w:val="bottom"/>
          </w:tcPr>
          <w:p>
            <w:pPr>
              <w:jc w:val="right"/>
              <w:ind w:right="7"/>
              <w:spacing w:after="0"/>
              <w:rPr>
                <w:sz w:val="20"/>
                <w:szCs w:val="20"/>
                <w:color w:val="auto"/>
              </w:rPr>
            </w:pPr>
            <w:r>
              <w:rPr>
                <w:rFonts w:ascii="Arial" w:cs="Arial" w:eastAsia="Arial" w:hAnsi="Arial"/>
                <w:sz w:val="15"/>
                <w:szCs w:val="15"/>
                <w:b w:val="1"/>
                <w:bCs w:val="1"/>
                <w:color w:val="auto"/>
              </w:rPr>
              <w:t>30,000</w:t>
            </w:r>
          </w:p>
        </w:tc>
        <w:tc>
          <w:tcPr>
            <w:tcW w:w="1520" w:type="dxa"/>
            <w:vAlign w:val="bottom"/>
          </w:tcPr>
          <w:p>
            <w:pPr>
              <w:jc w:val="right"/>
              <w:ind w:right="227"/>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3.00 %</w:t>
            </w:r>
          </w:p>
        </w:tc>
      </w:tr>
      <w:tr>
        <w:trPr>
          <w:trHeight w:val="243"/>
        </w:trPr>
        <w:tc>
          <w:tcPr>
            <w:tcW w:w="2080" w:type="dxa"/>
            <w:vAlign w:val="bottom"/>
          </w:tcPr>
          <w:p>
            <w:pPr>
              <w:spacing w:after="0"/>
              <w:rPr>
                <w:sz w:val="21"/>
                <w:szCs w:val="21"/>
                <w:color w:val="auto"/>
              </w:rPr>
            </w:pPr>
          </w:p>
        </w:tc>
        <w:tc>
          <w:tcPr>
            <w:tcW w:w="3540" w:type="dxa"/>
            <w:vAlign w:val="bottom"/>
          </w:tcPr>
          <w:p>
            <w:pPr>
              <w:ind w:left="640"/>
              <w:spacing w:after="0"/>
              <w:rPr>
                <w:sz w:val="20"/>
                <w:szCs w:val="20"/>
                <w:color w:val="auto"/>
              </w:rPr>
            </w:pPr>
            <w:r>
              <w:rPr>
                <w:rFonts w:ascii="Arial" w:cs="Arial" w:eastAsia="Arial" w:hAnsi="Arial"/>
                <w:sz w:val="15"/>
                <w:szCs w:val="15"/>
                <w:color w:val="auto"/>
              </w:rPr>
              <w:t>Seaport Therapeutics (Preferred B)</w:t>
            </w:r>
          </w:p>
        </w:tc>
        <w:tc>
          <w:tcPr>
            <w:tcW w:w="1740" w:type="dxa"/>
            <w:vAlign w:val="bottom"/>
          </w:tcPr>
          <w:p>
            <w:pPr>
              <w:jc w:val="right"/>
              <w:ind w:right="67"/>
              <w:spacing w:after="0"/>
              <w:rPr>
                <w:sz w:val="20"/>
                <w:szCs w:val="20"/>
                <w:color w:val="auto"/>
              </w:rPr>
            </w:pPr>
            <w:r>
              <w:rPr>
                <w:rFonts w:ascii="Arial" w:cs="Arial" w:eastAsia="Arial" w:hAnsi="Arial"/>
                <w:sz w:val="15"/>
                <w:szCs w:val="15"/>
                <w:b w:val="1"/>
                <w:bCs w:val="1"/>
                <w:color w:val="auto"/>
              </w:rPr>
              <w:t>21,052</w:t>
            </w:r>
          </w:p>
        </w:tc>
        <w:tc>
          <w:tcPr>
            <w:tcW w:w="134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1520" w:type="dxa"/>
            <w:vAlign w:val="bottom"/>
          </w:tcPr>
          <w:p>
            <w:pPr>
              <w:jc w:val="right"/>
              <w:ind w:right="227"/>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0.01 %</w:t>
            </w:r>
          </w:p>
        </w:tc>
      </w:tr>
      <w:tr>
        <w:trPr>
          <w:trHeight w:val="243"/>
        </w:trPr>
        <w:tc>
          <w:tcPr>
            <w:tcW w:w="2080" w:type="dxa"/>
            <w:vAlign w:val="bottom"/>
          </w:tcPr>
          <w:p>
            <w:pPr>
              <w:ind w:left="20"/>
              <w:spacing w:after="0"/>
              <w:rPr>
                <w:sz w:val="20"/>
                <w:szCs w:val="20"/>
                <w:color w:val="auto"/>
              </w:rPr>
            </w:pPr>
            <w:r>
              <w:rPr>
                <w:rFonts w:ascii="Arial" w:cs="Arial" w:eastAsia="Arial" w:hAnsi="Arial"/>
                <w:sz w:val="15"/>
                <w:szCs w:val="15"/>
                <w:color w:val="auto"/>
              </w:rPr>
              <w:t>Dr John LaMattina</w:t>
            </w:r>
          </w:p>
        </w:tc>
        <w:tc>
          <w:tcPr>
            <w:tcW w:w="3540" w:type="dxa"/>
            <w:vAlign w:val="bottom"/>
          </w:tcPr>
          <w:p>
            <w:pPr>
              <w:ind w:left="640"/>
              <w:spacing w:after="0"/>
              <w:rPr>
                <w:sz w:val="20"/>
                <w:szCs w:val="20"/>
                <w:color w:val="auto"/>
              </w:rPr>
            </w:pPr>
            <w:r>
              <w:rPr>
                <w:rFonts w:ascii="Arial" w:cs="Arial" w:eastAsia="Arial" w:hAnsi="Arial"/>
                <w:sz w:val="15"/>
                <w:szCs w:val="15"/>
                <w:color w:val="auto"/>
              </w:rPr>
              <w:t>Vedanta Biosciences (Common)</w:t>
            </w:r>
          </w:p>
        </w:tc>
        <w:tc>
          <w:tcPr>
            <w:tcW w:w="1740" w:type="dxa"/>
            <w:vAlign w:val="bottom"/>
          </w:tcPr>
          <w:p>
            <w:pPr>
              <w:jc w:val="right"/>
              <w:ind w:right="67"/>
              <w:spacing w:after="0"/>
              <w:rPr>
                <w:sz w:val="20"/>
                <w:szCs w:val="20"/>
                <w:color w:val="auto"/>
              </w:rPr>
            </w:pPr>
            <w:r>
              <w:rPr>
                <w:rFonts w:ascii="Arial" w:cs="Arial" w:eastAsia="Arial" w:hAnsi="Arial"/>
                <w:sz w:val="15"/>
                <w:szCs w:val="15"/>
                <w:b w:val="1"/>
                <w:bCs w:val="1"/>
                <w:color w:val="auto"/>
              </w:rPr>
              <w:t>25,000</w:t>
            </w:r>
          </w:p>
        </w:tc>
        <w:tc>
          <w:tcPr>
            <w:tcW w:w="1340" w:type="dxa"/>
            <w:vAlign w:val="bottom"/>
          </w:tcPr>
          <w:p>
            <w:pPr>
              <w:jc w:val="right"/>
              <w:ind w:right="7"/>
              <w:spacing w:after="0"/>
              <w:rPr>
                <w:sz w:val="20"/>
                <w:szCs w:val="20"/>
                <w:color w:val="auto"/>
              </w:rPr>
            </w:pPr>
            <w:r>
              <w:rPr>
                <w:rFonts w:ascii="Arial" w:cs="Arial" w:eastAsia="Arial" w:hAnsi="Arial"/>
                <w:sz w:val="15"/>
                <w:szCs w:val="15"/>
                <w:b w:val="1"/>
                <w:bCs w:val="1"/>
                <w:color w:val="auto"/>
              </w:rPr>
              <w:t>15,000</w:t>
            </w:r>
          </w:p>
        </w:tc>
        <w:tc>
          <w:tcPr>
            <w:tcW w:w="1520" w:type="dxa"/>
            <w:vAlign w:val="bottom"/>
          </w:tcPr>
          <w:p>
            <w:pPr>
              <w:jc w:val="right"/>
              <w:ind w:right="227"/>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0.25 %</w:t>
            </w:r>
          </w:p>
        </w:tc>
      </w:tr>
      <w:tr>
        <w:trPr>
          <w:trHeight w:val="276"/>
        </w:trPr>
        <w:tc>
          <w:tcPr>
            <w:tcW w:w="2080" w:type="dxa"/>
            <w:vAlign w:val="bottom"/>
          </w:tcPr>
          <w:p>
            <w:pPr>
              <w:spacing w:after="0"/>
              <w:rPr>
                <w:sz w:val="23"/>
                <w:szCs w:val="23"/>
                <w:color w:val="auto"/>
              </w:rPr>
            </w:pPr>
          </w:p>
        </w:tc>
        <w:tc>
          <w:tcPr>
            <w:tcW w:w="3540" w:type="dxa"/>
            <w:vAlign w:val="bottom"/>
          </w:tcPr>
          <w:p>
            <w:pPr>
              <w:ind w:left="640"/>
              <w:spacing w:after="0"/>
              <w:rPr>
                <w:sz w:val="20"/>
                <w:szCs w:val="20"/>
                <w:color w:val="auto"/>
              </w:rPr>
            </w:pPr>
            <w:r>
              <w:rPr>
                <w:rFonts w:ascii="Arial" w:cs="Arial" w:eastAsia="Arial" w:hAnsi="Arial"/>
                <w:sz w:val="15"/>
                <w:szCs w:val="15"/>
                <w:color w:val="auto"/>
              </w:rPr>
              <w:t>Seaport Therapeutics (Preferred B)</w:t>
            </w:r>
            <w:r>
              <w:rPr>
                <w:rFonts w:ascii="Arial" w:cs="Arial" w:eastAsia="Arial" w:hAnsi="Arial"/>
                <w:sz w:val="19"/>
                <w:szCs w:val="19"/>
                <w:color w:val="auto"/>
                <w:vertAlign w:val="superscript"/>
              </w:rPr>
              <w:t>2</w:t>
            </w:r>
          </w:p>
        </w:tc>
        <w:tc>
          <w:tcPr>
            <w:tcW w:w="1740" w:type="dxa"/>
            <w:vAlign w:val="bottom"/>
          </w:tcPr>
          <w:p>
            <w:pPr>
              <w:jc w:val="right"/>
              <w:ind w:right="67"/>
              <w:spacing w:after="0"/>
              <w:rPr>
                <w:sz w:val="20"/>
                <w:szCs w:val="20"/>
                <w:color w:val="auto"/>
              </w:rPr>
            </w:pPr>
            <w:r>
              <w:rPr>
                <w:rFonts w:ascii="Arial" w:cs="Arial" w:eastAsia="Arial" w:hAnsi="Arial"/>
                <w:sz w:val="15"/>
                <w:szCs w:val="15"/>
                <w:b w:val="1"/>
                <w:bCs w:val="1"/>
                <w:color w:val="auto"/>
              </w:rPr>
              <w:t>21,052</w:t>
            </w:r>
          </w:p>
        </w:tc>
        <w:tc>
          <w:tcPr>
            <w:tcW w:w="134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1520" w:type="dxa"/>
            <w:vAlign w:val="bottom"/>
          </w:tcPr>
          <w:p>
            <w:pPr>
              <w:jc w:val="right"/>
              <w:ind w:right="227"/>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0.01 %</w:t>
            </w:r>
          </w:p>
        </w:tc>
      </w:tr>
      <w:tr>
        <w:trPr>
          <w:trHeight w:val="210"/>
        </w:trPr>
        <w:tc>
          <w:tcPr>
            <w:tcW w:w="2080" w:type="dxa"/>
            <w:vAlign w:val="bottom"/>
          </w:tcPr>
          <w:p>
            <w:pPr>
              <w:ind w:left="20"/>
              <w:spacing w:after="0"/>
              <w:rPr>
                <w:sz w:val="20"/>
                <w:szCs w:val="20"/>
                <w:color w:val="auto"/>
              </w:rPr>
            </w:pPr>
            <w:r>
              <w:rPr>
                <w:rFonts w:ascii="Arial" w:cs="Arial" w:eastAsia="Arial" w:hAnsi="Arial"/>
                <w:sz w:val="15"/>
                <w:szCs w:val="15"/>
                <w:color w:val="auto"/>
              </w:rPr>
              <w:t>Michele Holcomb</w:t>
            </w:r>
          </w:p>
        </w:tc>
        <w:tc>
          <w:tcPr>
            <w:tcW w:w="3540" w:type="dxa"/>
            <w:vAlign w:val="bottom"/>
          </w:tcPr>
          <w:p>
            <w:pPr>
              <w:ind w:left="640"/>
              <w:spacing w:after="0"/>
              <w:rPr>
                <w:sz w:val="20"/>
                <w:szCs w:val="20"/>
                <w:color w:val="auto"/>
              </w:rPr>
            </w:pPr>
            <w:r>
              <w:rPr>
                <w:rFonts w:ascii="Arial" w:cs="Arial" w:eastAsia="Arial" w:hAnsi="Arial"/>
                <w:sz w:val="15"/>
                <w:szCs w:val="15"/>
                <w:color w:val="auto"/>
              </w:rPr>
              <w:t>Seaport Therapeutics (Preferred B)</w:t>
            </w:r>
          </w:p>
        </w:tc>
        <w:tc>
          <w:tcPr>
            <w:tcW w:w="1740" w:type="dxa"/>
            <w:vAlign w:val="bottom"/>
          </w:tcPr>
          <w:p>
            <w:pPr>
              <w:jc w:val="right"/>
              <w:ind w:right="67"/>
              <w:spacing w:after="0"/>
              <w:rPr>
                <w:sz w:val="20"/>
                <w:szCs w:val="20"/>
                <w:color w:val="auto"/>
              </w:rPr>
            </w:pPr>
            <w:r>
              <w:rPr>
                <w:rFonts w:ascii="Arial" w:cs="Arial" w:eastAsia="Arial" w:hAnsi="Arial"/>
                <w:sz w:val="15"/>
                <w:szCs w:val="15"/>
                <w:b w:val="1"/>
                <w:bCs w:val="1"/>
                <w:color w:val="auto"/>
              </w:rPr>
              <w:t>21,052</w:t>
            </w:r>
          </w:p>
        </w:tc>
        <w:tc>
          <w:tcPr>
            <w:tcW w:w="134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1520" w:type="dxa"/>
            <w:vAlign w:val="bottom"/>
          </w:tcPr>
          <w:p>
            <w:pPr>
              <w:jc w:val="right"/>
              <w:ind w:right="227"/>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0.01 %</w:t>
            </w:r>
          </w:p>
        </w:tc>
      </w:tr>
      <w:tr>
        <w:trPr>
          <w:trHeight w:val="243"/>
        </w:trPr>
        <w:tc>
          <w:tcPr>
            <w:tcW w:w="2080" w:type="dxa"/>
            <w:vAlign w:val="bottom"/>
          </w:tcPr>
          <w:p>
            <w:pPr>
              <w:ind w:left="20"/>
              <w:spacing w:after="0"/>
              <w:rPr>
                <w:sz w:val="20"/>
                <w:szCs w:val="20"/>
                <w:color w:val="auto"/>
              </w:rPr>
            </w:pPr>
            <w:r>
              <w:rPr>
                <w:rFonts w:ascii="Arial" w:cs="Arial" w:eastAsia="Arial" w:hAnsi="Arial"/>
                <w:sz w:val="15"/>
                <w:szCs w:val="15"/>
                <w:color w:val="auto"/>
              </w:rPr>
              <w:t>Sharon Barber-Lui</w:t>
            </w:r>
          </w:p>
        </w:tc>
        <w:tc>
          <w:tcPr>
            <w:tcW w:w="3540" w:type="dxa"/>
            <w:vAlign w:val="bottom"/>
          </w:tcPr>
          <w:p>
            <w:pPr>
              <w:ind w:left="640"/>
              <w:spacing w:after="0"/>
              <w:rPr>
                <w:sz w:val="20"/>
                <w:szCs w:val="20"/>
                <w:color w:val="auto"/>
              </w:rPr>
            </w:pPr>
            <w:r>
              <w:rPr>
                <w:rFonts w:ascii="Arial" w:cs="Arial" w:eastAsia="Arial" w:hAnsi="Arial"/>
                <w:sz w:val="15"/>
                <w:szCs w:val="15"/>
                <w:color w:val="auto"/>
              </w:rPr>
              <w:t>Seaport Therapeutics (Preferred B)</w:t>
            </w:r>
          </w:p>
        </w:tc>
        <w:tc>
          <w:tcPr>
            <w:tcW w:w="1740" w:type="dxa"/>
            <w:vAlign w:val="bottom"/>
          </w:tcPr>
          <w:p>
            <w:pPr>
              <w:jc w:val="right"/>
              <w:ind w:right="67"/>
              <w:spacing w:after="0"/>
              <w:rPr>
                <w:sz w:val="20"/>
                <w:szCs w:val="20"/>
                <w:color w:val="auto"/>
              </w:rPr>
            </w:pPr>
            <w:r>
              <w:rPr>
                <w:rFonts w:ascii="Arial" w:cs="Arial" w:eastAsia="Arial" w:hAnsi="Arial"/>
                <w:sz w:val="15"/>
                <w:szCs w:val="15"/>
                <w:b w:val="1"/>
                <w:bCs w:val="1"/>
                <w:color w:val="auto"/>
              </w:rPr>
              <w:t>21,052</w:t>
            </w:r>
          </w:p>
        </w:tc>
        <w:tc>
          <w:tcPr>
            <w:tcW w:w="134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1520" w:type="dxa"/>
            <w:vAlign w:val="bottom"/>
          </w:tcPr>
          <w:p>
            <w:pPr>
              <w:jc w:val="right"/>
              <w:ind w:right="227"/>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0.01 %</w:t>
            </w:r>
          </w:p>
        </w:tc>
      </w:tr>
      <w:tr>
        <w:trPr>
          <w:trHeight w:val="243"/>
        </w:trPr>
        <w:tc>
          <w:tcPr>
            <w:tcW w:w="2080" w:type="dxa"/>
            <w:vAlign w:val="bottom"/>
          </w:tcPr>
          <w:p>
            <w:pPr>
              <w:ind w:left="20"/>
              <w:spacing w:after="0"/>
              <w:rPr>
                <w:sz w:val="20"/>
                <w:szCs w:val="20"/>
                <w:color w:val="auto"/>
              </w:rPr>
            </w:pPr>
            <w:r>
              <w:rPr>
                <w:rFonts w:ascii="Arial" w:cs="Arial" w:eastAsia="Arial" w:hAnsi="Arial"/>
                <w:sz w:val="15"/>
                <w:szCs w:val="15"/>
                <w:b w:val="1"/>
                <w:bCs w:val="1"/>
                <w:color w:val="auto"/>
              </w:rPr>
              <w:t>Senior Managers:</w:t>
            </w:r>
          </w:p>
        </w:tc>
        <w:tc>
          <w:tcPr>
            <w:tcW w:w="35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5"/>
                <w:szCs w:val="15"/>
                <w:color w:val="auto"/>
              </w:rPr>
              <w:t>Eric Elenko</w:t>
            </w:r>
          </w:p>
        </w:tc>
        <w:tc>
          <w:tcPr>
            <w:tcW w:w="3540" w:type="dxa"/>
            <w:vAlign w:val="bottom"/>
          </w:tcPr>
          <w:p>
            <w:pPr>
              <w:ind w:left="640"/>
              <w:spacing w:after="0"/>
              <w:rPr>
                <w:sz w:val="20"/>
                <w:szCs w:val="20"/>
                <w:color w:val="auto"/>
              </w:rPr>
            </w:pPr>
            <w:r>
              <w:rPr>
                <w:rFonts w:ascii="Arial" w:cs="Arial" w:eastAsia="Arial" w:hAnsi="Arial"/>
                <w:sz w:val="15"/>
                <w:szCs w:val="15"/>
                <w:color w:val="auto"/>
              </w:rPr>
              <w:t>Seaport Therapeutics (Common)</w:t>
            </w:r>
          </w:p>
        </w:tc>
        <w:tc>
          <w:tcPr>
            <w:tcW w:w="1740" w:type="dxa"/>
            <w:vAlign w:val="bottom"/>
          </w:tcPr>
          <w:p>
            <w:pPr>
              <w:jc w:val="right"/>
              <w:ind w:right="67"/>
              <w:spacing w:after="0"/>
              <w:rPr>
                <w:sz w:val="20"/>
                <w:szCs w:val="20"/>
                <w:color w:val="auto"/>
              </w:rPr>
            </w:pPr>
            <w:r>
              <w:rPr>
                <w:rFonts w:ascii="Arial" w:cs="Arial" w:eastAsia="Arial" w:hAnsi="Arial"/>
                <w:sz w:val="15"/>
                <w:szCs w:val="15"/>
                <w:b w:val="1"/>
                <w:bCs w:val="1"/>
                <w:color w:val="auto"/>
              </w:rPr>
              <w:t>950,000</w:t>
            </w:r>
          </w:p>
        </w:tc>
        <w:tc>
          <w:tcPr>
            <w:tcW w:w="134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1520" w:type="dxa"/>
            <w:vAlign w:val="bottom"/>
          </w:tcPr>
          <w:p>
            <w:pPr>
              <w:jc w:val="right"/>
              <w:ind w:right="227"/>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0.64 %</w:t>
            </w:r>
          </w:p>
        </w:tc>
      </w:tr>
      <w:tr>
        <w:trPr>
          <w:trHeight w:val="25"/>
        </w:trPr>
        <w:tc>
          <w:tcPr>
            <w:tcW w:w="2080" w:type="dxa"/>
            <w:vAlign w:val="bottom"/>
            <w:tcBorders>
              <w:bottom w:val="single" w:sz="8" w:color="001544"/>
            </w:tcBorders>
          </w:tcPr>
          <w:p>
            <w:pPr>
              <w:spacing w:after="0"/>
              <w:rPr>
                <w:sz w:val="2"/>
                <w:szCs w:val="2"/>
                <w:color w:val="auto"/>
              </w:rPr>
            </w:pPr>
          </w:p>
        </w:tc>
        <w:tc>
          <w:tcPr>
            <w:tcW w:w="3540" w:type="dxa"/>
            <w:vAlign w:val="bottom"/>
            <w:tcBorders>
              <w:bottom w:val="single" w:sz="8" w:color="001544"/>
            </w:tcBorders>
          </w:tcPr>
          <w:p>
            <w:pPr>
              <w:spacing w:after="0"/>
              <w:rPr>
                <w:sz w:val="2"/>
                <w:szCs w:val="2"/>
                <w:color w:val="auto"/>
              </w:rPr>
            </w:pPr>
          </w:p>
        </w:tc>
        <w:tc>
          <w:tcPr>
            <w:tcW w:w="1740" w:type="dxa"/>
            <w:vAlign w:val="bottom"/>
            <w:tcBorders>
              <w:bottom w:val="single" w:sz="8" w:color="001544"/>
            </w:tcBorders>
          </w:tcPr>
          <w:p>
            <w:pPr>
              <w:spacing w:after="0"/>
              <w:rPr>
                <w:sz w:val="2"/>
                <w:szCs w:val="2"/>
                <w:color w:val="auto"/>
              </w:rPr>
            </w:pPr>
          </w:p>
        </w:tc>
        <w:tc>
          <w:tcPr>
            <w:tcW w:w="1340" w:type="dxa"/>
            <w:vAlign w:val="bottom"/>
            <w:tcBorders>
              <w:bottom w:val="single" w:sz="8" w:color="001544"/>
            </w:tcBorders>
          </w:tcPr>
          <w:p>
            <w:pPr>
              <w:spacing w:after="0"/>
              <w:rPr>
                <w:sz w:val="2"/>
                <w:szCs w:val="2"/>
                <w:color w:val="auto"/>
              </w:rPr>
            </w:pPr>
          </w:p>
        </w:tc>
        <w:tc>
          <w:tcPr>
            <w:tcW w:w="1520" w:type="dxa"/>
            <w:vAlign w:val="bottom"/>
            <w:tcBorders>
              <w:bottom w:val="single" w:sz="8" w:color="001544"/>
            </w:tcBorders>
          </w:tcPr>
          <w:p>
            <w:pPr>
              <w:spacing w:after="0"/>
              <w:rPr>
                <w:sz w:val="2"/>
                <w:szCs w:val="2"/>
                <w:color w:val="auto"/>
              </w:rPr>
            </w:pPr>
          </w:p>
        </w:tc>
        <w:tc>
          <w:tcPr>
            <w:tcW w:w="1000" w:type="dxa"/>
            <w:vAlign w:val="bottom"/>
            <w:tcBorders>
              <w:bottom w:val="single" w:sz="8" w:color="001544"/>
            </w:tcBorders>
          </w:tcPr>
          <w:p>
            <w:pPr>
              <w:spacing w:after="0"/>
              <w:rPr>
                <w:sz w:val="2"/>
                <w:szCs w:val="2"/>
                <w:color w:val="auto"/>
              </w:rPr>
            </w:pPr>
          </w:p>
        </w:tc>
      </w:tr>
    </w:tbl>
    <w:p>
      <w:pPr>
        <w:spacing w:after="0" w:line="95" w:lineRule="exact"/>
        <w:rPr>
          <w:sz w:val="20"/>
          <w:szCs w:val="20"/>
          <w:color w:val="auto"/>
        </w:rPr>
      </w:pPr>
    </w:p>
    <w:p>
      <w:pPr>
        <w:ind w:left="260" w:right="20" w:hanging="252"/>
        <w:spacing w:after="0" w:line="281" w:lineRule="auto"/>
        <w:tabs>
          <w:tab w:leader="none" w:pos="185" w:val="left"/>
        </w:tabs>
        <w:numPr>
          <w:ilvl w:val="0"/>
          <w:numId w:val="34"/>
        </w:numPr>
        <w:rPr>
          <w:rFonts w:ascii="Arial" w:cs="Arial" w:eastAsia="Arial" w:hAnsi="Arial"/>
          <w:sz w:val="11"/>
          <w:szCs w:val="11"/>
          <w:color w:val="183964"/>
        </w:rPr>
      </w:pPr>
      <w:r>
        <w:rPr>
          <w:rFonts w:ascii="Arial" w:cs="Arial" w:eastAsia="Arial" w:hAnsi="Arial"/>
          <w:sz w:val="11"/>
          <w:szCs w:val="11"/>
          <w:color w:val="183964"/>
        </w:rPr>
        <w:t>Ownership interests as of June 30, 2025 are calculated on a diluted basis, including issued and outstanding shares, warrants and options (and written commitments to issue options) but excluding unallocated shares authorized to be issued pursuant to equity incentive plans and any shares issuable upon conversion of outstanding convertible promissory notes.</w:t>
      </w:r>
    </w:p>
    <w:p>
      <w:pPr>
        <w:spacing w:after="0" w:line="1"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1"/>
          <w:szCs w:val="11"/>
          <w:color w:val="183964"/>
        </w:rPr>
      </w:pPr>
      <w:r>
        <w:rPr>
          <w:rFonts w:ascii="Arial" w:cs="Arial" w:eastAsia="Arial" w:hAnsi="Arial"/>
          <w:sz w:val="11"/>
          <w:szCs w:val="11"/>
          <w:color w:val="183964"/>
        </w:rPr>
        <w:t>Dr. John and Ms. Mary LaMattina hold 21,052 Series B preferred shares of Seaport Therapeutics.</w:t>
      </w:r>
    </w:p>
    <w:p>
      <w:pPr>
        <w:spacing w:after="0" w:line="315"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Directors and senior managers hold 10,521,135 ordinary shares and 4.4% voting rights of the Group as of June 30, 2025. This amount excludes options to purchase 2,293,286 ordinary shares. This amount also excludes 3,063,620 shares, which are issuable based on the terms of performance based RSU awards granted to certain senior managers covering the financial years 2024 and 2023, and 2,003,621 shares of time based RSUs to senior managers, which vest over 3 years. Such shares will be issued to such senior managers in future periods provided that performance and/or service conditions are met, and certain of the shares will be withheld for payment of customary withholding taxes. This amount also excludes 346,010 shares, which were issuable to non-executive directors immediately prior to the Group's 2025 Annual General Meeting of Stockholders, and issued on July 1, 2025, based on the terms of the RSU awards granted to non-executive directors in 2024.</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During the year ended December 31, 2024, certain officers and directors participated in the Tender Offer. See Note 10. Equity for details on the program.</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Consequently, the Group repurchased a total of 767,533 ordinary shares at 250 pence per ordinary share from these related parties.</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183964"/>
        </w:rPr>
        <w:t>Other</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See Note 6. Investment in Notes from Associates for details on the notes issued by Gelesis and Vedanta to the Group.</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As of June 30, 2025, the Group has a receivable from Seaport in the amount of $68.</w:t>
      </w:r>
    </w:p>
    <w:p>
      <w:pPr>
        <w:spacing w:after="0" w:line="96"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15"/>
          <w:szCs w:val="15"/>
          <w:b w:val="1"/>
          <w:bCs w:val="1"/>
          <w:color w:val="183964"/>
        </w:rPr>
      </w:pPr>
      <w:r>
        <w:rPr>
          <w:rFonts w:ascii="Arial" w:cs="Arial" w:eastAsia="Arial" w:hAnsi="Arial"/>
          <w:sz w:val="15"/>
          <w:szCs w:val="15"/>
          <w:b w:val="1"/>
          <w:bCs w:val="1"/>
          <w:color w:val="183964"/>
        </w:rPr>
        <w:t>Taxation</w:t>
      </w:r>
    </w:p>
    <w:p>
      <w:pPr>
        <w:spacing w:after="0" w:line="100"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Tax benefit/(expense) is recognized based on management's best estimate of the average annual effective income tax rate which is determined for each taxing jurisdiction and applied individually to the interim period pre-tax income/(loss) of each jurisdiction. Additionally, tax expense/(benefit) that relates to discrete events and transactions is recognized in the interim period in which the event or transactions occurs.</w:t>
      </w:r>
    </w:p>
    <w:p>
      <w:pPr>
        <w:spacing w:after="0" w:line="59"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color w:val="auto"/>
        </w:rPr>
        <w:t>For the six months ended June 30, 2025 and 2024, the Group recorded an income tax expense of $923 and an income tax benefit of $6,147, respectively, representing effective tax rates of (2.1)% and 11.2%, respectively. The income tax benefit recorded during the six months ended June 30, 2024 was primarily due to the recognition of discrete income tax benefits related to the capital loss from the Akili investment in the prior period, which was a non-recurring event. Income tax expense recorded during the six months ended June 30, 2025 relates to the recognition of a reserve for an uncertain tax position.</w:t>
      </w:r>
    </w:p>
    <w:p>
      <w:pPr>
        <w:spacing w:after="0" w:line="67"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On July 4, 2025, the United States enacted the reconciliation bill commonly referred to as the One Big Beautiful Bill Act (“OBBBA”), which introduced significant changes to U.S. tax law. Key provisions include the permanent extension of certain elements of the Tax Cuts and Jobs Act, modifications to the international tax framework, and the restoration of immediate expensing for research and development expenditures. The legislation contains multiple effective dates, with certain provisions taking effect in 2025 and others phased in through 2027. Any effects of changes in tax laws are recognized in the period of enactment. As the date of enactment is after June 30, 2025, there is no financial impact as of and for the six months ended June 30, 2025. Given the complexity and phased implementation of the OBBBA, the Group is currently assessing the potential impacts of the legislation on its Consolidated Financial Statements.</w:t>
      </w:r>
    </w:p>
    <w:p>
      <w:pPr>
        <w:sectPr>
          <w:pgSz w:w="11900" w:h="16838" w:orient="portrait"/>
          <w:cols w:equalWidth="0" w:num="1">
            <w:col w:w="11240"/>
          </w:cols>
          <w:pgMar w:left="320" w:top="1243" w:right="339" w:bottom="1440" w:gutter="0" w:footer="0" w:header="0"/>
        </w:sectPr>
      </w:pPr>
    </w:p>
    <w:bookmarkStart w:id="44" w:name="page45"/>
    <w:bookmarkEnd w:id="44"/>
    <w:p>
      <w:pPr>
        <w:ind w:left="400" w:hanging="392"/>
        <w:spacing w:after="0"/>
        <w:tabs>
          <w:tab w:leader="none" w:pos="400" w:val="left"/>
        </w:tabs>
        <w:numPr>
          <w:ilvl w:val="0"/>
          <w:numId w:val="37"/>
        </w:numPr>
        <w:rPr>
          <w:rFonts w:ascii="Arial" w:cs="Arial" w:eastAsia="Arial" w:hAnsi="Arial"/>
          <w:sz w:val="15"/>
          <w:szCs w:val="15"/>
          <w:b w:val="1"/>
          <w:bCs w:val="1"/>
          <w:color w:val="183964"/>
        </w:rPr>
      </w:pPr>
      <w:r>
        <w:rPr>
          <w:rFonts w:ascii="Arial" w:cs="Arial" w:eastAsia="Arial" w:hAnsi="Arial"/>
          <w:sz w:val="15"/>
          <w:szCs w:val="15"/>
          <w:b w:val="1"/>
          <w:bCs w:val="1"/>
          <w:color w:val="183964"/>
        </w:rPr>
        <w:t>Subsequent Events</w:t>
      </w:r>
    </w:p>
    <w:p>
      <w:pPr>
        <w:spacing w:after="0" w:line="100"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 Group has evaluated subsequent events after June 30, 2025, up to the date of issuance, August 28, 2025, of the Condensed Consolidated Financial Statements, and has not identified any recordable or disclosable events not otherwise reported in these Condensed Consolidated Financial Statements or notes thereto, except for the following.</w:t>
      </w:r>
    </w:p>
    <w:p>
      <w:pPr>
        <w:spacing w:after="0" w:line="46"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In August 2025, the Group launched a new Founded Entity Celea Therapeutics to advance deupirfenidone, a Phase 3-ready therapeutic candidate from the Wholly-Owned Programs segment. The financial results of this program were included in the Wholly-Owned Programs segment in the footnotes to the Condensed Consolidated Financial Statements, as of June 30, 2025 and December 31, 2024, and for the six months ended June 30, 2025 and June 30, 2024, respectively. Upon raising dilutive third-party financing, the financial results of this entity will be included in the Controlled Founded Entities segment to the extent that the Group maintains control over this entity.</w:t>
      </w:r>
    </w:p>
    <w:p>
      <w:pPr>
        <w:spacing w:after="0" w:line="49"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In August 2025, Vedanta Biosciences, Inc. (Vedanta), one of the Group's Founded Entities, was recapitalized through the completion of a Series A preferred stock financing. As a result of the recapitalization, the Group’s existing investment in Vedanta’s convertible preferred shares was converted into shares of Vedanta common stock and Series A-2 preferred stock. In addition, the secured convertible promissory note held by the Group from Vedanta, in the principal amount of $5,000, was converted into shares of Vedanta Series A-1 preferred stock. Through the Series A preferred stock financing, the Group invested $888 and received 1,477,692 shares of Series A preferred stock.</w:t>
      </w:r>
    </w:p>
    <w:p>
      <w:pPr>
        <w:spacing w:after="0" w:line="67" w:lineRule="exact"/>
        <w:rPr>
          <w:sz w:val="20"/>
          <w:szCs w:val="20"/>
          <w:color w:val="auto"/>
        </w:rPr>
      </w:pPr>
    </w:p>
    <w:p>
      <w:pPr>
        <w:ind w:right="500"/>
        <w:spacing w:after="0" w:line="283" w:lineRule="auto"/>
        <w:rPr>
          <w:sz w:val="20"/>
          <w:szCs w:val="20"/>
          <w:color w:val="auto"/>
        </w:rPr>
      </w:pPr>
      <w:r>
        <w:rPr>
          <w:rFonts w:ascii="Arial" w:cs="Arial" w:eastAsia="Arial" w:hAnsi="Arial"/>
          <w:sz w:val="15"/>
          <w:szCs w:val="15"/>
          <w:color w:val="auto"/>
        </w:rPr>
        <w:t>As part of these transactions, Vedanta amended and restated its Investor Rights Agreement which reduced the number of directors the Group has the ability to designate from four to one. The Group’s ownership stake in Vedanta has been diluted to 4.2% on a fully diluted basis.</w:t>
      </w:r>
    </w:p>
    <w:p>
      <w:pPr>
        <w:sectPr>
          <w:pgSz w:w="11900" w:h="16838" w:orient="portrait"/>
          <w:cols w:equalWidth="0" w:num="1">
            <w:col w:w="11220"/>
          </w:cols>
          <w:pgMar w:left="320" w:top="1241" w:right="359" w:bottom="1440" w:gutter="0" w:footer="0" w:header="0"/>
        </w:sectPr>
      </w:pPr>
    </w:p>
    <w:bookmarkStart w:id="45" w:name="page46"/>
    <w:bookmarkEnd w:id="45"/>
    <w:p>
      <w:pPr>
        <w:spacing w:after="0"/>
        <w:rPr>
          <w:sz w:val="20"/>
          <w:szCs w:val="20"/>
          <w:color w:val="auto"/>
        </w:rPr>
      </w:pPr>
      <w:r>
        <w:rPr>
          <w:rFonts w:ascii="Arial" w:cs="Arial" w:eastAsia="Arial" w:hAnsi="Arial"/>
          <w:sz w:val="31"/>
          <w:szCs w:val="31"/>
          <w:b w:val="1"/>
          <w:bCs w:val="1"/>
          <w:color w:val="183964"/>
        </w:rPr>
        <w:t>Directors’ responsibility statement</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approved this Half-yearly Financial Report on August 28, 2025.</w:t>
      </w:r>
    </w:p>
    <w:p>
      <w:pPr>
        <w:spacing w:after="0" w:line="98"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The Directors confirm that to the best of their knowledge the unaudited condensed financial information has been prepared in accordance with IAS 34 as contained in UK-adopted International Financial Reporting Standards (IFRS) and that the interim management report includes a fair review of the information required by DTR 4.2.7 and DTR 4.2.8.</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Approved by the Board of Directors and signed on its behalf by: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183964"/>
        </w:rPr>
        <w:t>Sharon Barber-Lui</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183964"/>
        </w:rPr>
        <w:t>Interim Chair of the Board of Directors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August 28, 2025</w:t>
      </w:r>
    </w:p>
    <w:sectPr>
      <w:pgSz w:w="11900" w:h="16838" w:orient="portrait"/>
      <w:cols w:equalWidth="0" w:num="1">
        <w:col w:w="11180"/>
      </w:cols>
      <w:pgMar w:left="320" w:top="123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endash "/>
      <w:numFmt w:val="bullet"/>
      <w:start w:val="1"/>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3"/>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endash "/>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2"/>
    </w:lvl>
  </w:abstractNum>
  <w:abstractNum w:abstractNumId="16">
    <w:nsid w:val="54E49EB4"/>
    <w:multiLevelType w:val="hybridMultilevel"/>
    <w:lvl w:ilvl="0">
      <w:lvlJc w:val="left"/>
      <w:lvlText w:val="%1."/>
      <w:numFmt w:val="decimal"/>
      <w:start w:val="3"/>
    </w:lvl>
  </w:abstractNum>
  <w:abstractNum w:abstractNumId="17">
    <w:nsid w:val="71F32454"/>
    <w:multiLevelType w:val="hybridMultilevel"/>
    <w:lvl w:ilvl="0">
      <w:lvlJc w:val="left"/>
      <w:lvlText w:val="%1."/>
      <w:numFmt w:val="decimal"/>
      <w:start w:val="4"/>
    </w:lvl>
  </w:abstractNum>
  <w:abstractNum w:abstractNumId="18">
    <w:nsid w:val="2CA88611"/>
    <w:multiLevelType w:val="hybridMultilevel"/>
    <w:lvl w:ilvl="0">
      <w:lvlJc w:val="left"/>
      <w:lvlText w:val="%1."/>
      <w:numFmt w:val="decimal"/>
      <w:start w:val="5"/>
    </w:lvl>
  </w:abstractNum>
  <w:abstractNum w:abstractNumId="19">
    <w:nsid w:val="836C40E"/>
    <w:multiLevelType w:val="hybridMultilevel"/>
    <w:lvl w:ilvl="0">
      <w:lvlJc w:val="left"/>
      <w:lvlText w:val="%1."/>
      <w:numFmt w:val="decimal"/>
      <w:start w:val="6"/>
    </w:lvl>
  </w:abstractNum>
  <w:abstractNum w:abstractNumId="20">
    <w:nsid w:val="2901D82"/>
    <w:multiLevelType w:val="hybridMultilevel"/>
    <w:lvl w:ilvl="0">
      <w:lvlJc w:val="left"/>
      <w:lvlText w:val="%1."/>
      <w:numFmt w:val="decimal"/>
      <w:start w:val="7"/>
    </w:lvl>
  </w:abstractNum>
  <w:abstractNum w:abstractNumId="21">
    <w:nsid w:val="3A95F874"/>
    <w:multiLevelType w:val="hybridMultilevel"/>
    <w:lvl w:ilvl="0">
      <w:lvlJc w:val="left"/>
      <w:lvlText w:val="%1."/>
      <w:numFmt w:val="decimal"/>
      <w:start w:val="8"/>
    </w:lvl>
  </w:abstractNum>
  <w:abstractNum w:abstractNumId="22">
    <w:nsid w:val="8138641"/>
    <w:multiLevelType w:val="hybridMultilevel"/>
    <w:lvl w:ilvl="0">
      <w:lvlJc w:val="left"/>
      <w:lvlText w:val="%1."/>
      <w:numFmt w:val="decimal"/>
      <w:start w:val="9"/>
    </w:lvl>
  </w:abstractNum>
  <w:abstractNum w:abstractNumId="23">
    <w:nsid w:val="1E7FF521"/>
    <w:multiLevelType w:val="hybridMultilevel"/>
    <w:lvl w:ilvl="0">
      <w:lvlJc w:val="left"/>
      <w:lvlText w:val="%1."/>
      <w:numFmt w:val="decimal"/>
      <w:start w:val="10"/>
    </w:lvl>
  </w:abstractNum>
  <w:abstractNum w:abstractNumId="24">
    <w:nsid w:val="7C3DBD3D"/>
    <w:multiLevelType w:val="hybridMultilevel"/>
    <w:lvl w:ilvl="0">
      <w:lvlJc w:val="left"/>
      <w:lvlText w:val="%1."/>
      <w:numFmt w:val="decimal"/>
      <w:start w:val="1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decimal"/>
      <w:start w:val="12"/>
    </w:lvl>
  </w:abstractNum>
  <w:abstractNum w:abstractNumId="27">
    <w:nsid w:val="22221A70"/>
    <w:multiLevelType w:val="hybridMultilevel"/>
    <w:lvl w:ilvl="0">
      <w:lvlJc w:val="left"/>
      <w:lvlText w:val="%1."/>
      <w:numFmt w:val="decimal"/>
      <w:start w:val="13"/>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4"/>
    </w:lvl>
  </w:abstractNum>
  <w:abstractNum w:abstractNumId="31">
    <w:nsid w:val="419AC241"/>
    <w:multiLevelType w:val="hybridMultilevel"/>
    <w:lvl w:ilvl="0">
      <w:lvlJc w:val="left"/>
      <w:lvlText w:val="%1."/>
      <w:numFmt w:val="decimal"/>
      <w:start w:val="16"/>
    </w:lvl>
  </w:abstractNum>
  <w:abstractNum w:abstractNumId="32">
    <w:nsid w:val="5577F8E1"/>
    <w:multiLevelType w:val="hybridMultilevel"/>
    <w:lvl w:ilvl="0">
      <w:lvlJc w:val="left"/>
      <w:lvlText w:val="%1."/>
      <w:numFmt w:val="decimal"/>
      <w:start w:val="17"/>
    </w:lvl>
  </w:abstractNum>
  <w:abstractNum w:abstractNumId="33">
    <w:nsid w:val="440BADFC"/>
    <w:multiLevelType w:val="hybridMultilevel"/>
    <w:lvl w:ilvl="0">
      <w:lvlJc w:val="left"/>
      <w:lvlText w:val="1"/>
      <w:numFmt w:val="bullet"/>
      <w:start w:val="1"/>
    </w:lvl>
  </w:abstractNum>
  <w:abstractNum w:abstractNumId="34">
    <w:nsid w:val="5072367"/>
    <w:multiLevelType w:val="hybridMultilevel"/>
    <w:lvl w:ilvl="0">
      <w:lvlJc w:val="left"/>
      <w:lvlText w:val="2"/>
      <w:numFmt w:val="bullet"/>
      <w:start w:val="1"/>
    </w:lvl>
  </w:abstractNum>
  <w:abstractNum w:abstractNumId="35">
    <w:nsid w:val="3804823E"/>
    <w:multiLevelType w:val="hybridMultilevel"/>
    <w:lvl w:ilvl="0">
      <w:lvlJc w:val="left"/>
      <w:lvlText w:val="%1."/>
      <w:numFmt w:val="decimal"/>
      <w:start w:val="18"/>
    </w:lvl>
  </w:abstractNum>
  <w:abstractNum w:abstractNumId="36">
    <w:nsid w:val="77465F01"/>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2025-08-28T06:01:56Z</dcterms:created>
  <dcterms:modified xsi:type="dcterms:W3CDTF">2025-08-28T06:01:56Z</dcterms:modified>
</cp:coreProperties>
</file>