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June, 2022</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PURETECH HEALTH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2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June 15, 2022, PureTech Health plc (LSE: PRTC, Nasdaq: PRTC) (the “Company”) issued a press release announcing the results of its 2022 Annual General Meeting. The full text of the resolutions may be found in the Notice of the Annual General Meeting, copies of which are available on both the Company’s website https://investors.puretechhealth.com/financials-filings/reports and on the National Storage Mechanism.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is furnished herewith as Exhibit 99.1 and is incorporated by reference herein.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2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PureTech Health plc, dated June 15, 2022, titled “Results of Annual General Meeting.”</w:t>
      </w:r>
    </w:p>
    <w:p>
      <w:pPr>
        <w:sectPr>
          <w:pgSz w:w="11900" w:h="16838" w:orient="portrait"/>
          <w:cols w:equalWidth="0" w:num="1">
            <w:col w:w="10920"/>
          </w:cols>
          <w:pgMar w:left="440" w:top="266" w:right="53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PURETECH HEALTH PLC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15,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Daphne Zohar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Daphne Zohar</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0260"/>
          </w:cols>
          <w:pgMar w:left="440" w:top="266"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June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Annual General Meeting</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Annual General Meeting of PureTech Health plc (Nasdaq: PRTC, LSE: PRTC) (“PureTech Health” or the “Company”) was held at 11 a.m. EDT/4 p.m. BST on Wednesday, June 15,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resolutions proposed at the Annual General Meeting were duly passed by the shareholders on a poll.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the poll, incorporating the proxy votes lodged in advance of the meeting, are set out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Resolutions</w:t>
            </w:r>
          </w:p>
        </w:tc>
        <w:tc>
          <w:tcPr>
            <w:tcW w:w="4980" w:type="dxa"/>
            <w:vAlign w:val="bottom"/>
            <w:vMerge w:val="restart"/>
          </w:tcPr>
          <w:p>
            <w:pPr>
              <w:spacing w:after="0"/>
              <w:rPr>
                <w:sz w:val="13"/>
                <w:szCs w:val="13"/>
                <w:color w:val="auto"/>
              </w:rPr>
            </w:pPr>
          </w:p>
        </w:tc>
        <w:tc>
          <w:tcPr>
            <w:tcW w:w="11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For</w:t>
            </w:r>
          </w:p>
        </w:tc>
        <w:tc>
          <w:tcPr>
            <w:tcW w:w="56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10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4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votes</w:t>
            </w: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gridSpan w:val="2"/>
            <w:vMerge w:val="continue"/>
          </w:tcPr>
          <w:p>
            <w:pPr>
              <w:spacing w:after="0"/>
              <w:rPr>
                <w:sz w:val="15"/>
                <w:szCs w:val="15"/>
                <w:color w:val="auto"/>
              </w:rPr>
            </w:pPr>
          </w:p>
        </w:tc>
        <w:tc>
          <w:tcPr>
            <w:tcW w:w="4980" w:type="dxa"/>
            <w:vAlign w:val="bottom"/>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2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cast</w:t>
            </w:r>
          </w:p>
        </w:tc>
        <w:tc>
          <w:tcPr>
            <w:tcW w:w="0" w:type="dxa"/>
            <w:vAlign w:val="bottom"/>
          </w:tcPr>
          <w:p>
            <w:pPr>
              <w:spacing w:after="0"/>
              <w:rPr>
                <w:sz w:val="1"/>
                <w:szCs w:val="1"/>
                <w:color w:val="auto"/>
              </w:rPr>
            </w:pPr>
          </w:p>
        </w:tc>
      </w:tr>
      <w:tr>
        <w:trPr>
          <w:trHeight w:val="171"/>
        </w:trPr>
        <w:tc>
          <w:tcPr>
            <w:tcW w:w="34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001.</w:t>
            </w:r>
          </w:p>
        </w:tc>
        <w:tc>
          <w:tcPr>
            <w:tcW w:w="5360" w:type="dxa"/>
            <w:vAlign w:val="bottom"/>
            <w:tcBorders>
              <w:top w:val="single" w:sz="8" w:color="CCEEFF"/>
            </w:tcBorders>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To approve the Company’s Annual Report and Accounts for year ended</w:t>
            </w:r>
          </w:p>
        </w:tc>
        <w:tc>
          <w:tcPr>
            <w:tcW w:w="9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7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 December 2021</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216,387,000</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529,458</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216,387,000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002.</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approve the Directors’ Remuneration Report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186,654,636</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86.20</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29,871,462</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390,360</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216,526,098</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003.</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 elect Ms. Sharon Barber-Lui as a director</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216,911,434</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2,288</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2,736</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216,913,722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004.</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elect Dr. Raju Kucherlapati as a director</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214,260,532</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98.78</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2,653,190</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2,736</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216,913,722</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005.</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 elect Dr. John LaMattina as a director</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208,222,704</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95.99</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8,691,018</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4.01</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2,736</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216,913,722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006.</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elect Ms. Kiran Mazumdar-Shaw as a director</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186,900,260</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86.16</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30,013,462</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13.84</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2,736</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216,913,722</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007.</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 elect Dame Marjorie Scardino as a director</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216,877,331</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99.98</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37,071</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0.02</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2,056</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216,914,402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008.</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elect Mr. Christopher Viehbacher as a director</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190,417,512</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87.78</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26,496,210</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12.22</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2,736</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216,913,722</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009.</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 elect Dr. Robert Langer as a director</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212,747,748</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98.08</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4,165,974</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1.92</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2,736</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216,913,722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010.</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elect Ms. Daphne Zohar as a director</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216,905,622</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8,100</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2,736</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216,913,722</w:t>
            </w:r>
          </w:p>
        </w:tc>
        <w:tc>
          <w:tcPr>
            <w:tcW w:w="0" w:type="dxa"/>
            <w:vAlign w:val="bottom"/>
          </w:tcPr>
          <w:p>
            <w:pPr>
              <w:spacing w:after="0"/>
              <w:rPr>
                <w:sz w:val="1"/>
                <w:szCs w:val="1"/>
                <w:color w:val="auto"/>
              </w:rPr>
            </w:pPr>
          </w:p>
        </w:tc>
      </w:tr>
      <w:tr>
        <w:trPr>
          <w:trHeight w:val="216"/>
        </w:trPr>
        <w:tc>
          <w:tcPr>
            <w:tcW w:w="5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011. To elect Dr. Bharatt Chowrira as a director</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216,706,444</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99.90</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207,278</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2,736</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216,913,722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012.</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reappoint KPMG LLP as Auditors of the Company</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212,180,052</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97.82</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4,729,435</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6,971</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216,909,487</w:t>
            </w:r>
          </w:p>
        </w:tc>
        <w:tc>
          <w:tcPr>
            <w:tcW w:w="0" w:type="dxa"/>
            <w:vAlign w:val="bottom"/>
          </w:tcPr>
          <w:p>
            <w:pPr>
              <w:spacing w:after="0"/>
              <w:rPr>
                <w:sz w:val="1"/>
                <w:szCs w:val="1"/>
                <w:color w:val="auto"/>
              </w:rPr>
            </w:pPr>
          </w:p>
        </w:tc>
      </w:tr>
      <w:tr>
        <w:trPr>
          <w:trHeight w:val="198"/>
        </w:trPr>
        <w:tc>
          <w:tcPr>
            <w:tcW w:w="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013.</w:t>
            </w:r>
          </w:p>
        </w:tc>
        <w:tc>
          <w:tcPr>
            <w:tcW w:w="53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To authorize the Audit Committee to determine the Auditors’</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remuneration</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212,703,757</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98.06</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4,211,701</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1.94</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216,915,458</w:t>
            </w:r>
          </w:p>
        </w:tc>
        <w:tc>
          <w:tcPr>
            <w:tcW w:w="0" w:type="dxa"/>
            <w:vAlign w:val="bottom"/>
          </w:tcPr>
          <w:p>
            <w:pPr>
              <w:spacing w:after="0"/>
              <w:rPr>
                <w:sz w:val="1"/>
                <w:szCs w:val="1"/>
                <w:color w:val="auto"/>
              </w:rPr>
            </w:pPr>
          </w:p>
        </w:tc>
      </w:tr>
    </w:tbl>
    <w:p>
      <w:pPr>
        <w:sectPr>
          <w:pgSz w:w="11900" w:h="16838" w:orient="portrait"/>
          <w:cols w:equalWidth="0" w:num="1">
            <w:col w:w="11020"/>
          </w:cols>
          <w:pgMar w:left="440" w:top="117" w:right="4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014.</w:t>
            </w:r>
          </w:p>
        </w:tc>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 authorize the allotment of shares</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212,364,212</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97.90</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4,551,246</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216,915,458</w:t>
            </w:r>
          </w:p>
        </w:tc>
      </w:tr>
      <w:tr>
        <w:trPr>
          <w:trHeight w:val="216"/>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015.</w:t>
            </w: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disapply pre-emption rights</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216,589,860</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99.85</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324,482</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0.15</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216,914,342</w:t>
            </w:r>
          </w:p>
        </w:tc>
      </w:tr>
      <w:tr>
        <w:trPr>
          <w:trHeight w:val="198"/>
        </w:trPr>
        <w:tc>
          <w:tcPr>
            <w:tcW w:w="3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95"/>
              </w:rPr>
              <w:t>016.</w:t>
            </w:r>
          </w:p>
        </w:tc>
        <w:tc>
          <w:tcPr>
            <w:tcW w:w="56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To further disapply pre-emption rights for acquisitions and specified capital</w:t>
            </w:r>
          </w:p>
        </w:tc>
        <w:tc>
          <w:tcPr>
            <w:tcW w:w="1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4"/>
        </w:trPr>
        <w:tc>
          <w:tcPr>
            <w:tcW w:w="5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204,225,243</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94.15</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12,689,099</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5.85</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216,914,342</w:t>
            </w:r>
          </w:p>
        </w:tc>
      </w:tr>
      <w:tr>
        <w:trPr>
          <w:trHeight w:val="216"/>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017.</w:t>
            </w: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authorize market purchase of own shares</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216,386,703</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99.76</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528,755</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0.24</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216,915,458</w:t>
            </w:r>
          </w:p>
        </w:tc>
      </w:tr>
      <w:tr>
        <w:trPr>
          <w:trHeight w:val="198"/>
        </w:trPr>
        <w:tc>
          <w:tcPr>
            <w:tcW w:w="3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95"/>
              </w:rPr>
              <w:t>018.</w:t>
            </w:r>
          </w:p>
        </w:tc>
        <w:tc>
          <w:tcPr>
            <w:tcW w:w="56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To authorize general meetings to be called on not less than 14 clear days’</w:t>
            </w:r>
          </w:p>
        </w:tc>
        <w:tc>
          <w:tcPr>
            <w:tcW w:w="1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4"/>
        </w:trPr>
        <w:tc>
          <w:tcPr>
            <w:tcW w:w="5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notice</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212,326,728</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97.88</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4,588,730</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216,915,458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31" w:lineRule="exact"/>
        <w:rPr>
          <w:sz w:val="20"/>
          <w:szCs w:val="20"/>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vote “Withheld” is not a vote in law and is not counted in the calculation of the votes “For” or “Against” a resolution.</w:t>
      </w:r>
    </w:p>
    <w:p>
      <w:pPr>
        <w:spacing w:after="0" w:line="130" w:lineRule="exact"/>
        <w:rPr>
          <w:rFonts w:ascii="Times New Roman" w:cs="Times New Roman" w:eastAsia="Times New Roman" w:hAnsi="Times New Roman"/>
          <w:sz w:val="18"/>
          <w:szCs w:val="18"/>
          <w:color w:val="auto"/>
        </w:rPr>
      </w:pPr>
    </w:p>
    <w:p>
      <w:pPr>
        <w:ind w:left="960" w:right="160" w:hanging="532"/>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June 13, 2022, the record date for the Annual General Meeting, the number of issued shares in the Company entitling the holders to attend and vote for or against all the resolutions at the AGM was 287,633,591 ordinary shares. This does not include 977,529 shares held in treasury by the Company. In accordance with the Company’s Articles of Association, on a poll every member present in person or by proxy has one vote for every share held.</w:t>
      </w:r>
    </w:p>
    <w:p>
      <w:pPr>
        <w:spacing w:after="0" w:line="85" w:lineRule="exact"/>
        <w:rPr>
          <w:rFonts w:ascii="Times New Roman" w:cs="Times New Roman" w:eastAsia="Times New Roman" w:hAnsi="Times New Roman"/>
          <w:sz w:val="18"/>
          <w:szCs w:val="18"/>
          <w:color w:val="auto"/>
        </w:rPr>
      </w:pPr>
    </w:p>
    <w:p>
      <w:pPr>
        <w:ind w:left="960" w:right="52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full text of the resolutions may be found in the Notice of the Annual General Meeting, copies of which are available on both the Company’s website </w:t>
      </w:r>
      <w:r>
        <w:rPr>
          <w:rFonts w:ascii="Times New Roman" w:cs="Times New Roman" w:eastAsia="Times New Roman" w:hAnsi="Times New Roman"/>
          <w:sz w:val="18"/>
          <w:szCs w:val="18"/>
          <w:u w:val="single" w:color="auto"/>
          <w:color w:val="auto"/>
        </w:rPr>
        <w:t>https://investors.puretechhealth.com/financials-filings/reports</w:t>
      </w:r>
      <w:r>
        <w:rPr>
          <w:rFonts w:ascii="Times New Roman" w:cs="Times New Roman" w:eastAsia="Times New Roman" w:hAnsi="Times New Roman"/>
          <w:sz w:val="18"/>
          <w:szCs w:val="18"/>
          <w:color w:val="auto"/>
        </w:rPr>
        <w:t xml:space="preserve"> and on the National Storage Mechanism.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PureTech Health</w:t>
      </w:r>
    </w:p>
    <w:p>
      <w:pPr>
        <w:spacing w:after="0" w:line="12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PureTech is a clinical-stage biotherapeutics company dedicated to discovering, developing and commercializing highly differentiated medicines for devastating diseases, including inflammatory, fibrotic and immunological conditions, intractable cancers, lymphatic and gastrointestinal diseases and neurological and neuropsychological disorders, among others. The Company has created a broad and deep pipeline through the expertise of its experienced research and development team and its extensive network of scientists, clinicians and industry leaders.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pipeline, which is being advanced both internally and through PureTech’s Founded Entities, is comprised of 27 therapeutics and therapeutic candidates, including two that have received both U.S. FDA clearance and European marketing authorization, as of the date of PureTech’s most recently filed Annual Report and corresponding Form 6-K. All of the underlying programs and platforms that resulted in this pipeline of therapeutic candidates were initially identified or discovered and then advanced by the PureTech team through key validation points based on unique insights in immunology and drug development.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www.puretechhealth.com</w:t>
      </w:r>
      <w:r>
        <w:rPr>
          <w:rFonts w:ascii="Times New Roman" w:cs="Times New Roman" w:eastAsia="Times New Roman" w:hAnsi="Times New Roman"/>
          <w:sz w:val="18"/>
          <w:szCs w:val="18"/>
          <w:color w:val="auto"/>
        </w:rPr>
        <w:t xml:space="preserve"> or connect with us on Twitter @puretechh.</w:t>
      </w:r>
    </w:p>
    <w:p>
      <w:pPr>
        <w:sectPr>
          <w:pgSz w:w="11900" w:h="16838" w:orient="portrait"/>
          <w:cols w:equalWidth="0" w:num="1">
            <w:col w:w="11020"/>
          </w:cols>
          <w:pgMar w:left="440" w:top="288"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Cautionary Note Regarding 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statements that are or may be forward-looking statements within the meaning of the Private Securities Litigation Reform Act of 1995. All statements contained in this press release that do not relate to matters of historical fact should be considered forward-looking statements, including without limitation those related to our future prospects, developments and strategies.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those risks, uncertainties and other important factors described under the caption “Risk Factors” in our Annual Report on Form 20-F for the year ended December 31, 2021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PureTech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IR@puretechhealth.com</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2022-06-15T15:19:23Z</dcterms:created>
  <dcterms:modified xsi:type="dcterms:W3CDTF">2022-06-15T15:19:23Z</dcterms:modified>
</cp:coreProperties>
</file>