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98" w:lineRule="exact"/>
        <w:rPr>
          <w:rFonts w:ascii="Arial" w:cs="Arial" w:eastAsia="Arial" w:hAnsi="Arial"/>
          <w:sz w:val="22"/>
          <w:szCs w:val="22"/>
          <w:color w:val="auto"/>
        </w:rPr>
      </w:pPr>
    </w:p>
    <w:p>
      <w:pPr>
        <w:jc w:val="both"/>
        <w:ind w:left="60" w:right="9420" w:firstLine="2"/>
        <w:spacing w:after="0" w:line="381"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13d-1(c) [X] Rule 13d-1(d)</w:t>
      </w:r>
    </w:p>
    <w:p>
      <w:pPr>
        <w:spacing w:after="0" w:line="104" w:lineRule="exact"/>
        <w:rPr>
          <w:rFonts w:ascii="Arial" w:cs="Arial" w:eastAsia="Arial" w:hAnsi="Arial"/>
          <w:sz w:val="21"/>
          <w:szCs w:val="21"/>
          <w:color w:val="auto"/>
        </w:rPr>
      </w:pPr>
    </w:p>
    <w:p>
      <w:pPr>
        <w:spacing w:after="0" w:line="213" w:lineRule="auto"/>
        <w:rPr>
          <w:rFonts w:ascii="Arial" w:cs="Arial" w:eastAsia="Arial" w:hAnsi="Arial"/>
          <w:sz w:val="21"/>
          <w:szCs w:val="21"/>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G7297M101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67,534,946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67,534,946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67,534,946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23.5%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460" w:right="7680" w:hanging="547"/>
        <w:spacing w:after="0" w:line="334" w:lineRule="auto"/>
        <w:tabs>
          <w:tab w:leader="none" w:pos="14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PureTech Health PLC</w:t>
      </w:r>
    </w:p>
    <w:p>
      <w:pPr>
        <w:spacing w:after="0" w:line="12" w:lineRule="exact"/>
        <w:rPr>
          <w:rFonts w:ascii="Arial" w:cs="Arial" w:eastAsia="Arial" w:hAnsi="Arial"/>
          <w:sz w:val="19"/>
          <w:szCs w:val="19"/>
          <w:b w:val="1"/>
          <w:bCs w:val="1"/>
          <w:color w:val="auto"/>
        </w:rPr>
      </w:pPr>
    </w:p>
    <w:p>
      <w:pPr>
        <w:ind w:left="1460" w:right="5260" w:hanging="547"/>
        <w:spacing w:after="0" w:line="256" w:lineRule="auto"/>
        <w:tabs>
          <w:tab w:leader="none" w:pos="1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6, Tide Street, Boston, MA 02210</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460" w:right="704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460" w:right="416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460" w:right="852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460" w:right="718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460" w:right="8100" w:hanging="547"/>
        <w:spacing w:after="0" w:line="334" w:lineRule="auto"/>
        <w:tabs>
          <w:tab w:leader="none" w:pos="1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G7297M101</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(a)</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(b)</w:t>
        <w:tab/>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(c)</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(d)</w:t>
        <w:tab/>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(g)</w:t>
        <w:tab/>
        <w:t>[X]</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(h)</w:t>
        <w:tab/>
        <w:t>[ ]</w:t>
      </w:r>
    </w:p>
    <w:p>
      <w:pPr>
        <w:spacing w:after="0" w:line="368"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4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220"/>
            <w:col w:w="88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460" w:hanging="547"/>
        <w:spacing w:after="0"/>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460" w:right="66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67,534,946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460" w:hanging="547"/>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460"/>
        <w:spacing w:after="0"/>
        <w:rPr>
          <w:rFonts w:ascii="Arial" w:cs="Arial" w:eastAsia="Arial" w:hAnsi="Arial"/>
          <w:sz w:val="22"/>
          <w:szCs w:val="22"/>
          <w:color w:val="auto"/>
        </w:rPr>
      </w:pPr>
      <w:r>
        <w:rPr>
          <w:rFonts w:ascii="Arial" w:cs="Arial" w:eastAsia="Arial" w:hAnsi="Arial"/>
          <w:sz w:val="22"/>
          <w:szCs w:val="22"/>
          <w:color w:val="auto"/>
        </w:rPr>
        <w:t>23.5%</w:t>
      </w:r>
    </w:p>
    <w:p>
      <w:pPr>
        <w:spacing w:after="0" w:line="125" w:lineRule="exact"/>
        <w:rPr>
          <w:rFonts w:ascii="Arial" w:cs="Arial" w:eastAsia="Arial" w:hAnsi="Arial"/>
          <w:sz w:val="22"/>
          <w:szCs w:val="22"/>
          <w:color w:val="auto"/>
        </w:rPr>
      </w:pPr>
    </w:p>
    <w:p>
      <w:pPr>
        <w:ind w:left="1460" w:hanging="547"/>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00" w:hanging="747"/>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200" w:hanging="747"/>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200" w:hanging="747"/>
        <w:spacing w:after="0" w:line="183" w:lineRule="auto"/>
        <w:tabs>
          <w:tab w:leader="none" w:pos="22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200" w:right="780" w:hanging="747"/>
        <w:spacing w:after="0" w:line="183" w:lineRule="auto"/>
        <w:tabs>
          <w:tab w:leader="none" w:pos="22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67,534,946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67,534,946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400" w:space="260"/>
            <w:col w:w="43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282" w:lineRule="auto"/>
        <w:rPr>
          <w:sz w:val="20"/>
          <w:szCs w:val="20"/>
          <w:color w:val="auto"/>
        </w:rPr>
      </w:pPr>
      <w:r>
        <w:rPr>
          <w:rFonts w:ascii="Arial" w:cs="Arial" w:eastAsia="Arial" w:hAnsi="Arial"/>
          <w:sz w:val="19"/>
          <w:szCs w:val="19"/>
          <w:color w:val="auto"/>
        </w:rPr>
        <w:t>Invesco Asset Management Ltd is a subsidiary of Invesco Ltd. and it advises the Invesco UK Equity High Income Fund (UK) which owns 15.57% of the security reported herein. Invesco Asset Management Ltd is a subsidiary of Invesco Ltd. and it advises the Invesco UK Equity Income Fund (UK) which owns 7.35%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60"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Asset Management Ltd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11, 2022</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2022-02-12T01:59:13Z</dcterms:created>
  <dcterms:modified xsi:type="dcterms:W3CDTF">2022-02-12T01:59:13Z</dcterms:modified>
</cp:coreProperties>
</file>