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ind w:left="2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attached letters were delivered to shareholders of PureTech Health plc (LSE: PRTC, Nasdaq: PRTC)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press release is furnished herewith as Exhibit 99.1 and Exhibit 99.2 and is incorporated by reference herein.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Cover letter from the Company to its shareholders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Letter from KPMG to the shareholders of the Company</w:t>
      </w:r>
    </w:p>
    <w:p>
      <w:pPr>
        <w:sectPr>
          <w:pgSz w:w="11900" w:h="16838" w:orient="portrait"/>
          <w:cols w:equalWidth="0" w:num="1">
            <w:col w:w="10019"/>
          </w:cols>
          <w:pgMar w:left="440" w:top="48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440" w:type="dxa"/>
            <w:vAlign w:val="bottom"/>
            <w:gridSpan w:val="3"/>
          </w:tcPr>
          <w:p>
            <w:pPr>
              <w:ind w:left="2140"/>
              <w:spacing w:after="0"/>
              <w:rPr>
                <w:sz w:val="20"/>
                <w:szCs w:val="20"/>
                <w:color w:val="auto"/>
              </w:rPr>
            </w:pPr>
            <w:r>
              <w:rPr>
                <w:rFonts w:ascii="Arial" w:cs="Arial" w:eastAsia="Arial" w:hAnsi="Arial"/>
                <w:sz w:val="18"/>
                <w:szCs w:val="18"/>
                <w:color w:val="auto"/>
              </w:rPr>
              <w:t>PURETECH HEALTH PLC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June 12, 2023</w:t>
            </w:r>
          </w:p>
        </w:tc>
        <w:tc>
          <w:tcPr>
            <w:tcW w:w="7440" w:type="dxa"/>
            <w:vAlign w:val="bottom"/>
            <w:gridSpan w:val="3"/>
          </w:tcPr>
          <w:p>
            <w:pPr>
              <w:ind w:left="2140"/>
              <w:spacing w:after="0"/>
              <w:rPr>
                <w:sz w:val="20"/>
                <w:szCs w:val="20"/>
                <w:color w:val="auto"/>
              </w:rPr>
            </w:pPr>
            <w:r>
              <w:rPr>
                <w:rFonts w:ascii="Arial" w:cs="Arial" w:eastAsia="Arial" w:hAnsi="Arial"/>
                <w:sz w:val="18"/>
                <w:szCs w:val="18"/>
                <w:color w:val="auto"/>
              </w:rPr>
              <w:t>By:  /s/ Daphne Zohar</w:t>
            </w:r>
          </w:p>
        </w:tc>
      </w:tr>
      <w:tr>
        <w:trPr>
          <w:trHeight w:val="209"/>
        </w:trPr>
        <w:tc>
          <w:tcPr>
            <w:tcW w:w="3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48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PureTech Health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5338445</wp:posOffset>
            </wp:positionH>
            <wp:positionV relativeFrom="paragraph">
              <wp:posOffset>-89535</wp:posOffset>
            </wp:positionV>
            <wp:extent cx="165417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4883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6 Tide Street, Suite 400, Boston, MA 02210</w:t>
      </w:r>
    </w:p>
    <w:p>
      <w:pPr>
        <w:spacing w:after="0" w:line="221" w:lineRule="auto"/>
        <w:rPr>
          <w:sz w:val="20"/>
          <w:szCs w:val="20"/>
          <w:color w:val="auto"/>
        </w:rPr>
      </w:pPr>
      <w:r>
        <w:rPr>
          <w:rFonts w:ascii="Arial" w:cs="Arial" w:eastAsia="Arial" w:hAnsi="Arial"/>
          <w:sz w:val="14"/>
          <w:szCs w:val="14"/>
          <w:color w:val="auto"/>
        </w:rPr>
        <w:t>Tel 617.482.2333 Fax 617.482.3337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puretechhealth.com</w:t>
      </w:r>
    </w:p>
    <w:p>
      <w:pPr>
        <w:spacing w:after="0" w:line="367"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This letter is being sent to the shareholders of PureTech Health plc (the ‘Company’) for information only and no action is required to be taken. If you have sold or transferred all of your ordinary shares in the Company you should pass this document to the purchaser or transferee or to the person through whom the sale was effected for transmission to the purchaser or transferee.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9 June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AUDITOR</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explained in this year’s Notice of Annual General Meeting, following a formal and comprehensive tender process, the Audit Committee recommended to the Board the appointment of PricewaterhouseCoopers LLP as the preferred new auditor. Based on this recommendation, the Board is proposing that PricewaterhouseCoopers LLP be appointed as external auditor of the Company pursuant to a resolution to be proposed at the Annual General Meeting that is due to be held on 13 June 2023.</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KPMG LLP has consequently resigned as auditor of the Company effective from 31 May 2023. We are required by section 520(2) of the Companies Act 2006 to send a copy of KPMG LLP’s resignation statement to shareholders. A copy of the statement is set out overleaf.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letter needs no action on shareholders’ part but is provided to you in fulfilment of a statutory obligation upon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54735"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473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Bharatt Chowrira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Director and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PureTech Health plc is a public limited company incorporated in England &amp; Wales under company number 09582467. Registered office: 8th Floor, 20 Farringdon Street, London EC4A 4AB, United Kingdom.</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01155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15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374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Arial" w:cs="Arial" w:eastAsia="Arial" w:hAnsi="Arial"/>
                <w:sz w:val="14"/>
                <w:szCs w:val="14"/>
                <w:b w:val="1"/>
                <w:bCs w:val="1"/>
                <w:color w:val="auto"/>
              </w:rPr>
              <w:t>KPMG LLP</w:t>
            </w:r>
          </w:p>
        </w:tc>
        <w:tc>
          <w:tcPr>
            <w:tcW w:w="2980" w:type="dxa"/>
            <w:vAlign w:val="bottom"/>
          </w:tcPr>
          <w:p>
            <w:pPr>
              <w:ind w:left="1480"/>
              <w:spacing w:after="0"/>
              <w:rPr>
                <w:sz w:val="20"/>
                <w:szCs w:val="20"/>
                <w:color w:val="auto"/>
              </w:rPr>
            </w:pPr>
            <w:r>
              <w:rPr>
                <w:rFonts w:ascii="Arial" w:cs="Arial" w:eastAsia="Arial" w:hAnsi="Arial"/>
                <w:sz w:val="14"/>
                <w:szCs w:val="14"/>
                <w:color w:val="auto"/>
                <w:w w:val="93"/>
              </w:rPr>
              <w:t>Tel +44 (0) 20 7311 1000</w:t>
            </w:r>
          </w:p>
        </w:tc>
      </w:tr>
      <w:tr>
        <w:trPr>
          <w:trHeight w:val="165"/>
        </w:trPr>
        <w:tc>
          <w:tcPr>
            <w:tcW w:w="2260" w:type="dxa"/>
            <w:vAlign w:val="bottom"/>
          </w:tcPr>
          <w:p>
            <w:pPr>
              <w:spacing w:after="0"/>
              <w:rPr>
                <w:sz w:val="20"/>
                <w:szCs w:val="20"/>
                <w:color w:val="auto"/>
              </w:rPr>
            </w:pPr>
            <w:r>
              <w:rPr>
                <w:rFonts w:ascii="Arial" w:cs="Arial" w:eastAsia="Arial" w:hAnsi="Arial"/>
                <w:sz w:val="14"/>
                <w:szCs w:val="14"/>
                <w:b w:val="1"/>
                <w:bCs w:val="1"/>
                <w:color w:val="auto"/>
              </w:rPr>
              <w:t>Audit</w:t>
            </w:r>
          </w:p>
        </w:tc>
        <w:tc>
          <w:tcPr>
            <w:tcW w:w="2980" w:type="dxa"/>
            <w:vAlign w:val="bottom"/>
          </w:tcPr>
          <w:p>
            <w:pPr>
              <w:ind w:left="1480"/>
              <w:spacing w:after="0"/>
              <w:rPr>
                <w:sz w:val="20"/>
                <w:szCs w:val="20"/>
                <w:color w:val="auto"/>
              </w:rPr>
            </w:pPr>
            <w:r>
              <w:rPr>
                <w:rFonts w:ascii="Arial" w:cs="Arial" w:eastAsia="Arial" w:hAnsi="Arial"/>
                <w:sz w:val="14"/>
                <w:szCs w:val="14"/>
                <w:color w:val="auto"/>
                <w:w w:val="91"/>
              </w:rPr>
              <w:t>Fax +44 (0) 20 7311 3311</w:t>
            </w:r>
          </w:p>
        </w:tc>
      </w:tr>
    </w:tbl>
    <w:p>
      <w:pPr>
        <w:ind w:left="3740"/>
        <w:spacing w:after="0" w:line="221" w:lineRule="auto"/>
        <w:rPr>
          <w:sz w:val="20"/>
          <w:szCs w:val="20"/>
          <w:color w:val="auto"/>
        </w:rPr>
      </w:pPr>
      <w:r>
        <w:rPr>
          <w:rFonts w:ascii="Arial" w:cs="Arial" w:eastAsia="Arial" w:hAnsi="Arial"/>
          <w:sz w:val="14"/>
          <w:szCs w:val="14"/>
          <w:color w:val="auto"/>
        </w:rPr>
        <w:t>15 Canada Square</w:t>
      </w:r>
    </w:p>
    <w:p>
      <w:pPr>
        <w:ind w:left="3740"/>
        <w:spacing w:after="0" w:line="221" w:lineRule="auto"/>
        <w:rPr>
          <w:sz w:val="20"/>
          <w:szCs w:val="20"/>
          <w:color w:val="auto"/>
        </w:rPr>
      </w:pPr>
      <w:r>
        <w:rPr>
          <w:rFonts w:ascii="Arial" w:cs="Arial" w:eastAsia="Arial" w:hAnsi="Arial"/>
          <w:sz w:val="14"/>
          <w:szCs w:val="14"/>
          <w:color w:val="auto"/>
        </w:rPr>
        <w:t>London E14 SGL</w:t>
      </w:r>
    </w:p>
    <w:p>
      <w:pPr>
        <w:spacing w:after="0" w:line="1"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United Kingdom</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Private &amp; confidential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PureTech Health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Farringdon Street 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EC4A 4AB</w:t>
      </w:r>
    </w:p>
    <w:p>
      <w:pPr>
        <w:spacing w:after="0" w:line="238" w:lineRule="exact"/>
        <w:rPr>
          <w:sz w:val="20"/>
          <w:szCs w:val="20"/>
          <w:color w:val="auto"/>
        </w:rPr>
      </w:pPr>
    </w:p>
    <w:p>
      <w:pPr>
        <w:ind w:left="8480"/>
        <w:spacing w:after="0"/>
        <w:tabs>
          <w:tab w:leader="none" w:pos="9100" w:val="left"/>
        </w:tabs>
        <w:rPr>
          <w:sz w:val="20"/>
          <w:szCs w:val="20"/>
          <w:color w:val="auto"/>
        </w:rPr>
      </w:pPr>
      <w:r>
        <w:rPr>
          <w:rFonts w:ascii="Arial" w:cs="Arial" w:eastAsia="Arial" w:hAnsi="Arial"/>
          <w:sz w:val="14"/>
          <w:szCs w:val="14"/>
          <w:color w:val="auto"/>
        </w:rPr>
        <w:t>Our ref</w:t>
      </w:r>
      <w:r>
        <w:rPr>
          <w:sz w:val="20"/>
          <w:szCs w:val="20"/>
          <w:color w:val="auto"/>
        </w:rPr>
        <w:tab/>
      </w:r>
      <w:r>
        <w:rPr>
          <w:rFonts w:ascii="Arial" w:cs="Arial" w:eastAsia="Arial" w:hAnsi="Arial"/>
          <w:sz w:val="16"/>
          <w:szCs w:val="16"/>
          <w:color w:val="auto"/>
        </w:rPr>
        <w:t>AR-1762</w:t>
      </w:r>
    </w:p>
    <w:p>
      <w:pPr>
        <w:spacing w:after="0" w:line="275" w:lineRule="exact"/>
        <w:rPr>
          <w:sz w:val="20"/>
          <w:szCs w:val="20"/>
          <w:color w:val="auto"/>
        </w:rPr>
      </w:pPr>
    </w:p>
    <w:p>
      <w:pPr>
        <w:ind w:left="8480"/>
        <w:spacing w:after="0"/>
        <w:tabs>
          <w:tab w:leader="none" w:pos="9140" w:val="left"/>
        </w:tabs>
        <w:rPr>
          <w:sz w:val="20"/>
          <w:szCs w:val="20"/>
          <w:color w:val="auto"/>
        </w:rPr>
      </w:pPr>
      <w:r>
        <w:rPr>
          <w:rFonts w:ascii="Arial" w:cs="Arial" w:eastAsia="Arial" w:hAnsi="Arial"/>
          <w:sz w:val="14"/>
          <w:szCs w:val="14"/>
          <w:color w:val="auto"/>
        </w:rPr>
        <w:t>Contact</w:t>
      </w:r>
      <w:r>
        <w:rPr>
          <w:sz w:val="20"/>
          <w:szCs w:val="20"/>
          <w:color w:val="auto"/>
        </w:rPr>
        <w:tab/>
      </w:r>
      <w:r>
        <w:rPr>
          <w:rFonts w:ascii="Arial" w:cs="Arial" w:eastAsia="Arial" w:hAnsi="Arial"/>
          <w:sz w:val="18"/>
          <w:szCs w:val="18"/>
          <w:color w:val="auto"/>
        </w:rPr>
        <w:t>Bob Seale</w:t>
      </w:r>
    </w:p>
    <w:p>
      <w:pPr>
        <w:spacing w:after="0" w:line="17"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bob.seale@kpmg.co.uk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31 May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to PureTech Health plc (no. 09582467) on ceasing to hold office as auditors pursuant to section 519 of the Companies Act 2006</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reason connected with our ceasing to hold office is the holding of a competitive tender for the audit, in which we were unsuccessful in retaining the audit.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29413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41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Audit registration number: 9188307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registration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 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 London E14 5GL</w:t>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KPMG LLP, a UK limited liability partnership and a member</w:t>
      </w:r>
    </w:p>
    <w:p>
      <w:pPr>
        <w:spacing w:after="0" w:line="1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firm of the KPMG global organisation of independent member</w:t>
      </w:r>
    </w:p>
    <w:p>
      <w:pPr>
        <w:ind w:left="3740"/>
        <w:spacing w:after="0" w:line="221" w:lineRule="auto"/>
        <w:rPr>
          <w:sz w:val="20"/>
          <w:szCs w:val="20"/>
          <w:color w:val="auto"/>
        </w:rPr>
      </w:pPr>
      <w:r>
        <w:rPr>
          <w:rFonts w:ascii="Arial" w:cs="Arial" w:eastAsia="Arial" w:hAnsi="Arial"/>
          <w:sz w:val="14"/>
          <w:szCs w:val="14"/>
          <w:color w:val="auto"/>
        </w:rPr>
        <w:t>firms affiliated with KPMG International Limited, a private</w:t>
      </w:r>
    </w:p>
    <w:p>
      <w:pPr>
        <w:ind w:left="3740"/>
        <w:spacing w:after="0" w:line="237" w:lineRule="auto"/>
        <w:rPr>
          <w:sz w:val="20"/>
          <w:szCs w:val="20"/>
          <w:color w:val="auto"/>
        </w:rPr>
      </w:pPr>
      <w:r>
        <w:rPr>
          <w:rFonts w:ascii="Arial" w:cs="Arial" w:eastAsia="Arial" w:hAnsi="Arial"/>
          <w:sz w:val="14"/>
          <w:szCs w:val="14"/>
          <w:color w:val="auto"/>
        </w:rPr>
        <w:t>English company limited by guarantee.</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Reference - AR-1762</w:t>
      </w:r>
    </w:p>
    <w:p>
      <w:pPr>
        <w:spacing w:after="0" w:line="122"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Document Classification – KPMG Highly</w:t>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3"/>
          <w:szCs w:val="13"/>
          <w:color w:val="auto"/>
        </w:rPr>
        <w:t>Registered in England No OC301540 Registered office: 15 Canada Square, London, E14 5GL For full details of our professional regulation please refer to ‘Regulatory information’ under ‘About’ at www.kpmg.com/uk</w:t>
      </w:r>
    </w:p>
    <w:sectPr>
      <w:pgSz w:w="11900" w:h="16838" w:orient="portrait"/>
      <w:cols w:equalWidth="0" w:num="2">
        <w:col w:w="7360" w:space="240"/>
        <w:col w:w="34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2023-06-12T15:37:48Z</dcterms:created>
  <dcterms:modified xsi:type="dcterms:W3CDTF">2023-06-12T15:37:48Z</dcterms:modified>
</cp:coreProperties>
</file>