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July,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In respect of the first tranche, PureTech entered into an irrevocable non-discretionary instruction with Jefferies International Limited (“Jefferies”) in relation to the purchase by Jefferies of Ordinary Shares for an aggregate consideration (excluding expenses) of no greater than</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first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May 27, 2021,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month ended July 31, 2022, the Company had the following daily purchases of its own Ordinary Shares under the Program through Jefferies:</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3"/>
              </w:rPr>
              <w:t>Ordinary Shares</w:t>
            </w:r>
          </w:p>
        </w:tc>
        <w:tc>
          <w:tcPr>
            <w:tcW w:w="18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Volume Weighted</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380" w:type="dxa"/>
            <w:vAlign w:val="bottom"/>
            <w:vMerge w:val="restart"/>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Average Price Paid</w:t>
            </w:r>
          </w:p>
        </w:tc>
        <w:tc>
          <w:tcPr>
            <w:tcW w:w="17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1"/>
              </w:rPr>
              <w:t>Highest Price Paid</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0"/>
              </w:rPr>
              <w:t>Lowest Price Paid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66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0"/>
              </w:rPr>
              <w:t>Repurchased</w:t>
            </w:r>
          </w:p>
        </w:tc>
        <w:tc>
          <w:tcPr>
            <w:tcW w:w="184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w w:val="94"/>
              </w:rPr>
              <w:t>per Ordinary Share</w:t>
            </w:r>
          </w:p>
        </w:tc>
        <w:tc>
          <w:tcPr>
            <w:tcW w:w="17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1, 2022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139,180</w:t>
            </w:r>
          </w:p>
        </w:tc>
        <w:tc>
          <w:tcPr>
            <w:tcW w:w="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173.82p</w:t>
            </w:r>
          </w:p>
        </w:tc>
        <w:tc>
          <w:tcPr>
            <w:tcW w:w="6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177.60p</w:t>
            </w:r>
          </w:p>
        </w:tc>
        <w:tc>
          <w:tcPr>
            <w:tcW w:w="6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170.80p</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4,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32,319</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179.24p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179.40p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176.00p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5,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146,105</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176.64p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173.00p</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6,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146,990</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179.64p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180.60p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178.60p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7,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97,574</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182.44p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183.60p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180.80p</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8,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71,762</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184.99p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185.20p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182.80p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11,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113,063</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188.22p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188.60p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185.40p</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12,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125,832</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189.17p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191.20p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184.00p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145,749</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184.46p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194.40p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178.40p</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14,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124,561</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186.01p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188.20p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181.60p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140,304</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187.69p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189.00p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183.80p</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18,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94,129</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186.69p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191.60p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181.80p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19,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90,786</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186.67p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191.20p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182.20p</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20,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60,212</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193.94p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194.00p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193.00p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21,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24,830</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196.55p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196.60p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195.40p</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22,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86,484</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196.69p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199.20p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193.20p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25,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80,693</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194.39p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198.00p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190.80p</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26,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74,107</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196.13p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198.00p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190.60p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27,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74,961</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196.42p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198.80p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192.60p</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July 28, 2022</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68,096</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197.26p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203.00p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195.00p</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29, 2022</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68,851</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198.30p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194.80p</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month ended July 31, 2022, the Company repurchased an aggregate of 2,006,588 Ordinary Shares. As of July 31, 2022, the Company’s issued share capital was 288,689,450 shares, 4,016,857 of which were held in treasury, resulting in total voting rights in the Company of 284,672,593 shares. To view the details of the individual transactions, please paste the following URL(s) into the address bar of your browser with respect to each individual date of repurchase under the Program:</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July 1, 2022: https://data.fca.org.uk/artefacts/NSM/RNS/4426432.html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July 4, 2022: https://data.fca.org.uk/artefacts/NSM/RNS/4428099.html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5, 2022: https://data.fca.org.uk/artefacts/NSM/RNS/4429594.html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6, 2022: https://data.fca.org.uk/artefacts/NSM/RNS/4431262.html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7, 2022: https://data.fca.org.uk/artefacts/NSM/RNS/4432843.html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8, 2022: https://data.fca.org.uk/artefacts/NSM/RNS/4434455.html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11, 2022: https://data.fca.org.uk/artefacts/NSM/RNS/4436183.html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12, 2022: https://data.fca.org.uk/artefacts/NSM/RNS/4437753.html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13, 2022: https://data.fca.org.uk/artefacts/NSM/RNS/4439297.html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14, 2022: https://data.fca.org.uk/artefacts/NSM/RNS/4440931.html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15, 2022: https://data.fca.org.uk/artefacts/NSM/RNS/4442387.html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18, 2022: https://data.fca.org.uk/artefacts/NSM/RNS/4444038.html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19, 2022: https://data.fca.org.uk/artefacts/NSM/RNS/4445759.html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20, 2022: https://data.fca.org.uk/artefacts/NSM/RNS/4447410.html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21, 2022: https://data.fca.org.uk/artefacts/NSM/RNS/4448975.html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22, 2022: https://data.fca.org.uk/artefacts/NSM/RNS/4450474.html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25, 2022: https://data.fca.org.uk/artefacts/NSM/RNS/4452129.html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26, 2022: https://data.fca.org.uk/artefacts/NSM/RNS/4453651.html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27, 2022: https://data.fca.org.uk/artefacts/NSM/RNS/4455300.html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28, 2022: https://data.fca.org.uk/artefacts/NSM/RNS/4456985.html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29, 2022: https://data.fca.org.uk/artefacts/NSM/RNS/4458711.html</w:t>
      </w:r>
    </w:p>
    <w:p>
      <w:pPr>
        <w:sectPr>
          <w:pgSz w:w="11900" w:h="16838" w:orient="portrait"/>
          <w:cols w:equalWidth="0" w:num="1">
            <w:col w:w="10019"/>
          </w:cols>
          <w:pgMar w:left="440" w:top="27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7780" w:type="dxa"/>
            <w:vAlign w:val="bottom"/>
            <w:gridSpan w:val="3"/>
          </w:tcPr>
          <w:p>
            <w:pPr>
              <w:ind w:left="1720"/>
              <w:spacing w:after="0"/>
              <w:rPr>
                <w:sz w:val="20"/>
                <w:szCs w:val="20"/>
                <w:color w:val="auto"/>
              </w:rPr>
            </w:pPr>
            <w:r>
              <w:rPr>
                <w:rFonts w:ascii="Arial" w:cs="Arial" w:eastAsia="Arial" w:hAnsi="Arial"/>
                <w:sz w:val="18"/>
                <w:szCs w:val="18"/>
                <w:color w:val="auto"/>
              </w:rPr>
              <w:t>PURETECH HEALTH PLC</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Date: August 4, 2022</w:t>
            </w:r>
          </w:p>
        </w:tc>
        <w:tc>
          <w:tcPr>
            <w:tcW w:w="7780" w:type="dxa"/>
            <w:vAlign w:val="bottom"/>
            <w:gridSpan w:val="3"/>
          </w:tcPr>
          <w:p>
            <w:pPr>
              <w:ind w:left="1720"/>
              <w:spacing w:after="0"/>
              <w:rPr>
                <w:sz w:val="20"/>
                <w:szCs w:val="20"/>
                <w:color w:val="auto"/>
              </w:rPr>
            </w:pPr>
            <w:r>
              <w:rPr>
                <w:rFonts w:ascii="Arial" w:cs="Arial" w:eastAsia="Arial" w:hAnsi="Arial"/>
                <w:sz w:val="18"/>
                <w:szCs w:val="18"/>
                <w:color w:val="auto"/>
              </w:rPr>
              <w:t>By:    /s/ Daphne Zohar</w:t>
            </w:r>
          </w:p>
        </w:tc>
      </w:tr>
      <w:tr>
        <w:trPr>
          <w:trHeight w:val="195"/>
        </w:trPr>
        <w:tc>
          <w:tcPr>
            <w:tcW w:w="3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Daphne Zohar</w:t>
            </w:r>
          </w:p>
        </w:tc>
      </w:tr>
      <w:tr>
        <w:trPr>
          <w:trHeight w:val="230"/>
        </w:trPr>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2022-08-04T16:11:09Z</dcterms:created>
  <dcterms:modified xsi:type="dcterms:W3CDTF">2022-08-04T16:11:09Z</dcterms:modified>
</cp:coreProperties>
</file>