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1092835</wp:posOffset>
            </wp:positionV>
            <wp:extent cx="67170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168910</wp:posOffset>
            </wp:positionV>
            <wp:extent cx="67170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193040</wp:posOffset>
            </wp:positionV>
            <wp:extent cx="6717030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Pursuant to Rule 13a-16 or 15d-16 under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 the month of June 2021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Commission File Number 001-39670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313690</wp:posOffset>
            </wp:positionV>
            <wp:extent cx="6717030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PURETECH HEALTH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195580</wp:posOffset>
            </wp:positionV>
            <wp:extent cx="671703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6 Tide Street, Suite 400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Boston, Massachusetts 02210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Attention: Chief Executive Officer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(617) 482-2333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166370</wp:posOffset>
            </wp:positionV>
            <wp:extent cx="6717030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640"/>
        <w:spacing w:after="0" w:line="138" w:lineRule="exact"/>
        <w:tabs>
          <w:tab w:leader="none" w:pos="5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</w:p>
    <w:p>
      <w:pPr>
        <w:sectPr>
          <w:pgSz w:w="11900" w:h="16838" w:orient="portrait"/>
          <w:cols w:equalWidth="0" w:num="1">
            <w:col w:w="10159"/>
          </w:cols>
          <w:pgMar w:left="300" w:top="14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INFORMATION CONTAINED IN THIS REPORT ON FORM 6-K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Attached to this Report on Form 6-K as Exhibit 99.1 is a copy of the press release of PureTech Health plc (LSE: PRTC, Nasdaq: PRTC) titled "PureTech Health plc – Half-Year Report".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183964"/>
        </w:rPr>
        <w:t>Exhibits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920" w:val="left"/>
        </w:tabs>
        <w:rPr>
          <w:rFonts w:ascii="Arial" w:cs="Arial" w:eastAsia="Arial" w:hAnsi="Arial"/>
          <w:sz w:val="12"/>
          <w:szCs w:val="12"/>
          <w:color w:val="0000FF"/>
        </w:rPr>
      </w:pPr>
      <w:hyperlink w:anchor="page4">
        <w:r>
          <w:rPr>
            <w:rFonts w:ascii="Arial" w:cs="Arial" w:eastAsia="Arial" w:hAnsi="Arial"/>
            <w:sz w:val="12"/>
            <w:szCs w:val="12"/>
            <w:u w:val="single" w:color="auto"/>
            <w:color w:val="0000FF"/>
          </w:rPr>
          <w:t>99.1</w:t>
        </w:r>
      </w:hyperlink>
      <w:r>
        <w:rPr>
          <w:rFonts w:ascii="Arial" w:cs="Arial" w:eastAsia="Arial" w:hAnsi="Arial"/>
          <w:sz w:val="12"/>
          <w:szCs w:val="12"/>
          <w:color w:val="0000FF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PureTech Health plc Press Release, dated August 24, 2021, "PureTech Health plc – Half-Year Report"</w:t>
      </w:r>
    </w:p>
    <w:p>
      <w:pPr>
        <w:sectPr>
          <w:pgSz w:w="11900" w:h="16838" w:orient="portrait"/>
          <w:cols w:equalWidth="0" w:num="1">
            <w:col w:w="10159"/>
          </w:cols>
          <w:pgMar w:left="300" w:top="1017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183964"/>
        </w:rPr>
        <w:t>SIGNATURES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940" w:type="dxa"/>
            <w:vAlign w:val="bottom"/>
            <w:gridSpan w:val="2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183964"/>
              </w:rPr>
              <w:t>PURETECH HEALTH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Date: August 23, 2021</w:t>
            </w:r>
          </w:p>
        </w:tc>
        <w:tc>
          <w:tcPr>
            <w:tcW w:w="252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By:</w:t>
            </w:r>
          </w:p>
        </w:tc>
        <w:tc>
          <w:tcPr>
            <w:tcW w:w="4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/s/ Daphne Zohar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Daphne Zohar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59"/>
          </w:cols>
          <w:pgMar w:left="300" w:top="1279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40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9747250</wp:posOffset>
            </wp:positionV>
            <wp:extent cx="7105650" cy="196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9733915</wp:posOffset>
            </wp:positionV>
            <wp:extent cx="7105650" cy="1968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2021-08-24T05:57:45Z</dcterms:created>
  <dcterms:modified xsi:type="dcterms:W3CDTF">2021-08-24T05:57:45Z</dcterms:modified>
</cp:coreProperties>
</file>