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In respect of the first tranche, PureTech entered into an irrevocable non-discretionary instruction with Jefferies International Limited (“Jefferies”) in relation to the purchase by Jefferies of Ordinary Shares for an aggregate consideration (excluding expenses) of no greater than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first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month ended August 31, 2022, the Company had the following daily purchases of its own Ordinary Shares under the Program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3"/>
              </w:rPr>
              <w:t>Ordinary Shares</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Volume Weighted</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5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17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2"/>
              </w:rPr>
              <w:t>Highest Price Paid</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5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Repurchased</w:t>
            </w:r>
          </w:p>
        </w:tc>
        <w:tc>
          <w:tcPr>
            <w:tcW w:w="17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6"/>
              </w:rPr>
              <w:t>per Ordinary Share</w:t>
            </w:r>
          </w:p>
        </w:tc>
        <w:tc>
          <w:tcPr>
            <w:tcW w:w="17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 2022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60,600</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86"/>
              </w:rPr>
              <w:t>197.90p</w:t>
            </w: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199.40p</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195.00p</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2,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61,631</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199.64p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205.00p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195.00p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59,358</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199.84p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201.00p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198.60p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4,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59,666</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199.10p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201.50p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195.00p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57,709</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197.72p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200.50p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8,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17,329</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202.02p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205.50p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23,039</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226.43p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231.00p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16,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12,947</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242.34p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242.50p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241.00p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17,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244.50p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244.50p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18,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60,974</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252.23p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253.00p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19,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51,958</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257.87p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258.50p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22,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62,945</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253.80p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261.00p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65,853</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256.47p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262.50p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248.00p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24,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67,196</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249.68p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252.00p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247.00p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69,733</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249.86p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258.00p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245.50p</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26,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73,629</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250.00p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255.00p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244.00p</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30, 2022</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75,713</w:t>
            </w:r>
          </w:p>
        </w:tc>
        <w:tc>
          <w:tcPr>
            <w:tcW w:w="1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239.08p</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243.00p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233.50p</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August 31, 2022</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75,669</w:t>
            </w:r>
          </w:p>
        </w:tc>
        <w:tc>
          <w:tcPr>
            <w:tcW w:w="1760" w:type="dxa"/>
            <w:vAlign w:val="bottom"/>
            <w:gridSpan w:val="2"/>
          </w:tcPr>
          <w:p>
            <w:pPr>
              <w:ind w:left="640"/>
              <w:spacing w:after="0"/>
              <w:rPr>
                <w:sz w:val="20"/>
                <w:szCs w:val="20"/>
                <w:color w:val="auto"/>
              </w:rPr>
            </w:pPr>
            <w:r>
              <w:rPr>
                <w:rFonts w:ascii="Arial" w:cs="Arial" w:eastAsia="Arial" w:hAnsi="Arial"/>
                <w:sz w:val="18"/>
                <w:szCs w:val="18"/>
                <w:color w:val="auto"/>
              </w:rPr>
              <w:t>250.71p</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255.50p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240.50p</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month ended August 31, 2022, the Company repurchased an aggregate of 955,982 Ordinary Shares. As of August 31, 2022, the Company’s issued share capital was 289,012,903 shares, 4,972,839 of which were held in treasury, resulting in total voting rights in the Company of 284,040,064 shares. To view the details of the individual transactions, please paste the following URL(s) into the address bar of your browser with respect to each individual date of repurchase under the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August 1, 2022: https://data.fca.org.uk/artefacts/NSM/RNS/4460460.html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2022: https://data.fca.org.uk/artefacts/NSM/RNS/4462200.html</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3, 2022: https://data.fca.org.uk/artefacts/NSM/RNS/4463824.html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August 4, 2022: https://data.fca.org.uk/artefacts/NSM/RNS/4465348.html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5, 2022: https://data.fca.org.uk/artefacts/NSM/RNS/4466958.html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8, 2022: https://data.fca.org.uk/artefacts/NSM/RNS/4468523.html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12, 2022: https://data.fca.org.uk/artefacts/NSM/RNS/4474657.html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16, 2022: https://data.fca.org.uk/artefacts/NSM/RNS/4477729.html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17, 2022: https://data.fca.org.uk/artefacts/NSM/RNS/4479142.html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18, 2022: https://data.fca.org.uk/artefacts/NSM/RNS/4480685.html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19, 2022: https://data.fca.org.uk/artefacts/NSM/RNS/4482160.html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22, 2022: https://data.fca.org.uk/artefacts/NSM/RNS/4483582.html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23, 2022: https://data.fca.org.uk/artefacts/NSM/RNS/4485224.html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24, 2022: https://data.fca.org.uk/artefacts/NSM/RNS/4486777.html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25, 2022: https://data.fca.org.uk/artefacts/NSM/RNS/4488180.html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26, 2022: https://data.fca.org.uk/artefacts/NSM/RNS/4490035.html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30, 2022: https://data.fca.org.uk/artefacts/NSM/RNS/4492013.html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31, 2022: https://data.fca.org.uk/artefacts/NSM/RNS/4493810.html</w:t>
      </w:r>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660" w:type="dxa"/>
            <w:vAlign w:val="bottom"/>
            <w:gridSpan w:val="3"/>
          </w:tcPr>
          <w:p>
            <w:pPr>
              <w:ind w:left="1600"/>
              <w:spacing w:after="0"/>
              <w:rPr>
                <w:sz w:val="20"/>
                <w:szCs w:val="20"/>
                <w:color w:val="auto"/>
              </w:rPr>
            </w:pPr>
            <w:r>
              <w:rPr>
                <w:rFonts w:ascii="Arial" w:cs="Arial" w:eastAsia="Arial" w:hAnsi="Arial"/>
                <w:sz w:val="18"/>
                <w:szCs w:val="18"/>
                <w:color w:val="auto"/>
              </w:rPr>
              <w:t>PURETECH HEALTH PLC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September 2, 2022</w:t>
            </w:r>
          </w:p>
        </w:tc>
        <w:tc>
          <w:tcPr>
            <w:tcW w:w="7660" w:type="dxa"/>
            <w:vAlign w:val="bottom"/>
            <w:gridSpan w:val="3"/>
          </w:tcPr>
          <w:p>
            <w:pPr>
              <w:ind w:left="1600"/>
              <w:spacing w:after="0"/>
              <w:rPr>
                <w:sz w:val="20"/>
                <w:szCs w:val="20"/>
                <w:color w:val="auto"/>
              </w:rPr>
            </w:pPr>
            <w:r>
              <w:rPr>
                <w:rFonts w:ascii="Arial" w:cs="Arial" w:eastAsia="Arial" w:hAnsi="Arial"/>
                <w:sz w:val="18"/>
                <w:szCs w:val="18"/>
                <w:color w:val="auto"/>
              </w:rPr>
              <w:t>By:    /s/ Daphne Zohar</w:t>
            </w:r>
          </w:p>
        </w:tc>
      </w:tr>
      <w:tr>
        <w:trPr>
          <w:trHeight w:val="195"/>
        </w:trPr>
        <w:tc>
          <w:tcPr>
            <w:tcW w:w="3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2022-09-02T15:31:53Z</dcterms:created>
  <dcterms:modified xsi:type="dcterms:W3CDTF">2022-09-02T15:31:53Z</dcterms:modified>
</cp:coreProperties>
</file>