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1125855</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60"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UNITED STATES</w:t>
      </w:r>
    </w:p>
    <w:p>
      <w:pPr>
        <w:spacing w:after="0" w:line="186"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spacing w:after="0" w:line="79" w:lineRule="exact"/>
        <w:rPr>
          <w:sz w:val="24"/>
          <w:szCs w:val="24"/>
          <w:color w:val="auto"/>
        </w:rPr>
      </w:pP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ind w:left="484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234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Report of Foreign Private Issuer</w:t>
      </w:r>
    </w:p>
    <w:p>
      <w:pPr>
        <w:spacing w:after="0" w:line="45"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Pursuant to Rule 13a-16 or 15d-16 under</w:t>
      </w:r>
    </w:p>
    <w:p>
      <w:pPr>
        <w:spacing w:after="0" w:line="44"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the Securities Exchange Act of 1934</w:t>
      </w:r>
    </w:p>
    <w:p>
      <w:pPr>
        <w:spacing w:after="0" w:line="256"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 the month of June 2024</w:t>
      </w:r>
    </w:p>
    <w:p>
      <w:pPr>
        <w:spacing w:after="0" w:line="266"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001-39670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394970</wp:posOffset>
            </wp:positionV>
            <wp:extent cx="71234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ind w:right="-1100"/>
        <w:spacing w:after="0"/>
        <w:rPr>
          <w:sz w:val="20"/>
          <w:szCs w:val="20"/>
          <w:color w:val="auto"/>
        </w:rPr>
      </w:pPr>
      <w:r>
        <w:rPr>
          <w:rFonts w:ascii="Arial" w:cs="Arial" w:eastAsia="Arial" w:hAnsi="Arial"/>
          <w:sz w:val="43"/>
          <w:szCs w:val="43"/>
          <w:b w:val="1"/>
          <w:bCs w:val="1"/>
          <w:color w:val="auto"/>
        </w:rPr>
        <w:t>PURETECH HEALTH PLC</w:t>
      </w:r>
    </w:p>
    <w:p>
      <w:pPr>
        <w:spacing w:after="0" w:line="111" w:lineRule="exact"/>
        <w:rPr>
          <w:sz w:val="24"/>
          <w:szCs w:val="24"/>
          <w:color w:val="auto"/>
        </w:rPr>
      </w:pPr>
    </w:p>
    <w:p>
      <w:pPr>
        <w:ind w:left="3820"/>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234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ind w:right="-1100"/>
        <w:spacing w:after="0"/>
        <w:rPr>
          <w:sz w:val="20"/>
          <w:szCs w:val="20"/>
          <w:color w:val="auto"/>
        </w:rPr>
      </w:pPr>
      <w:r>
        <w:rPr>
          <w:rFonts w:ascii="Arial" w:cs="Arial" w:eastAsia="Arial" w:hAnsi="Arial"/>
          <w:sz w:val="14"/>
          <w:szCs w:val="14"/>
          <w:b w:val="1"/>
          <w:bCs w:val="1"/>
          <w:color w:val="auto"/>
        </w:rPr>
        <w:t>6 Tide Street, Suite 400</w:t>
      </w:r>
    </w:p>
    <w:p>
      <w:pPr>
        <w:spacing w:after="0" w:line="42" w:lineRule="exact"/>
        <w:rPr>
          <w:sz w:val="24"/>
          <w:szCs w:val="24"/>
          <w:color w:val="auto"/>
        </w:rPr>
      </w:pPr>
    </w:p>
    <w:p>
      <w:pPr>
        <w:jc w:val="center"/>
        <w:ind w:right="-1100"/>
        <w:spacing w:after="0"/>
        <w:rPr>
          <w:sz w:val="20"/>
          <w:szCs w:val="20"/>
          <w:color w:val="auto"/>
        </w:rPr>
      </w:pPr>
      <w:r>
        <w:rPr>
          <w:rFonts w:ascii="Arial" w:cs="Arial" w:eastAsia="Arial" w:hAnsi="Arial"/>
          <w:sz w:val="14"/>
          <w:szCs w:val="14"/>
          <w:b w:val="1"/>
          <w:bCs w:val="1"/>
          <w:color w:val="auto"/>
        </w:rPr>
        <w:t>Boston, Massachusetts 02210</w:t>
      </w:r>
    </w:p>
    <w:p>
      <w:pPr>
        <w:spacing w:after="0" w:line="42" w:lineRule="exact"/>
        <w:rPr>
          <w:sz w:val="24"/>
          <w:szCs w:val="24"/>
          <w:color w:val="auto"/>
        </w:rPr>
      </w:pPr>
    </w:p>
    <w:p>
      <w:pPr>
        <w:jc w:val="center"/>
        <w:ind w:right="-110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234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files or will file annual reports under cover of Form 20-F or Form 40-F.</w:t>
      </w:r>
    </w:p>
    <w:p>
      <w:pPr>
        <w:spacing w:after="0" w:line="75" w:lineRule="exact"/>
        <w:rPr>
          <w:sz w:val="24"/>
          <w:szCs w:val="24"/>
          <w:color w:val="auto"/>
        </w:rPr>
      </w:pPr>
    </w:p>
    <w:p>
      <w:pPr>
        <w:ind w:left="4360"/>
        <w:spacing w:after="0" w:line="173" w:lineRule="exact"/>
        <w:tabs>
          <w:tab w:leader="none" w:pos="5940" w:val="left"/>
        </w:tabs>
        <w:rPr>
          <w:sz w:val="20"/>
          <w:szCs w:val="20"/>
          <w:color w:val="auto"/>
        </w:rPr>
      </w:pPr>
      <w:r>
        <w:rPr>
          <w:rFonts w:ascii="Arial" w:cs="Arial" w:eastAsia="Arial" w:hAnsi="Arial"/>
          <w:sz w:val="15"/>
          <w:szCs w:val="15"/>
          <w:color w:val="auto"/>
        </w:rPr>
        <w:t xml:space="preserve">Form 20-F </w:t>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 xml:space="preserve">Form 40-F </w:t>
      </w:r>
      <w:r>
        <w:rPr>
          <w:rFonts w:ascii="MS PGothic" w:cs="MS PGothic" w:eastAsia="MS PGothic" w:hAnsi="MS PGothic"/>
          <w:sz w:val="15"/>
          <w:szCs w:val="15"/>
          <w:color w:val="auto"/>
        </w:rPr>
        <w:t>☐</w:t>
      </w:r>
    </w:p>
    <w:p>
      <w:pPr>
        <w:spacing w:after="0" w:line="178"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Indicate by check mark if the registrant is submitting the Form 6-K in paper as permitted by Regulation S-T Rule 101(b)(1): </w:t>
      </w:r>
      <w:r>
        <w:rPr>
          <w:rFonts w:ascii="Wingdings" w:cs="Wingdings" w:eastAsia="Wingdings" w:hAnsi="Wingdings"/>
          <w:sz w:val="17"/>
          <w:szCs w:val="17"/>
          <w:b w:val="1"/>
          <w:bCs w:val="1"/>
          <w:color w:val="auto"/>
        </w:rPr>
        <w:t>o</w:t>
      </w:r>
    </w:p>
    <w:p>
      <w:pPr>
        <w:spacing w:after="0" w:line="48"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Indicate by check mark if the registrant is submitting the Form 6-K in paper as permitted by Regulation S-T Rule 101(b)(7): </w:t>
      </w: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925830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5"/>
          <w:szCs w:val="15"/>
          <w:b w:val="1"/>
          <w:bCs w:val="1"/>
          <w:color w:val="auto"/>
        </w:rPr>
        <w:t>INFORMATION CONTAINED IN THIS REPORT ON FORM 6-K</w:t>
      </w:r>
    </w:p>
    <w:p>
      <w:pPr>
        <w:spacing w:after="0" w:line="140" w:lineRule="exact"/>
        <w:rPr>
          <w:sz w:val="20"/>
          <w:szCs w:val="20"/>
          <w:color w:val="auto"/>
        </w:rPr>
      </w:pPr>
    </w:p>
    <w:p>
      <w:pPr>
        <w:ind w:right="20"/>
        <w:spacing w:after="0" w:line="307" w:lineRule="auto"/>
        <w:rPr>
          <w:sz w:val="20"/>
          <w:szCs w:val="20"/>
          <w:color w:val="auto"/>
        </w:rPr>
      </w:pPr>
      <w:r>
        <w:rPr>
          <w:rFonts w:ascii="Arial" w:cs="Arial" w:eastAsia="Arial" w:hAnsi="Arial"/>
          <w:sz w:val="15"/>
          <w:szCs w:val="15"/>
          <w:color w:val="auto"/>
        </w:rPr>
        <w:t>On August 28, 2024, PureTech Health plc (LSE: PRTC, Nasdaq: PRTC) (the “Company”) issued a press release containing its half-year report along with the Interim Management Report and Financial Review for the Six Months Ended June 30, 2024 and 2023, and the associated Unaudited Condensed Consolidated Financial Statements as of and for the Six Months Ended June 30, 2024 and 2023 and as of December 31, 2023, which are furnished herewith as Exhibit 99.1, Exhibit 99.2 and 99.3, respectively, and are incorporated by reference herein.</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b w:val="1"/>
          <w:bCs w:val="1"/>
          <w:color w:val="183964"/>
        </w:rPr>
        <w:t>Exhibits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30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99.</w:t>
            </w:r>
            <w:r>
              <w:rPr>
                <w:rFonts w:ascii="Arial" w:cs="Arial" w:eastAsia="Arial" w:hAnsi="Arial"/>
                <w:sz w:val="15"/>
                <w:szCs w:val="15"/>
                <w:u w:val="single" w:color="auto"/>
                <w:color w:val="0000FF"/>
                <w:w w:val="95"/>
              </w:rPr>
              <w:t>1</w:t>
            </w:r>
          </w:p>
        </w:tc>
        <w:tc>
          <w:tcPr>
            <w:tcW w:w="10920" w:type="dxa"/>
            <w:vAlign w:val="bottom"/>
          </w:tcPr>
          <w:p>
            <w:pPr>
              <w:ind w:left="620"/>
              <w:spacing w:after="0"/>
              <w:rPr>
                <w:sz w:val="20"/>
                <w:szCs w:val="20"/>
                <w:color w:val="auto"/>
              </w:rPr>
            </w:pPr>
            <w:r>
              <w:rPr>
                <w:rFonts w:ascii="Arial" w:cs="Arial" w:eastAsia="Arial" w:hAnsi="Arial"/>
                <w:sz w:val="15"/>
                <w:szCs w:val="15"/>
                <w:color w:val="auto"/>
              </w:rPr>
              <w:t>Press Release of PureTech Health plc, dated August 28, 2024, titled "PureTech Health plc – Half-Year Report"</w:t>
            </w:r>
          </w:p>
        </w:tc>
      </w:tr>
      <w:tr>
        <w:trPr>
          <w:trHeight w:val="277"/>
        </w:trPr>
        <w:tc>
          <w:tcPr>
            <w:tcW w:w="20" w:type="dxa"/>
            <w:vAlign w:val="bottom"/>
          </w:tcPr>
          <w:p>
            <w:pPr>
              <w:spacing w:after="0"/>
              <w:rPr>
                <w:sz w:val="24"/>
                <w:szCs w:val="24"/>
                <w:color w:val="auto"/>
              </w:rPr>
            </w:pPr>
          </w:p>
        </w:tc>
        <w:tc>
          <w:tcPr>
            <w:tcW w:w="30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99.</w:t>
            </w:r>
            <w:r>
              <w:rPr>
                <w:rFonts w:ascii="Arial" w:cs="Arial" w:eastAsia="Arial" w:hAnsi="Arial"/>
                <w:sz w:val="15"/>
                <w:szCs w:val="15"/>
                <w:u w:val="single" w:color="auto"/>
                <w:color w:val="0000FF"/>
                <w:w w:val="95"/>
              </w:rPr>
              <w:t>2</w:t>
            </w:r>
          </w:p>
        </w:tc>
        <w:tc>
          <w:tcPr>
            <w:tcW w:w="10920" w:type="dxa"/>
            <w:vAlign w:val="bottom"/>
          </w:tcPr>
          <w:p>
            <w:pPr>
              <w:ind w:left="620"/>
              <w:spacing w:after="0"/>
              <w:rPr>
                <w:sz w:val="20"/>
                <w:szCs w:val="20"/>
                <w:color w:val="auto"/>
              </w:rPr>
            </w:pPr>
            <w:r>
              <w:rPr>
                <w:rFonts w:ascii="Arial" w:cs="Arial" w:eastAsia="Arial" w:hAnsi="Arial"/>
                <w:sz w:val="15"/>
                <w:szCs w:val="15"/>
                <w:color w:val="auto"/>
              </w:rPr>
              <w:t>Interim Management Report and Financial Review for the Six Months Ended June 30, 2024 and 2023</w:t>
            </w:r>
          </w:p>
        </w:tc>
      </w:tr>
      <w:tr>
        <w:trPr>
          <w:trHeight w:val="345"/>
        </w:trPr>
        <w:tc>
          <w:tcPr>
            <w:tcW w:w="320" w:type="dxa"/>
            <w:vAlign w:val="bottom"/>
            <w:gridSpan w:val="2"/>
          </w:tcPr>
          <w:p>
            <w:pPr>
              <w:jc w:val="right"/>
              <w:spacing w:after="0"/>
              <w:rPr>
                <w:sz w:val="20"/>
                <w:szCs w:val="20"/>
                <w:color w:val="auto"/>
              </w:rPr>
            </w:pPr>
            <w:r>
              <w:rPr>
                <w:rFonts w:ascii="Arial" w:cs="Arial" w:eastAsia="Arial" w:hAnsi="Arial"/>
                <w:sz w:val="15"/>
                <w:szCs w:val="15"/>
                <w:color w:val="0000FF"/>
              </w:rPr>
              <w:t>99.</w:t>
            </w:r>
            <w:r>
              <w:rPr>
                <w:rFonts w:ascii="Arial" w:cs="Arial" w:eastAsia="Arial" w:hAnsi="Arial"/>
                <w:sz w:val="15"/>
                <w:szCs w:val="15"/>
                <w:u w:val="single" w:color="auto"/>
                <w:color w:val="0000FF"/>
              </w:rPr>
              <w:t>3</w:t>
            </w:r>
          </w:p>
        </w:tc>
        <w:tc>
          <w:tcPr>
            <w:tcW w:w="10920" w:type="dxa"/>
            <w:vAlign w:val="bottom"/>
          </w:tcPr>
          <w:p>
            <w:pPr>
              <w:ind w:left="620"/>
              <w:spacing w:after="0"/>
              <w:rPr>
                <w:sz w:val="20"/>
                <w:szCs w:val="20"/>
                <w:color w:val="auto"/>
              </w:rPr>
            </w:pPr>
            <w:r>
              <w:rPr>
                <w:rFonts w:ascii="Arial" w:cs="Arial" w:eastAsia="Arial" w:hAnsi="Arial"/>
                <w:sz w:val="15"/>
                <w:szCs w:val="15"/>
                <w:color w:val="auto"/>
              </w:rPr>
              <w:t>Unaudited Condensed Consolidated Financial Statements as of and for the Six Months Ended June 30, 2024 and 2023 and as of December</w:t>
            </w:r>
          </w:p>
        </w:tc>
      </w:tr>
      <w:tr>
        <w:trPr>
          <w:trHeight w:val="180"/>
        </w:trPr>
        <w:tc>
          <w:tcPr>
            <w:tcW w:w="20" w:type="dxa"/>
            <w:vAlign w:val="bottom"/>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10920" w:type="dxa"/>
            <w:vAlign w:val="bottom"/>
          </w:tcPr>
          <w:p>
            <w:pPr>
              <w:ind w:left="620"/>
              <w:spacing w:after="0"/>
              <w:rPr>
                <w:sz w:val="20"/>
                <w:szCs w:val="20"/>
                <w:color w:val="auto"/>
              </w:rPr>
            </w:pPr>
            <w:r>
              <w:rPr>
                <w:rFonts w:ascii="Arial" w:cs="Arial" w:eastAsia="Arial" w:hAnsi="Arial"/>
                <w:sz w:val="15"/>
                <w:szCs w:val="15"/>
                <w:color w:val="auto"/>
              </w:rPr>
              <w:t>31, 2023</w:t>
            </w:r>
          </w:p>
        </w:tc>
      </w:tr>
      <w:tr>
        <w:trPr>
          <w:trHeight w:val="1764"/>
        </w:trPr>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2" w:name="page3"/>
    <w:bookmarkEnd w:id="2"/>
    <w:p>
      <w:pPr>
        <w:spacing w:after="0" w:line="71" w:lineRule="exact"/>
        <w:rPr>
          <w:sz w:val="20"/>
          <w:szCs w:val="20"/>
          <w:color w:val="auto"/>
        </w:rPr>
      </w:pPr>
    </w:p>
    <w:p>
      <w:pPr>
        <w:spacing w:after="0"/>
        <w:rPr>
          <w:sz w:val="20"/>
          <w:szCs w:val="20"/>
          <w:color w:val="auto"/>
        </w:rPr>
      </w:pPr>
      <w:r>
        <w:rPr>
          <w:rFonts w:ascii="Arial" w:cs="Arial" w:eastAsia="Arial" w:hAnsi="Arial"/>
          <w:sz w:val="15"/>
          <w:szCs w:val="15"/>
          <w:b w:val="1"/>
          <w:bCs w:val="1"/>
          <w:color w:val="183964"/>
        </w:rPr>
        <w:t>SIGNATURES</w:t>
      </w:r>
    </w:p>
    <w:p>
      <w:pPr>
        <w:spacing w:after="0" w:line="100"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thereunto duly authorized.</w:t>
      </w:r>
    </w:p>
    <w:p>
      <w:pPr>
        <w:spacing w:after="0" w:line="78"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320" w:type="dxa"/>
            <w:vAlign w:val="bottom"/>
          </w:tcPr>
          <w:p>
            <w:pPr>
              <w:spacing w:after="0"/>
              <w:rPr>
                <w:sz w:val="18"/>
                <w:szCs w:val="18"/>
                <w:color w:val="auto"/>
              </w:rPr>
            </w:pPr>
          </w:p>
        </w:tc>
        <w:tc>
          <w:tcPr>
            <w:tcW w:w="7240" w:type="dxa"/>
            <w:vAlign w:val="bottom"/>
            <w:gridSpan w:val="2"/>
          </w:tcPr>
          <w:p>
            <w:pPr>
              <w:ind w:left="1800"/>
              <w:spacing w:after="0"/>
              <w:rPr>
                <w:sz w:val="20"/>
                <w:szCs w:val="20"/>
                <w:color w:val="auto"/>
              </w:rPr>
            </w:pPr>
            <w:r>
              <w:rPr>
                <w:rFonts w:ascii="Arial" w:cs="Arial" w:eastAsia="Arial" w:hAnsi="Arial"/>
                <w:sz w:val="15"/>
                <w:szCs w:val="15"/>
                <w:b w:val="1"/>
                <w:bCs w:val="1"/>
                <w:color w:val="183964"/>
              </w:rPr>
              <w:t>PURETECH HEALTH PLC</w:t>
            </w:r>
          </w:p>
        </w:tc>
        <w:tc>
          <w:tcPr>
            <w:tcW w:w="0" w:type="dxa"/>
            <w:vAlign w:val="bottom"/>
          </w:tcPr>
          <w:p>
            <w:pPr>
              <w:spacing w:after="0"/>
              <w:rPr>
                <w:sz w:val="1"/>
                <w:szCs w:val="1"/>
                <w:color w:val="auto"/>
              </w:rPr>
            </w:pPr>
          </w:p>
        </w:tc>
      </w:tr>
      <w:tr>
        <w:trPr>
          <w:trHeight w:val="451"/>
        </w:trPr>
        <w:tc>
          <w:tcPr>
            <w:tcW w:w="3320" w:type="dxa"/>
            <w:vAlign w:val="bottom"/>
          </w:tcPr>
          <w:p>
            <w:pPr>
              <w:spacing w:after="0"/>
              <w:rPr>
                <w:sz w:val="20"/>
                <w:szCs w:val="20"/>
                <w:color w:val="auto"/>
              </w:rPr>
            </w:pPr>
            <w:r>
              <w:rPr>
                <w:rFonts w:ascii="Arial" w:cs="Arial" w:eastAsia="Arial" w:hAnsi="Arial"/>
                <w:sz w:val="15"/>
                <w:szCs w:val="15"/>
                <w:color w:val="auto"/>
              </w:rPr>
              <w:t>Date: August 28, 2024</w:t>
            </w:r>
          </w:p>
        </w:tc>
        <w:tc>
          <w:tcPr>
            <w:tcW w:w="2560" w:type="dxa"/>
            <w:vAlign w:val="bottom"/>
          </w:tcPr>
          <w:p>
            <w:pPr>
              <w:ind w:left="1800"/>
              <w:spacing w:after="0"/>
              <w:rPr>
                <w:sz w:val="20"/>
                <w:szCs w:val="20"/>
                <w:color w:val="auto"/>
              </w:rPr>
            </w:pPr>
            <w:r>
              <w:rPr>
                <w:rFonts w:ascii="Arial" w:cs="Arial" w:eastAsia="Arial" w:hAnsi="Arial"/>
                <w:sz w:val="15"/>
                <w:szCs w:val="15"/>
                <w:color w:val="auto"/>
              </w:rPr>
              <w:t>By:</w:t>
            </w:r>
          </w:p>
        </w:tc>
        <w:tc>
          <w:tcPr>
            <w:tcW w:w="4680" w:type="dxa"/>
            <w:vAlign w:val="bottom"/>
            <w:vMerge w:val="restart"/>
          </w:tcPr>
          <w:p>
            <w:pPr>
              <w:ind w:left="20"/>
              <w:spacing w:after="0"/>
              <w:rPr>
                <w:sz w:val="20"/>
                <w:szCs w:val="20"/>
                <w:color w:val="auto"/>
              </w:rPr>
            </w:pPr>
            <w:r>
              <w:rPr>
                <w:rFonts w:ascii="Arial" w:cs="Arial" w:eastAsia="Arial" w:hAnsi="Arial"/>
                <w:sz w:val="15"/>
                <w:szCs w:val="15"/>
                <w:color w:val="auto"/>
              </w:rPr>
              <w:t>/s/ Bharatt Chowrira</w:t>
            </w:r>
          </w:p>
        </w:tc>
        <w:tc>
          <w:tcPr>
            <w:tcW w:w="0" w:type="dxa"/>
            <w:vAlign w:val="bottom"/>
          </w:tcPr>
          <w:p>
            <w:pPr>
              <w:spacing w:after="0"/>
              <w:rPr>
                <w:sz w:val="1"/>
                <w:szCs w:val="1"/>
                <w:color w:val="auto"/>
              </w:rPr>
            </w:pPr>
          </w:p>
        </w:tc>
      </w:tr>
      <w:tr>
        <w:trPr>
          <w:trHeight w:val="81"/>
        </w:trPr>
        <w:tc>
          <w:tcPr>
            <w:tcW w:w="3320" w:type="dxa"/>
            <w:vAlign w:val="bottom"/>
          </w:tcPr>
          <w:p>
            <w:pPr>
              <w:spacing w:after="0"/>
              <w:rPr>
                <w:sz w:val="7"/>
                <w:szCs w:val="7"/>
                <w:color w:val="auto"/>
              </w:rPr>
            </w:pPr>
          </w:p>
        </w:tc>
        <w:tc>
          <w:tcPr>
            <w:tcW w:w="2560" w:type="dxa"/>
            <w:vAlign w:val="bottom"/>
          </w:tcPr>
          <w:p>
            <w:pPr>
              <w:spacing w:after="0"/>
              <w:rPr>
                <w:sz w:val="7"/>
                <w:szCs w:val="7"/>
                <w:color w:val="auto"/>
              </w:rPr>
            </w:pPr>
          </w:p>
        </w:tc>
        <w:tc>
          <w:tcPr>
            <w:tcW w:w="4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2560" w:type="dxa"/>
            <w:vAlign w:val="bottom"/>
            <w:vMerge w:val="restart"/>
          </w:tcPr>
          <w:p>
            <w:pPr>
              <w:ind w:left="1800"/>
              <w:spacing w:after="0"/>
              <w:rPr>
                <w:sz w:val="20"/>
                <w:szCs w:val="20"/>
                <w:color w:val="auto"/>
              </w:rPr>
            </w:pPr>
            <w:r>
              <w:rPr>
                <w:rFonts w:ascii="Arial" w:cs="Arial" w:eastAsia="Arial" w:hAnsi="Arial"/>
                <w:sz w:val="15"/>
                <w:szCs w:val="15"/>
                <w:color w:val="auto"/>
              </w:rPr>
              <w:t>Name:</w:t>
            </w:r>
          </w:p>
        </w:tc>
        <w:tc>
          <w:tcPr>
            <w:tcW w:w="4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2560" w:type="dxa"/>
            <w:vAlign w:val="bottom"/>
            <w:vMerge w:val="continue"/>
          </w:tcPr>
          <w:p>
            <w:pPr>
              <w:spacing w:after="0"/>
              <w:rPr>
                <w:sz w:val="17"/>
                <w:szCs w:val="17"/>
                <w:color w:val="auto"/>
              </w:rPr>
            </w:pPr>
          </w:p>
        </w:tc>
        <w:tc>
          <w:tcPr>
            <w:tcW w:w="4680" w:type="dxa"/>
            <w:vAlign w:val="bottom"/>
          </w:tcPr>
          <w:p>
            <w:pPr>
              <w:ind w:left="20"/>
              <w:spacing w:after="0"/>
              <w:rPr>
                <w:sz w:val="20"/>
                <w:szCs w:val="20"/>
                <w:color w:val="auto"/>
              </w:rPr>
            </w:pPr>
            <w:r>
              <w:rPr>
                <w:rFonts w:ascii="Arial" w:cs="Arial" w:eastAsia="Arial" w:hAnsi="Arial"/>
                <w:sz w:val="15"/>
                <w:szCs w:val="15"/>
                <w:color w:val="auto"/>
              </w:rPr>
              <w:t>Bharatt Chowrira</w:t>
            </w:r>
          </w:p>
        </w:tc>
        <w:tc>
          <w:tcPr>
            <w:tcW w:w="0" w:type="dxa"/>
            <w:vAlign w:val="bottom"/>
          </w:tcPr>
          <w:p>
            <w:pPr>
              <w:spacing w:after="0"/>
              <w:rPr>
                <w:sz w:val="1"/>
                <w:szCs w:val="1"/>
                <w:color w:val="auto"/>
              </w:rPr>
            </w:pPr>
          </w:p>
        </w:tc>
      </w:tr>
      <w:tr>
        <w:trPr>
          <w:trHeight w:val="243"/>
        </w:trPr>
        <w:tc>
          <w:tcPr>
            <w:tcW w:w="3320" w:type="dxa"/>
            <w:vAlign w:val="bottom"/>
          </w:tcPr>
          <w:p>
            <w:pPr>
              <w:spacing w:after="0"/>
              <w:rPr>
                <w:sz w:val="21"/>
                <w:szCs w:val="21"/>
                <w:color w:val="auto"/>
              </w:rPr>
            </w:pPr>
          </w:p>
        </w:tc>
        <w:tc>
          <w:tcPr>
            <w:tcW w:w="2560" w:type="dxa"/>
            <w:vAlign w:val="bottom"/>
          </w:tcPr>
          <w:p>
            <w:pPr>
              <w:ind w:left="1800"/>
              <w:spacing w:after="0"/>
              <w:rPr>
                <w:sz w:val="20"/>
                <w:szCs w:val="20"/>
                <w:color w:val="auto"/>
              </w:rPr>
            </w:pPr>
            <w:r>
              <w:rPr>
                <w:rFonts w:ascii="Arial" w:cs="Arial" w:eastAsia="Arial" w:hAnsi="Arial"/>
                <w:sz w:val="15"/>
                <w:szCs w:val="15"/>
                <w:color w:val="auto"/>
              </w:rPr>
              <w:t>Title:</w:t>
            </w:r>
          </w:p>
        </w:tc>
        <w:tc>
          <w:tcPr>
            <w:tcW w:w="4680" w:type="dxa"/>
            <w:vAlign w:val="bottom"/>
          </w:tcPr>
          <w:p>
            <w:pPr>
              <w:ind w:left="20"/>
              <w:spacing w:after="0"/>
              <w:rPr>
                <w:sz w:val="20"/>
                <w:szCs w:val="20"/>
                <w:color w:val="auto"/>
              </w:rPr>
            </w:pPr>
            <w:r>
              <w:rPr>
                <w:rFonts w:ascii="Arial" w:cs="Arial" w:eastAsia="Arial" w:hAnsi="Arial"/>
                <w:sz w:val="15"/>
                <w:szCs w:val="15"/>
                <w:color w:val="auto"/>
              </w:rPr>
              <w:t>Chief Executive Officer</w:t>
            </w:r>
          </w:p>
        </w:tc>
        <w:tc>
          <w:tcPr>
            <w:tcW w:w="0" w:type="dxa"/>
            <w:vAlign w:val="bottom"/>
          </w:tcPr>
          <w:p>
            <w:pPr>
              <w:spacing w:after="0"/>
              <w:rPr>
                <w:sz w:val="1"/>
                <w:szCs w:val="1"/>
                <w:color w:val="auto"/>
              </w:rPr>
            </w:pPr>
          </w:p>
        </w:tc>
      </w:tr>
    </w:tbl>
    <w:p>
      <w:pPr>
        <w:sectPr>
          <w:pgSz w:w="11900" w:h="16838" w:orient="portrait"/>
          <w:cols w:equalWidth="0" w:num="1">
            <w:col w:w="10640"/>
          </w:cols>
          <w:pgMar w:left="320" w:top="1440" w:right="9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183964"/>
        </w:rPr>
        <w:t>Exhibit 99.1</w:t>
      </w:r>
    </w:p>
    <w:p>
      <w:pPr>
        <w:spacing w:after="0" w:line="352" w:lineRule="exact"/>
        <w:rPr>
          <w:sz w:val="20"/>
          <w:szCs w:val="20"/>
          <w:color w:val="auto"/>
        </w:rPr>
      </w:pPr>
    </w:p>
    <w:p>
      <w:pPr>
        <w:spacing w:after="0"/>
        <w:rPr>
          <w:sz w:val="20"/>
          <w:szCs w:val="20"/>
          <w:color w:val="auto"/>
        </w:rPr>
      </w:pPr>
      <w:r>
        <w:rPr>
          <w:rFonts w:ascii="Arial" w:cs="Arial" w:eastAsia="Arial" w:hAnsi="Arial"/>
          <w:sz w:val="13"/>
          <w:szCs w:val="13"/>
          <w:b w:val="1"/>
          <w:bCs w:val="1"/>
          <w:color w:val="183964"/>
        </w:rPr>
        <w:t>28 August 2024</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PureTech Health plc – Half-Year Report</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Strong progress across PureTech’s portfolio, with significant near-term catalysts</w:t>
      </w:r>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5"/>
          <w:szCs w:val="15"/>
          <w:i w:val="1"/>
          <w:iCs w:val="1"/>
          <w:color w:val="auto"/>
        </w:rPr>
        <w:t>Robust shareholder returns enabled by Founded Entity</w:t>
      </w:r>
      <w:r>
        <w:rPr>
          <w:rFonts w:ascii="Arial" w:cs="Arial" w:eastAsia="Arial" w:hAnsi="Arial"/>
          <w:sz w:val="9"/>
          <w:szCs w:val="9"/>
          <w:i w:val="1"/>
          <w:iCs w:val="1"/>
          <w:color w:val="auto"/>
        </w:rPr>
        <w:t>1</w:t>
      </w:r>
      <w:r>
        <w:rPr>
          <w:rFonts w:ascii="Arial" w:cs="Arial" w:eastAsia="Arial" w:hAnsi="Arial"/>
          <w:sz w:val="15"/>
          <w:szCs w:val="15"/>
          <w:i w:val="1"/>
          <w:iCs w:val="1"/>
          <w:color w:val="auto"/>
        </w:rPr>
        <w:t xml:space="preserve"> monetization; $100 million Tender Offer and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$50 million buyback completed</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Strong balance sheet with expected operational runway for at least three years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Company to host a webcast and conference call today at 9:00am EDT / 2:00pm BST</w:t>
      </w:r>
    </w:p>
    <w:p>
      <w:pPr>
        <w:spacing w:after="0" w:line="98" w:lineRule="exact"/>
        <w:rPr>
          <w:sz w:val="20"/>
          <w:szCs w:val="20"/>
          <w:color w:val="auto"/>
        </w:rPr>
      </w:pPr>
    </w:p>
    <w:p>
      <w:pPr>
        <w:ind w:right="20"/>
        <w:spacing w:after="0" w:line="273" w:lineRule="auto"/>
        <w:rPr>
          <w:sz w:val="20"/>
          <w:szCs w:val="20"/>
          <w:color w:val="auto"/>
        </w:rPr>
      </w:pPr>
      <w:r>
        <w:rPr>
          <w:rFonts w:ascii="Arial" w:cs="Arial" w:eastAsia="Arial" w:hAnsi="Arial"/>
          <w:sz w:val="15"/>
          <w:szCs w:val="15"/>
          <w:color w:val="auto"/>
        </w:rPr>
        <w:t>PureTech Health plc (Nasdaq: PRTC, LSE: PRTC) ("PureTech" or the "Company"), a clinical-stage biotherapeutics company dedicated to changing the lives of patients with devastating diseases, today announces its half-yearly results for the six months ended June 30, 2024. The following information will be filed on Form 6-K with the United States Securities and Exchange Commission (the "SEC") and is also available at https://investors.puretechhealth.com/financials-filings/reports.</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Commenting on PureTech's half-yearly results, Bharatt Chowrira, PhD, JD, Chief Executive Officer of PureTech, said:</w:t>
      </w:r>
    </w:p>
    <w:p>
      <w:pPr>
        <w:spacing w:after="0" w:line="98" w:lineRule="exact"/>
        <w:rPr>
          <w:sz w:val="20"/>
          <w:szCs w:val="20"/>
          <w:color w:val="auto"/>
        </w:rPr>
      </w:pPr>
    </w:p>
    <w:p>
      <w:pPr>
        <w:ind w:right="240"/>
        <w:spacing w:after="0" w:line="282" w:lineRule="auto"/>
        <w:rPr>
          <w:sz w:val="20"/>
          <w:szCs w:val="20"/>
          <w:color w:val="auto"/>
        </w:rPr>
      </w:pPr>
      <w:r>
        <w:rPr>
          <w:rFonts w:ascii="Arial" w:cs="Arial" w:eastAsia="Arial" w:hAnsi="Arial"/>
          <w:sz w:val="15"/>
          <w:szCs w:val="15"/>
          <w:color w:val="auto"/>
        </w:rPr>
        <w:t>"I am proud of the talented team at PureTech that has continued to deliver results with a sense of diligence and passion. PureTech made significant progress in the first half of 2024, advancing our mission to develop innovative therapies for the patients most in need. We have also implemented strategies to drive efficient operations and capital allocation. This has resulted in a decrease in both our R&amp;D and G&amp;A expenses at the PureTech level.</w:t>
      </w:r>
    </w:p>
    <w:p>
      <w:pPr>
        <w:spacing w:after="0" w:line="40" w:lineRule="exact"/>
        <w:rPr>
          <w:sz w:val="20"/>
          <w:szCs w:val="20"/>
          <w:color w:val="auto"/>
        </w:rPr>
      </w:pPr>
    </w:p>
    <w:p>
      <w:pPr>
        <w:ind w:right="160"/>
        <w:spacing w:after="0" w:line="263" w:lineRule="auto"/>
        <w:rPr>
          <w:sz w:val="20"/>
          <w:szCs w:val="20"/>
          <w:color w:val="auto"/>
        </w:rPr>
      </w:pPr>
      <w:r>
        <w:rPr>
          <w:rFonts w:ascii="Arial" w:cs="Arial" w:eastAsia="Arial" w:hAnsi="Arial"/>
          <w:sz w:val="15"/>
          <w:szCs w:val="15"/>
          <w:color w:val="auto"/>
        </w:rPr>
        <w:t>“Looking ahead, we are focused on several key catalysts. The highly anticipated FDA decision around the approval of KarXT, which is expected by Bristol Myers Squibb (“BMS”) in September, would unlock the first in a series of milestone payments to PureTech in the coming years as well as future royalties. We are also very excited about the readout of our Phase 2b trial from our Internal Program, LYT-100 (deupirfenidone), which is expected by the end of 2024. We believe LYT-100 has blockbuster potential to transform the treatment landscape for patients with idiopathic pulmonary fibrosis (“IPF”) as the preferred standard of care, driving significant value for PureTech. Additionally, we expect clinical readouts from both the Vor and LYT-200 programs as well as further clinical progress at Seaport and Vedanta.</w:t>
      </w:r>
    </w:p>
    <w:p>
      <w:pPr>
        <w:spacing w:after="0" w:line="67" w:lineRule="exact"/>
        <w:rPr>
          <w:sz w:val="20"/>
          <w:szCs w:val="20"/>
          <w:color w:val="auto"/>
        </w:rPr>
      </w:pPr>
    </w:p>
    <w:p>
      <w:pPr>
        <w:ind w:right="260"/>
        <w:spacing w:after="0" w:line="283" w:lineRule="auto"/>
        <w:rPr>
          <w:sz w:val="20"/>
          <w:szCs w:val="20"/>
          <w:color w:val="auto"/>
        </w:rPr>
      </w:pPr>
      <w:r>
        <w:rPr>
          <w:rFonts w:ascii="Arial" w:cs="Arial" w:eastAsia="Arial" w:hAnsi="Arial"/>
          <w:sz w:val="15"/>
          <w:szCs w:val="15"/>
          <w:color w:val="auto"/>
        </w:rPr>
        <w:t>“With our robust hub-and-spoke drug discovery and development model and strong financial foundation, we believe PureTech is well-positioned to rapidly advance innovative therapeutic candidates to patients, and we remain committed to unlocking and realizing value for our shareholders.”</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color w:val="183964"/>
        </w:rPr>
        <w:t>Webcast and conference call details</w:t>
      </w:r>
    </w:p>
    <w:p>
      <w:pPr>
        <w:spacing w:after="0" w:line="19"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Members of the PureTech management team will host a conference call at 9:00am EDT / 2:00pm BST today, August 28, 2024, to discuss these results. A live webcast and presentation slides will be available on the investors section of PureTech's website under the Events and Presentations tab. To join by phone, please dial:</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United Kingdom (Local): </w:t>
      </w:r>
      <w:r>
        <w:rPr>
          <w:rFonts w:ascii="Arial" w:cs="Arial" w:eastAsia="Arial" w:hAnsi="Arial"/>
          <w:sz w:val="15"/>
          <w:szCs w:val="15"/>
          <w:color w:val="auto"/>
        </w:rPr>
        <w:t>+44 20 3936 2999</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United Kingdom (Toll-Free): </w:t>
      </w:r>
      <w:r>
        <w:rPr>
          <w:rFonts w:ascii="Arial" w:cs="Arial" w:eastAsia="Arial" w:hAnsi="Arial"/>
          <w:sz w:val="15"/>
          <w:szCs w:val="15"/>
          <w:color w:val="auto"/>
        </w:rPr>
        <w:t>+44 800 358 1035</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United States (Local): </w:t>
      </w:r>
      <w:r>
        <w:rPr>
          <w:rFonts w:ascii="Arial" w:cs="Arial" w:eastAsia="Arial" w:hAnsi="Arial"/>
          <w:sz w:val="15"/>
          <w:szCs w:val="15"/>
          <w:color w:val="auto"/>
        </w:rPr>
        <w:t>+1 646 664 1960</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United States (Toll Free): </w:t>
      </w:r>
      <w:r>
        <w:rPr>
          <w:rFonts w:ascii="Arial" w:cs="Arial" w:eastAsia="Arial" w:hAnsi="Arial"/>
          <w:sz w:val="15"/>
          <w:szCs w:val="15"/>
          <w:color w:val="auto"/>
        </w:rPr>
        <w:t>+1 855 9796 654</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Access Code:</w:t>
      </w:r>
      <w:r>
        <w:rPr>
          <w:rFonts w:ascii="Arial" w:cs="Arial" w:eastAsia="Arial" w:hAnsi="Arial"/>
          <w:sz w:val="15"/>
          <w:szCs w:val="15"/>
          <w:color w:val="auto"/>
        </w:rPr>
        <w:t> 808029</w:t>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color w:val="auto"/>
        </w:rPr>
        <w:t>For those unable to listen to the call live, a replay will be available on the PureTech website.</w:t>
      </w:r>
    </w:p>
    <w:p>
      <w:pPr>
        <w:sectPr>
          <w:pgSz w:w="11900" w:h="16838" w:orient="portrait"/>
          <w:cols w:equalWidth="0" w:num="1">
            <w:col w:w="11240"/>
          </w:cols>
          <w:pgMar w:left="320" w:top="1245" w:right="339" w:bottom="1440" w:gutter="0" w:footer="0" w:header="0"/>
        </w:sectPr>
      </w:pPr>
    </w:p>
    <w:bookmarkStart w:id="4" w:name="page5"/>
    <w:bookmarkEnd w:id="4"/>
    <w:p>
      <w:pPr>
        <w:spacing w:after="0"/>
        <w:rPr>
          <w:sz w:val="20"/>
          <w:szCs w:val="20"/>
          <w:color w:val="auto"/>
        </w:rPr>
      </w:pPr>
      <w:r>
        <w:rPr>
          <w:rFonts w:ascii="Arial" w:cs="Arial" w:eastAsia="Arial" w:hAnsi="Arial"/>
          <w:sz w:val="31"/>
          <w:szCs w:val="31"/>
          <w:b w:val="1"/>
          <w:bCs w:val="1"/>
          <w:color w:val="183964"/>
        </w:rPr>
        <w:t>Key Internal Programs</w:t>
      </w:r>
      <w:r>
        <w:rPr>
          <w:rFonts w:ascii="Arial" w:cs="Arial" w:eastAsia="Arial" w:hAnsi="Arial"/>
          <w:sz w:val="39"/>
          <w:szCs w:val="39"/>
          <w:b w:val="1"/>
          <w:bCs w:val="1"/>
          <w:color w:val="183964"/>
          <w:vertAlign w:val="superscript"/>
        </w:rPr>
        <w:t>2</w:t>
      </w:r>
      <w:r>
        <w:rPr>
          <w:rFonts w:ascii="Arial" w:cs="Arial" w:eastAsia="Arial" w:hAnsi="Arial"/>
          <w:sz w:val="31"/>
          <w:szCs w:val="31"/>
          <w:b w:val="1"/>
          <w:bCs w:val="1"/>
          <w:color w:val="183964"/>
        </w:rPr>
        <w:t xml:space="preserve"> &amp; Founded Entities</w:t>
      </w:r>
    </w:p>
    <w:p>
      <w:pPr>
        <w:spacing w:after="0" w:line="139" w:lineRule="exact"/>
        <w:rPr>
          <w:sz w:val="20"/>
          <w:szCs w:val="20"/>
          <w:color w:val="auto"/>
        </w:rPr>
      </w:pPr>
    </w:p>
    <w:p>
      <w:pPr>
        <w:ind w:left="20"/>
        <w:spacing w:after="0"/>
        <w:tabs>
          <w:tab w:leader="none" w:pos="2940" w:val="left"/>
          <w:tab w:leader="none" w:pos="6800" w:val="left"/>
        </w:tabs>
        <w:rPr>
          <w:sz w:val="20"/>
          <w:szCs w:val="20"/>
          <w:color w:val="auto"/>
        </w:rPr>
      </w:pPr>
      <w:r>
        <w:rPr>
          <w:rFonts w:ascii="Arial" w:cs="Arial" w:eastAsia="Arial" w:hAnsi="Arial"/>
          <w:sz w:val="13"/>
          <w:szCs w:val="13"/>
          <w:b w:val="1"/>
          <w:bCs w:val="1"/>
          <w:color w:val="auto"/>
        </w:rPr>
        <w:t>Internal Programs</w:t>
      </w:r>
      <w:r>
        <w:rPr>
          <w:sz w:val="20"/>
          <w:szCs w:val="20"/>
          <w:color w:val="auto"/>
        </w:rPr>
        <w:tab/>
      </w:r>
      <w:r>
        <w:rPr>
          <w:rFonts w:ascii="Arial" w:cs="Arial" w:eastAsia="Arial" w:hAnsi="Arial"/>
          <w:sz w:val="13"/>
          <w:szCs w:val="13"/>
          <w:b w:val="1"/>
          <w:bCs w:val="1"/>
          <w:color w:val="auto"/>
        </w:rPr>
        <w:t>Ownership</w:t>
      </w:r>
      <w:r>
        <w:rPr>
          <w:sz w:val="20"/>
          <w:szCs w:val="20"/>
          <w:color w:val="auto"/>
        </w:rPr>
        <w:tab/>
      </w:r>
      <w:r>
        <w:rPr>
          <w:rFonts w:ascii="Arial" w:cs="Arial" w:eastAsia="Arial" w:hAnsi="Arial"/>
          <w:sz w:val="12"/>
          <w:szCs w:val="12"/>
          <w:b w:val="1"/>
          <w:bCs w:val="1"/>
          <w:color w:val="auto"/>
        </w:rPr>
        <w:t>Indication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234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780" w:type="dxa"/>
            <w:vAlign w:val="bottom"/>
          </w:tcPr>
          <w:p>
            <w:pPr>
              <w:ind w:left="20"/>
              <w:spacing w:after="0"/>
              <w:rPr>
                <w:sz w:val="20"/>
                <w:szCs w:val="20"/>
                <w:color w:val="auto"/>
              </w:rPr>
            </w:pPr>
            <w:r>
              <w:rPr>
                <w:rFonts w:ascii="Arial" w:cs="Arial" w:eastAsia="Arial" w:hAnsi="Arial"/>
                <w:sz w:val="15"/>
                <w:szCs w:val="15"/>
                <w:b w:val="1"/>
                <w:bCs w:val="1"/>
                <w:color w:val="auto"/>
              </w:rPr>
              <w:t>LYT-100</w:t>
            </w:r>
          </w:p>
        </w:tc>
        <w:tc>
          <w:tcPr>
            <w:tcW w:w="3900" w:type="dxa"/>
            <w:vAlign w:val="bottom"/>
          </w:tcPr>
          <w:p>
            <w:pPr>
              <w:ind w:left="180"/>
              <w:spacing w:after="0"/>
              <w:rPr>
                <w:sz w:val="20"/>
                <w:szCs w:val="20"/>
                <w:color w:val="auto"/>
              </w:rPr>
            </w:pPr>
            <w:r>
              <w:rPr>
                <w:rFonts w:ascii="Arial" w:cs="Arial" w:eastAsia="Arial" w:hAnsi="Arial"/>
                <w:sz w:val="15"/>
                <w:szCs w:val="15"/>
                <w:color w:val="auto"/>
              </w:rPr>
              <w:t>100%</w:t>
            </w:r>
          </w:p>
        </w:tc>
        <w:tc>
          <w:tcPr>
            <w:tcW w:w="4540" w:type="dxa"/>
            <w:vAlign w:val="bottom"/>
          </w:tcPr>
          <w:p>
            <w:pPr>
              <w:ind w:left="140"/>
              <w:spacing w:after="0"/>
              <w:rPr>
                <w:sz w:val="20"/>
                <w:szCs w:val="20"/>
                <w:color w:val="auto"/>
              </w:rPr>
            </w:pPr>
            <w:r>
              <w:rPr>
                <w:rFonts w:ascii="Arial" w:cs="Arial" w:eastAsia="Arial" w:hAnsi="Arial"/>
                <w:sz w:val="15"/>
                <w:szCs w:val="15"/>
                <w:color w:val="auto"/>
              </w:rPr>
              <w:t>Being advanced for idiopathic pulmonary fibrosis and potentially</w:t>
            </w:r>
          </w:p>
        </w:tc>
      </w:tr>
      <w:tr>
        <w:trPr>
          <w:trHeight w:val="210"/>
        </w:trPr>
        <w:tc>
          <w:tcPr>
            <w:tcW w:w="2780" w:type="dxa"/>
            <w:vAlign w:val="bottom"/>
          </w:tcPr>
          <w:p>
            <w:pPr>
              <w:ind w:left="20"/>
              <w:spacing w:after="0"/>
              <w:rPr>
                <w:sz w:val="20"/>
                <w:szCs w:val="20"/>
                <w:color w:val="auto"/>
              </w:rPr>
            </w:pPr>
            <w:r>
              <w:rPr>
                <w:rFonts w:ascii="Arial" w:cs="Arial" w:eastAsia="Arial" w:hAnsi="Arial"/>
                <w:sz w:val="15"/>
                <w:szCs w:val="15"/>
                <w:b w:val="1"/>
                <w:bCs w:val="1"/>
                <w:color w:val="auto"/>
              </w:rPr>
              <w:t>(deupirfenidone)</w:t>
            </w:r>
          </w:p>
        </w:tc>
        <w:tc>
          <w:tcPr>
            <w:tcW w:w="3900" w:type="dxa"/>
            <w:vAlign w:val="bottom"/>
          </w:tcPr>
          <w:p>
            <w:pPr>
              <w:spacing w:after="0"/>
              <w:rPr>
                <w:sz w:val="18"/>
                <w:szCs w:val="18"/>
                <w:color w:val="auto"/>
              </w:rPr>
            </w:pPr>
          </w:p>
        </w:tc>
        <w:tc>
          <w:tcPr>
            <w:tcW w:w="4540" w:type="dxa"/>
            <w:vAlign w:val="bottom"/>
          </w:tcPr>
          <w:p>
            <w:pPr>
              <w:ind w:left="140"/>
              <w:spacing w:after="0"/>
              <w:rPr>
                <w:sz w:val="20"/>
                <w:szCs w:val="20"/>
                <w:color w:val="auto"/>
              </w:rPr>
            </w:pPr>
            <w:r>
              <w:rPr>
                <w:rFonts w:ascii="Arial" w:cs="Arial" w:eastAsia="Arial" w:hAnsi="Arial"/>
                <w:sz w:val="15"/>
                <w:szCs w:val="15"/>
                <w:color w:val="auto"/>
              </w:rPr>
              <w:t>other conditions involving pulmonary fibrosis</w:t>
            </w:r>
          </w:p>
        </w:tc>
      </w:tr>
      <w:tr>
        <w:trPr>
          <w:trHeight w:val="25"/>
        </w:trPr>
        <w:tc>
          <w:tcPr>
            <w:tcW w:w="2780" w:type="dxa"/>
            <w:vAlign w:val="bottom"/>
            <w:tcBorders>
              <w:bottom w:val="single" w:sz="8" w:color="183964"/>
            </w:tcBorders>
          </w:tcPr>
          <w:p>
            <w:pPr>
              <w:spacing w:after="0"/>
              <w:rPr>
                <w:sz w:val="2"/>
                <w:szCs w:val="2"/>
                <w:color w:val="auto"/>
              </w:rPr>
            </w:pPr>
          </w:p>
        </w:tc>
        <w:tc>
          <w:tcPr>
            <w:tcW w:w="3900" w:type="dxa"/>
            <w:vAlign w:val="bottom"/>
            <w:tcBorders>
              <w:bottom w:val="single" w:sz="8" w:color="183964"/>
            </w:tcBorders>
          </w:tcPr>
          <w:p>
            <w:pPr>
              <w:spacing w:after="0"/>
              <w:rPr>
                <w:sz w:val="2"/>
                <w:szCs w:val="2"/>
                <w:color w:val="auto"/>
              </w:rPr>
            </w:pPr>
          </w:p>
        </w:tc>
        <w:tc>
          <w:tcPr>
            <w:tcW w:w="4540" w:type="dxa"/>
            <w:vAlign w:val="bottom"/>
            <w:tcBorders>
              <w:bottom w:val="single" w:sz="8" w:color="183964"/>
            </w:tcBorders>
          </w:tcPr>
          <w:p>
            <w:pPr>
              <w:spacing w:after="0"/>
              <w:rPr>
                <w:sz w:val="2"/>
                <w:szCs w:val="2"/>
                <w:color w:val="auto"/>
              </w:rPr>
            </w:pPr>
          </w:p>
        </w:tc>
      </w:tr>
      <w:tr>
        <w:trPr>
          <w:trHeight w:val="642"/>
        </w:trPr>
        <w:tc>
          <w:tcPr>
            <w:tcW w:w="2780" w:type="dxa"/>
            <w:vAlign w:val="bottom"/>
            <w:tcBorders>
              <w:bottom w:val="single" w:sz="8" w:color="183964"/>
            </w:tcBorders>
          </w:tcPr>
          <w:p>
            <w:pPr>
              <w:ind w:left="20"/>
              <w:spacing w:after="0"/>
              <w:rPr>
                <w:sz w:val="20"/>
                <w:szCs w:val="20"/>
                <w:color w:val="auto"/>
              </w:rPr>
            </w:pPr>
            <w:r>
              <w:rPr>
                <w:rFonts w:ascii="Arial" w:cs="Arial" w:eastAsia="Arial" w:hAnsi="Arial"/>
                <w:sz w:val="13"/>
                <w:szCs w:val="13"/>
                <w:b w:val="1"/>
                <w:bCs w:val="1"/>
                <w:color w:val="auto"/>
              </w:rPr>
              <w:t>Founded Entities</w:t>
            </w:r>
          </w:p>
        </w:tc>
        <w:tc>
          <w:tcPr>
            <w:tcW w:w="3900" w:type="dxa"/>
            <w:vAlign w:val="bottom"/>
            <w:tcBorders>
              <w:bottom w:val="single" w:sz="8" w:color="183964"/>
            </w:tcBorders>
          </w:tcPr>
          <w:p>
            <w:pPr>
              <w:ind w:left="160"/>
              <w:spacing w:after="0"/>
              <w:rPr>
                <w:sz w:val="20"/>
                <w:szCs w:val="20"/>
                <w:color w:val="auto"/>
              </w:rPr>
            </w:pPr>
            <w:r>
              <w:rPr>
                <w:rFonts w:ascii="Arial" w:cs="Arial" w:eastAsia="Arial" w:hAnsi="Arial"/>
                <w:sz w:val="13"/>
                <w:szCs w:val="13"/>
                <w:b w:val="1"/>
                <w:bCs w:val="1"/>
                <w:color w:val="auto"/>
              </w:rPr>
              <w:t>Ownership</w:t>
            </w:r>
            <w:r>
              <w:rPr>
                <w:rFonts w:ascii="Arial" w:cs="Arial" w:eastAsia="Arial" w:hAnsi="Arial"/>
                <w:sz w:val="16"/>
                <w:szCs w:val="16"/>
                <w:b w:val="1"/>
                <w:bCs w:val="1"/>
                <w:color w:val="auto"/>
                <w:vertAlign w:val="superscript"/>
              </w:rPr>
              <w:t>3</w:t>
            </w:r>
          </w:p>
        </w:tc>
        <w:tc>
          <w:tcPr>
            <w:tcW w:w="4540" w:type="dxa"/>
            <w:vAlign w:val="bottom"/>
            <w:tcBorders>
              <w:bottom w:val="single" w:sz="8" w:color="183964"/>
            </w:tcBorders>
          </w:tcPr>
          <w:p>
            <w:pPr>
              <w:ind w:left="120"/>
              <w:spacing w:after="0"/>
              <w:rPr>
                <w:sz w:val="20"/>
                <w:szCs w:val="20"/>
                <w:color w:val="auto"/>
              </w:rPr>
            </w:pPr>
            <w:r>
              <w:rPr>
                <w:rFonts w:ascii="Arial" w:cs="Arial" w:eastAsia="Arial" w:hAnsi="Arial"/>
                <w:sz w:val="13"/>
                <w:szCs w:val="13"/>
                <w:b w:val="1"/>
                <w:bCs w:val="1"/>
                <w:color w:val="auto"/>
              </w:rPr>
              <w:t>Overview</w:t>
            </w:r>
          </w:p>
        </w:tc>
      </w:tr>
      <w:tr>
        <w:trPr>
          <w:trHeight w:val="192"/>
        </w:trPr>
        <w:tc>
          <w:tcPr>
            <w:tcW w:w="2780" w:type="dxa"/>
            <w:vAlign w:val="bottom"/>
          </w:tcPr>
          <w:p>
            <w:pPr>
              <w:ind w:left="20"/>
              <w:spacing w:after="0"/>
              <w:rPr>
                <w:sz w:val="20"/>
                <w:szCs w:val="20"/>
                <w:color w:val="auto"/>
              </w:rPr>
            </w:pPr>
            <w:r>
              <w:rPr>
                <w:rFonts w:ascii="Arial" w:cs="Arial" w:eastAsia="Arial" w:hAnsi="Arial"/>
                <w:sz w:val="15"/>
                <w:szCs w:val="15"/>
                <w:b w:val="1"/>
                <w:bCs w:val="1"/>
                <w:color w:val="auto"/>
              </w:rPr>
              <w:t>Seaport Therapeutics</w:t>
            </w:r>
          </w:p>
        </w:tc>
        <w:tc>
          <w:tcPr>
            <w:tcW w:w="3900" w:type="dxa"/>
            <w:vAlign w:val="bottom"/>
          </w:tcPr>
          <w:p>
            <w:pPr>
              <w:ind w:left="160"/>
              <w:spacing w:after="0"/>
              <w:rPr>
                <w:sz w:val="20"/>
                <w:szCs w:val="20"/>
                <w:color w:val="auto"/>
              </w:rPr>
            </w:pPr>
            <w:r>
              <w:rPr>
                <w:rFonts w:ascii="Arial" w:cs="Arial" w:eastAsia="Arial" w:hAnsi="Arial"/>
                <w:sz w:val="15"/>
                <w:szCs w:val="15"/>
                <w:color w:val="auto"/>
              </w:rPr>
              <w:t>57.7% Equity</w:t>
            </w:r>
          </w:p>
        </w:tc>
        <w:tc>
          <w:tcPr>
            <w:tcW w:w="4540" w:type="dxa"/>
            <w:vAlign w:val="bottom"/>
          </w:tcPr>
          <w:p>
            <w:pPr>
              <w:ind w:left="120"/>
              <w:spacing w:after="0"/>
              <w:rPr>
                <w:sz w:val="20"/>
                <w:szCs w:val="20"/>
                <w:color w:val="auto"/>
              </w:rPr>
            </w:pPr>
            <w:r>
              <w:rPr>
                <w:rFonts w:ascii="Arial" w:cs="Arial" w:eastAsia="Arial" w:hAnsi="Arial"/>
                <w:sz w:val="15"/>
                <w:szCs w:val="15"/>
                <w:color w:val="auto"/>
              </w:rPr>
              <w:t>Advancing a clinical-stage pipeline of neuropsychiatric</w:t>
            </w:r>
          </w:p>
        </w:tc>
      </w:tr>
      <w:tr>
        <w:trPr>
          <w:trHeight w:val="213"/>
        </w:trPr>
        <w:tc>
          <w:tcPr>
            <w:tcW w:w="2780" w:type="dxa"/>
            <w:vAlign w:val="bottom"/>
            <w:tcBorders>
              <w:bottom w:val="single" w:sz="8" w:color="183964"/>
            </w:tcBorders>
          </w:tcPr>
          <w:p>
            <w:pPr>
              <w:spacing w:after="0"/>
              <w:rPr>
                <w:sz w:val="18"/>
                <w:szCs w:val="18"/>
                <w:color w:val="auto"/>
              </w:rPr>
            </w:pPr>
          </w:p>
        </w:tc>
        <w:tc>
          <w:tcPr>
            <w:tcW w:w="3900" w:type="dxa"/>
            <w:vAlign w:val="bottom"/>
            <w:tcBorders>
              <w:bottom w:val="single" w:sz="8" w:color="183964"/>
            </w:tcBorders>
          </w:tcPr>
          <w:p>
            <w:pPr>
              <w:spacing w:after="0"/>
              <w:rPr>
                <w:sz w:val="18"/>
                <w:szCs w:val="18"/>
                <w:color w:val="auto"/>
              </w:rPr>
            </w:pPr>
          </w:p>
        </w:tc>
        <w:tc>
          <w:tcPr>
            <w:tcW w:w="4540" w:type="dxa"/>
            <w:vAlign w:val="bottom"/>
            <w:tcBorders>
              <w:bottom w:val="single" w:sz="8" w:color="183964"/>
            </w:tcBorders>
          </w:tcPr>
          <w:p>
            <w:pPr>
              <w:ind w:left="120"/>
              <w:spacing w:after="0"/>
              <w:rPr>
                <w:sz w:val="20"/>
                <w:szCs w:val="20"/>
                <w:color w:val="auto"/>
              </w:rPr>
            </w:pPr>
            <w:r>
              <w:rPr>
                <w:rFonts w:ascii="Arial" w:cs="Arial" w:eastAsia="Arial" w:hAnsi="Arial"/>
                <w:sz w:val="15"/>
                <w:szCs w:val="15"/>
                <w:color w:val="auto"/>
              </w:rPr>
              <w:t>medicines</w:t>
            </w:r>
          </w:p>
        </w:tc>
      </w:tr>
      <w:tr>
        <w:trPr>
          <w:trHeight w:val="197"/>
        </w:trPr>
        <w:tc>
          <w:tcPr>
            <w:tcW w:w="2780" w:type="dxa"/>
            <w:vAlign w:val="bottom"/>
          </w:tcPr>
          <w:p>
            <w:pPr>
              <w:ind w:left="20"/>
              <w:spacing w:after="0"/>
              <w:rPr>
                <w:sz w:val="20"/>
                <w:szCs w:val="20"/>
                <w:color w:val="auto"/>
              </w:rPr>
            </w:pPr>
            <w:r>
              <w:rPr>
                <w:rFonts w:ascii="Arial" w:cs="Arial" w:eastAsia="Arial" w:hAnsi="Arial"/>
                <w:sz w:val="15"/>
                <w:szCs w:val="15"/>
                <w:b w:val="1"/>
                <w:bCs w:val="1"/>
                <w:color w:val="auto"/>
              </w:rPr>
              <w:t>Karuna Therapeutics</w:t>
            </w:r>
          </w:p>
        </w:tc>
        <w:tc>
          <w:tcPr>
            <w:tcW w:w="3900" w:type="dxa"/>
            <w:vAlign w:val="bottom"/>
          </w:tcPr>
          <w:p>
            <w:pPr>
              <w:ind w:left="160"/>
              <w:spacing w:after="0"/>
              <w:rPr>
                <w:sz w:val="20"/>
                <w:szCs w:val="20"/>
                <w:color w:val="auto"/>
              </w:rPr>
            </w:pPr>
            <w:r>
              <w:rPr>
                <w:rFonts w:ascii="Arial" w:cs="Arial" w:eastAsia="Arial" w:hAnsi="Arial"/>
                <w:sz w:val="15"/>
                <w:szCs w:val="15"/>
                <w:color w:val="auto"/>
              </w:rPr>
              <w:t>Regulatory and commercial milestone payments from</w:t>
            </w:r>
          </w:p>
        </w:tc>
        <w:tc>
          <w:tcPr>
            <w:tcW w:w="4540" w:type="dxa"/>
            <w:vAlign w:val="bottom"/>
          </w:tcPr>
          <w:p>
            <w:pPr>
              <w:ind w:left="120"/>
              <w:spacing w:after="0"/>
              <w:rPr>
                <w:sz w:val="20"/>
                <w:szCs w:val="20"/>
                <w:color w:val="auto"/>
              </w:rPr>
            </w:pPr>
            <w:r>
              <w:rPr>
                <w:rFonts w:ascii="Arial" w:cs="Arial" w:eastAsia="Arial" w:hAnsi="Arial"/>
                <w:sz w:val="15"/>
                <w:szCs w:val="15"/>
                <w:color w:val="auto"/>
              </w:rPr>
              <w:t>Advancing transformative medicines for people living with</w:t>
            </w:r>
          </w:p>
        </w:tc>
      </w:tr>
      <w:tr>
        <w:trPr>
          <w:trHeight w:val="175"/>
        </w:trPr>
        <w:tc>
          <w:tcPr>
            <w:tcW w:w="2780" w:type="dxa"/>
            <w:vAlign w:val="bottom"/>
          </w:tcPr>
          <w:p>
            <w:pPr>
              <w:ind w:left="20"/>
              <w:spacing w:after="0"/>
              <w:rPr>
                <w:sz w:val="20"/>
                <w:szCs w:val="20"/>
                <w:color w:val="auto"/>
              </w:rPr>
            </w:pPr>
            <w:r>
              <w:rPr>
                <w:rFonts w:ascii="Arial" w:cs="Arial" w:eastAsia="Arial" w:hAnsi="Arial"/>
                <w:sz w:val="15"/>
                <w:szCs w:val="15"/>
                <w:b w:val="1"/>
                <w:bCs w:val="1"/>
                <w:color w:val="auto"/>
              </w:rPr>
              <w:t>(wholly owned subsidiary of Bristol</w:t>
            </w:r>
          </w:p>
        </w:tc>
        <w:tc>
          <w:tcPr>
            <w:tcW w:w="3900" w:type="dxa"/>
            <w:vAlign w:val="bottom"/>
          </w:tcPr>
          <w:p>
            <w:pPr>
              <w:ind w:left="160"/>
              <w:spacing w:after="0"/>
              <w:rPr>
                <w:sz w:val="20"/>
                <w:szCs w:val="20"/>
                <w:color w:val="auto"/>
              </w:rPr>
            </w:pPr>
            <w:r>
              <w:rPr>
                <w:rFonts w:ascii="Arial" w:cs="Arial" w:eastAsia="Arial" w:hAnsi="Arial"/>
                <w:sz w:val="15"/>
                <w:szCs w:val="15"/>
                <w:color w:val="auto"/>
              </w:rPr>
              <w:t>Royalty Pharma (up to $400M) and BMS, and 2%</w:t>
            </w:r>
          </w:p>
        </w:tc>
        <w:tc>
          <w:tcPr>
            <w:tcW w:w="4540" w:type="dxa"/>
            <w:vAlign w:val="bottom"/>
          </w:tcPr>
          <w:p>
            <w:pPr>
              <w:ind w:left="120"/>
              <w:spacing w:after="0"/>
              <w:rPr>
                <w:sz w:val="20"/>
                <w:szCs w:val="20"/>
                <w:color w:val="auto"/>
              </w:rPr>
            </w:pPr>
            <w:r>
              <w:rPr>
                <w:rFonts w:ascii="Arial" w:cs="Arial" w:eastAsia="Arial" w:hAnsi="Arial"/>
                <w:sz w:val="15"/>
                <w:szCs w:val="15"/>
                <w:color w:val="auto"/>
              </w:rPr>
              <w:t>psychiatric and neurological conditions</w:t>
            </w:r>
          </w:p>
        </w:tc>
      </w:tr>
      <w:tr>
        <w:trPr>
          <w:trHeight w:val="210"/>
        </w:trPr>
        <w:tc>
          <w:tcPr>
            <w:tcW w:w="2780" w:type="dxa"/>
            <w:vAlign w:val="bottom"/>
          </w:tcPr>
          <w:p>
            <w:pPr>
              <w:ind w:left="20"/>
              <w:spacing w:after="0"/>
              <w:rPr>
                <w:sz w:val="20"/>
                <w:szCs w:val="20"/>
                <w:color w:val="auto"/>
              </w:rPr>
            </w:pPr>
            <w:r>
              <w:rPr>
                <w:rFonts w:ascii="Arial" w:cs="Arial" w:eastAsia="Arial" w:hAnsi="Arial"/>
                <w:sz w:val="15"/>
                <w:szCs w:val="15"/>
                <w:b w:val="1"/>
                <w:bCs w:val="1"/>
                <w:color w:val="auto"/>
              </w:rPr>
              <w:t>Myers Squibb as of March 18, 2024)</w:t>
            </w:r>
          </w:p>
        </w:tc>
        <w:tc>
          <w:tcPr>
            <w:tcW w:w="3900" w:type="dxa"/>
            <w:vAlign w:val="bottom"/>
          </w:tcPr>
          <w:p>
            <w:pPr>
              <w:ind w:left="160"/>
              <w:spacing w:after="0"/>
              <w:rPr>
                <w:sz w:val="20"/>
                <w:szCs w:val="20"/>
                <w:color w:val="auto"/>
              </w:rPr>
            </w:pPr>
            <w:r>
              <w:rPr>
                <w:rFonts w:ascii="Arial" w:cs="Arial" w:eastAsia="Arial" w:hAnsi="Arial"/>
                <w:sz w:val="15"/>
                <w:szCs w:val="15"/>
                <w:color w:val="auto"/>
              </w:rPr>
              <w:t>royalties on annual net sales &gt;$2B from BMS</w:t>
            </w:r>
          </w:p>
        </w:tc>
        <w:tc>
          <w:tcPr>
            <w:tcW w:w="4540" w:type="dxa"/>
            <w:vAlign w:val="bottom"/>
          </w:tcPr>
          <w:p>
            <w:pPr>
              <w:spacing w:after="0"/>
              <w:rPr>
                <w:sz w:val="18"/>
                <w:szCs w:val="18"/>
                <w:color w:val="auto"/>
              </w:rPr>
            </w:pPr>
          </w:p>
        </w:tc>
      </w:tr>
      <w:tr>
        <w:trPr>
          <w:trHeight w:val="25"/>
        </w:trPr>
        <w:tc>
          <w:tcPr>
            <w:tcW w:w="2780" w:type="dxa"/>
            <w:vAlign w:val="bottom"/>
            <w:tcBorders>
              <w:bottom w:val="single" w:sz="8" w:color="183964"/>
            </w:tcBorders>
          </w:tcPr>
          <w:p>
            <w:pPr>
              <w:spacing w:after="0"/>
              <w:rPr>
                <w:sz w:val="2"/>
                <w:szCs w:val="2"/>
                <w:color w:val="auto"/>
              </w:rPr>
            </w:pPr>
          </w:p>
        </w:tc>
        <w:tc>
          <w:tcPr>
            <w:tcW w:w="3900" w:type="dxa"/>
            <w:vAlign w:val="bottom"/>
            <w:tcBorders>
              <w:bottom w:val="single" w:sz="8" w:color="183964"/>
            </w:tcBorders>
          </w:tcPr>
          <w:p>
            <w:pPr>
              <w:spacing w:after="0"/>
              <w:rPr>
                <w:sz w:val="2"/>
                <w:szCs w:val="2"/>
                <w:color w:val="auto"/>
              </w:rPr>
            </w:pPr>
          </w:p>
        </w:tc>
        <w:tc>
          <w:tcPr>
            <w:tcW w:w="4540" w:type="dxa"/>
            <w:vAlign w:val="bottom"/>
            <w:tcBorders>
              <w:bottom w:val="single" w:sz="8" w:color="183964"/>
            </w:tcBorders>
          </w:tcPr>
          <w:p>
            <w:pPr>
              <w:spacing w:after="0"/>
              <w:rPr>
                <w:sz w:val="2"/>
                <w:szCs w:val="2"/>
                <w:color w:val="auto"/>
              </w:rPr>
            </w:pPr>
          </w:p>
        </w:tc>
      </w:tr>
      <w:tr>
        <w:trPr>
          <w:trHeight w:val="192"/>
        </w:trPr>
        <w:tc>
          <w:tcPr>
            <w:tcW w:w="2780" w:type="dxa"/>
            <w:vAlign w:val="bottom"/>
          </w:tcPr>
          <w:p>
            <w:pPr>
              <w:ind w:left="20"/>
              <w:spacing w:after="0"/>
              <w:rPr>
                <w:sz w:val="20"/>
                <w:szCs w:val="20"/>
                <w:color w:val="auto"/>
              </w:rPr>
            </w:pPr>
            <w:r>
              <w:rPr>
                <w:rFonts w:ascii="Arial" w:cs="Arial" w:eastAsia="Arial" w:hAnsi="Arial"/>
                <w:sz w:val="15"/>
                <w:szCs w:val="15"/>
                <w:b w:val="1"/>
                <w:bCs w:val="1"/>
                <w:color w:val="auto"/>
              </w:rPr>
              <w:t>Gallop Oncology</w:t>
            </w:r>
          </w:p>
        </w:tc>
        <w:tc>
          <w:tcPr>
            <w:tcW w:w="3900" w:type="dxa"/>
            <w:vAlign w:val="bottom"/>
          </w:tcPr>
          <w:p>
            <w:pPr>
              <w:ind w:left="160"/>
              <w:spacing w:after="0"/>
              <w:rPr>
                <w:sz w:val="20"/>
                <w:szCs w:val="20"/>
                <w:color w:val="auto"/>
              </w:rPr>
            </w:pPr>
            <w:r>
              <w:rPr>
                <w:rFonts w:ascii="Arial" w:cs="Arial" w:eastAsia="Arial" w:hAnsi="Arial"/>
                <w:sz w:val="15"/>
                <w:szCs w:val="15"/>
                <w:color w:val="auto"/>
              </w:rPr>
              <w:t>100% Equity</w:t>
            </w:r>
          </w:p>
        </w:tc>
        <w:tc>
          <w:tcPr>
            <w:tcW w:w="4540" w:type="dxa"/>
            <w:vAlign w:val="bottom"/>
          </w:tcPr>
          <w:p>
            <w:pPr>
              <w:ind w:left="120"/>
              <w:spacing w:after="0"/>
              <w:rPr>
                <w:sz w:val="20"/>
                <w:szCs w:val="20"/>
                <w:color w:val="auto"/>
              </w:rPr>
            </w:pPr>
            <w:r>
              <w:rPr>
                <w:rFonts w:ascii="Arial" w:cs="Arial" w:eastAsia="Arial" w:hAnsi="Arial"/>
                <w:sz w:val="15"/>
                <w:szCs w:val="15"/>
                <w:color w:val="auto"/>
              </w:rPr>
              <w:t>Pioneering novel therapies for the treatment of hematological</w:t>
            </w:r>
          </w:p>
        </w:tc>
      </w:tr>
      <w:tr>
        <w:trPr>
          <w:trHeight w:val="175"/>
        </w:trPr>
        <w:tc>
          <w:tcPr>
            <w:tcW w:w="278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4540" w:type="dxa"/>
            <w:vAlign w:val="bottom"/>
          </w:tcPr>
          <w:p>
            <w:pPr>
              <w:ind w:left="120"/>
              <w:spacing w:after="0"/>
              <w:rPr>
                <w:sz w:val="20"/>
                <w:szCs w:val="20"/>
                <w:color w:val="auto"/>
              </w:rPr>
            </w:pPr>
            <w:r>
              <w:rPr>
                <w:rFonts w:ascii="Arial" w:cs="Arial" w:eastAsia="Arial" w:hAnsi="Arial"/>
                <w:sz w:val="15"/>
                <w:szCs w:val="15"/>
                <w:color w:val="auto"/>
              </w:rPr>
              <w:t>malignancies, alongside treatments for locally</w:t>
            </w:r>
          </w:p>
        </w:tc>
      </w:tr>
      <w:tr>
        <w:trPr>
          <w:trHeight w:val="189"/>
        </w:trPr>
        <w:tc>
          <w:tcPr>
            <w:tcW w:w="278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4540" w:type="dxa"/>
            <w:vAlign w:val="bottom"/>
          </w:tcPr>
          <w:p>
            <w:pPr>
              <w:ind w:left="120"/>
              <w:spacing w:after="0"/>
              <w:rPr>
                <w:sz w:val="20"/>
                <w:szCs w:val="20"/>
                <w:color w:val="auto"/>
              </w:rPr>
            </w:pPr>
            <w:r>
              <w:rPr>
                <w:rFonts w:ascii="Arial" w:cs="Arial" w:eastAsia="Arial" w:hAnsi="Arial"/>
                <w:sz w:val="15"/>
                <w:szCs w:val="15"/>
                <w:color w:val="auto"/>
              </w:rPr>
              <w:t>advanced/metastatic solid tumors such as head and neck</w:t>
            </w:r>
          </w:p>
        </w:tc>
      </w:tr>
      <w:tr>
        <w:trPr>
          <w:trHeight w:val="213"/>
        </w:trPr>
        <w:tc>
          <w:tcPr>
            <w:tcW w:w="2780" w:type="dxa"/>
            <w:vAlign w:val="bottom"/>
            <w:tcBorders>
              <w:bottom w:val="single" w:sz="8" w:color="183964"/>
            </w:tcBorders>
          </w:tcPr>
          <w:p>
            <w:pPr>
              <w:spacing w:after="0"/>
              <w:rPr>
                <w:sz w:val="18"/>
                <w:szCs w:val="18"/>
                <w:color w:val="auto"/>
              </w:rPr>
            </w:pPr>
          </w:p>
        </w:tc>
        <w:tc>
          <w:tcPr>
            <w:tcW w:w="3900" w:type="dxa"/>
            <w:vAlign w:val="bottom"/>
            <w:tcBorders>
              <w:bottom w:val="single" w:sz="8" w:color="183964"/>
            </w:tcBorders>
          </w:tcPr>
          <w:p>
            <w:pPr>
              <w:spacing w:after="0"/>
              <w:rPr>
                <w:sz w:val="18"/>
                <w:szCs w:val="18"/>
                <w:color w:val="auto"/>
              </w:rPr>
            </w:pPr>
          </w:p>
        </w:tc>
        <w:tc>
          <w:tcPr>
            <w:tcW w:w="4540" w:type="dxa"/>
            <w:vAlign w:val="bottom"/>
            <w:tcBorders>
              <w:bottom w:val="single" w:sz="8" w:color="183964"/>
            </w:tcBorders>
          </w:tcPr>
          <w:p>
            <w:pPr>
              <w:ind w:left="120"/>
              <w:spacing w:after="0"/>
              <w:rPr>
                <w:sz w:val="20"/>
                <w:szCs w:val="20"/>
                <w:color w:val="auto"/>
              </w:rPr>
            </w:pPr>
            <w:r>
              <w:rPr>
                <w:rFonts w:ascii="Arial" w:cs="Arial" w:eastAsia="Arial" w:hAnsi="Arial"/>
                <w:sz w:val="15"/>
                <w:szCs w:val="15"/>
                <w:color w:val="auto"/>
              </w:rPr>
              <w:t>cancers</w:t>
            </w:r>
          </w:p>
        </w:tc>
      </w:tr>
      <w:tr>
        <w:trPr>
          <w:trHeight w:val="199"/>
        </w:trPr>
        <w:tc>
          <w:tcPr>
            <w:tcW w:w="2780" w:type="dxa"/>
            <w:vAlign w:val="bottom"/>
          </w:tcPr>
          <w:p>
            <w:pPr>
              <w:ind w:left="20"/>
              <w:spacing w:after="0"/>
              <w:rPr>
                <w:sz w:val="20"/>
                <w:szCs w:val="20"/>
                <w:color w:val="auto"/>
              </w:rPr>
            </w:pPr>
            <w:r>
              <w:rPr>
                <w:rFonts w:ascii="Arial" w:cs="Arial" w:eastAsia="Arial" w:hAnsi="Arial"/>
                <w:sz w:val="15"/>
                <w:szCs w:val="15"/>
                <w:b w:val="1"/>
                <w:bCs w:val="1"/>
                <w:color w:val="auto"/>
              </w:rPr>
              <w:t>Vedanta Biosciences</w:t>
            </w:r>
          </w:p>
        </w:tc>
        <w:tc>
          <w:tcPr>
            <w:tcW w:w="3900" w:type="dxa"/>
            <w:vAlign w:val="bottom"/>
          </w:tcPr>
          <w:p>
            <w:pPr>
              <w:ind w:left="160"/>
              <w:spacing w:after="0"/>
              <w:rPr>
                <w:sz w:val="20"/>
                <w:szCs w:val="20"/>
                <w:color w:val="auto"/>
              </w:rPr>
            </w:pPr>
            <w:r>
              <w:rPr>
                <w:rFonts w:ascii="Arial" w:cs="Arial" w:eastAsia="Arial" w:hAnsi="Arial"/>
                <w:sz w:val="15"/>
                <w:szCs w:val="15"/>
                <w:color w:val="auto"/>
              </w:rPr>
              <w:t>35.9% Equity</w:t>
            </w:r>
          </w:p>
        </w:tc>
        <w:tc>
          <w:tcPr>
            <w:tcW w:w="4540" w:type="dxa"/>
            <w:vAlign w:val="bottom"/>
          </w:tcPr>
          <w:p>
            <w:pPr>
              <w:ind w:left="120"/>
              <w:spacing w:after="0"/>
              <w:rPr>
                <w:sz w:val="20"/>
                <w:szCs w:val="20"/>
                <w:color w:val="auto"/>
              </w:rPr>
            </w:pPr>
            <w:r>
              <w:rPr>
                <w:rFonts w:ascii="Arial" w:cs="Arial" w:eastAsia="Arial" w:hAnsi="Arial"/>
                <w:sz w:val="15"/>
                <w:szCs w:val="15"/>
                <w:color w:val="auto"/>
              </w:rPr>
              <w:t>Pioneering a new category of oral therapies based on defined</w:t>
            </w:r>
          </w:p>
        </w:tc>
      </w:tr>
      <w:tr>
        <w:trPr>
          <w:trHeight w:val="213"/>
        </w:trPr>
        <w:tc>
          <w:tcPr>
            <w:tcW w:w="2780" w:type="dxa"/>
            <w:vAlign w:val="bottom"/>
            <w:tcBorders>
              <w:bottom w:val="single" w:sz="8" w:color="183964"/>
            </w:tcBorders>
          </w:tcPr>
          <w:p>
            <w:pPr>
              <w:spacing w:after="0"/>
              <w:rPr>
                <w:sz w:val="18"/>
                <w:szCs w:val="18"/>
                <w:color w:val="auto"/>
              </w:rPr>
            </w:pPr>
          </w:p>
        </w:tc>
        <w:tc>
          <w:tcPr>
            <w:tcW w:w="3900" w:type="dxa"/>
            <w:vAlign w:val="bottom"/>
            <w:tcBorders>
              <w:bottom w:val="single" w:sz="8" w:color="183964"/>
            </w:tcBorders>
          </w:tcPr>
          <w:p>
            <w:pPr>
              <w:spacing w:after="0"/>
              <w:rPr>
                <w:sz w:val="18"/>
                <w:szCs w:val="18"/>
                <w:color w:val="auto"/>
              </w:rPr>
            </w:pPr>
          </w:p>
        </w:tc>
        <w:tc>
          <w:tcPr>
            <w:tcW w:w="4540" w:type="dxa"/>
            <w:vAlign w:val="bottom"/>
            <w:tcBorders>
              <w:bottom w:val="single" w:sz="8" w:color="183964"/>
            </w:tcBorders>
          </w:tcPr>
          <w:p>
            <w:pPr>
              <w:ind w:left="120"/>
              <w:spacing w:after="0"/>
              <w:rPr>
                <w:sz w:val="20"/>
                <w:szCs w:val="20"/>
                <w:color w:val="auto"/>
              </w:rPr>
            </w:pPr>
            <w:r>
              <w:rPr>
                <w:rFonts w:ascii="Arial" w:cs="Arial" w:eastAsia="Arial" w:hAnsi="Arial"/>
                <w:sz w:val="15"/>
                <w:szCs w:val="15"/>
                <w:color w:val="auto"/>
              </w:rPr>
              <w:t>bacterial consortia</w:t>
            </w:r>
          </w:p>
        </w:tc>
      </w:tr>
      <w:tr>
        <w:trPr>
          <w:trHeight w:val="199"/>
        </w:trPr>
        <w:tc>
          <w:tcPr>
            <w:tcW w:w="2780" w:type="dxa"/>
            <w:vAlign w:val="bottom"/>
          </w:tcPr>
          <w:p>
            <w:pPr>
              <w:ind w:left="20"/>
              <w:spacing w:after="0"/>
              <w:rPr>
                <w:sz w:val="20"/>
                <w:szCs w:val="20"/>
                <w:color w:val="auto"/>
              </w:rPr>
            </w:pPr>
            <w:r>
              <w:rPr>
                <w:rFonts w:ascii="Arial" w:cs="Arial" w:eastAsia="Arial" w:hAnsi="Arial"/>
                <w:sz w:val="15"/>
                <w:szCs w:val="15"/>
                <w:b w:val="1"/>
                <w:bCs w:val="1"/>
                <w:color w:val="auto"/>
              </w:rPr>
              <w:t>Vor Bio</w:t>
            </w:r>
          </w:p>
        </w:tc>
        <w:tc>
          <w:tcPr>
            <w:tcW w:w="3900" w:type="dxa"/>
            <w:vAlign w:val="bottom"/>
          </w:tcPr>
          <w:p>
            <w:pPr>
              <w:ind w:left="160"/>
              <w:spacing w:after="0"/>
              <w:rPr>
                <w:sz w:val="20"/>
                <w:szCs w:val="20"/>
                <w:color w:val="auto"/>
              </w:rPr>
            </w:pPr>
            <w:r>
              <w:rPr>
                <w:rFonts w:ascii="Arial" w:cs="Arial" w:eastAsia="Arial" w:hAnsi="Arial"/>
                <w:sz w:val="15"/>
                <w:szCs w:val="15"/>
                <w:color w:val="auto"/>
              </w:rPr>
              <w:t>3.9% Equity</w:t>
            </w:r>
          </w:p>
        </w:tc>
        <w:tc>
          <w:tcPr>
            <w:tcW w:w="4540" w:type="dxa"/>
            <w:vAlign w:val="bottom"/>
          </w:tcPr>
          <w:p>
            <w:pPr>
              <w:ind w:left="120"/>
              <w:spacing w:after="0"/>
              <w:rPr>
                <w:sz w:val="20"/>
                <w:szCs w:val="20"/>
                <w:color w:val="auto"/>
              </w:rPr>
            </w:pPr>
            <w:r>
              <w:rPr>
                <w:rFonts w:ascii="Arial" w:cs="Arial" w:eastAsia="Arial" w:hAnsi="Arial"/>
                <w:sz w:val="15"/>
                <w:szCs w:val="15"/>
                <w:color w:val="auto"/>
              </w:rPr>
              <w:t>Engineering hematopoietic stem cells to enable targeted</w:t>
            </w:r>
          </w:p>
        </w:tc>
      </w:tr>
      <w:tr>
        <w:trPr>
          <w:trHeight w:val="213"/>
        </w:trPr>
        <w:tc>
          <w:tcPr>
            <w:tcW w:w="2780" w:type="dxa"/>
            <w:vAlign w:val="bottom"/>
            <w:tcBorders>
              <w:bottom w:val="single" w:sz="8" w:color="183964"/>
            </w:tcBorders>
          </w:tcPr>
          <w:p>
            <w:pPr>
              <w:spacing w:after="0"/>
              <w:rPr>
                <w:sz w:val="18"/>
                <w:szCs w:val="18"/>
                <w:color w:val="auto"/>
              </w:rPr>
            </w:pPr>
          </w:p>
        </w:tc>
        <w:tc>
          <w:tcPr>
            <w:tcW w:w="3900" w:type="dxa"/>
            <w:vAlign w:val="bottom"/>
            <w:tcBorders>
              <w:bottom w:val="single" w:sz="8" w:color="183964"/>
            </w:tcBorders>
          </w:tcPr>
          <w:p>
            <w:pPr>
              <w:spacing w:after="0"/>
              <w:rPr>
                <w:sz w:val="18"/>
                <w:szCs w:val="18"/>
                <w:color w:val="auto"/>
              </w:rPr>
            </w:pPr>
          </w:p>
        </w:tc>
        <w:tc>
          <w:tcPr>
            <w:tcW w:w="4540" w:type="dxa"/>
            <w:vAlign w:val="bottom"/>
            <w:tcBorders>
              <w:bottom w:val="single" w:sz="8" w:color="183964"/>
            </w:tcBorders>
          </w:tcPr>
          <w:p>
            <w:pPr>
              <w:ind w:left="120"/>
              <w:spacing w:after="0"/>
              <w:rPr>
                <w:sz w:val="20"/>
                <w:szCs w:val="20"/>
                <w:color w:val="auto"/>
              </w:rPr>
            </w:pPr>
            <w:r>
              <w:rPr>
                <w:rFonts w:ascii="Arial" w:cs="Arial" w:eastAsia="Arial" w:hAnsi="Arial"/>
                <w:sz w:val="15"/>
                <w:szCs w:val="15"/>
                <w:color w:val="auto"/>
              </w:rPr>
              <w:t>therapies for patients with blood cancers</w:t>
            </w:r>
          </w:p>
        </w:tc>
      </w:tr>
      <w:tr>
        <w:trPr>
          <w:trHeight w:val="199"/>
        </w:trPr>
        <w:tc>
          <w:tcPr>
            <w:tcW w:w="2780" w:type="dxa"/>
            <w:vAlign w:val="bottom"/>
          </w:tcPr>
          <w:p>
            <w:pPr>
              <w:ind w:left="20"/>
              <w:spacing w:after="0"/>
              <w:rPr>
                <w:sz w:val="20"/>
                <w:szCs w:val="20"/>
                <w:color w:val="auto"/>
              </w:rPr>
            </w:pPr>
            <w:r>
              <w:rPr>
                <w:rFonts w:ascii="Arial" w:cs="Arial" w:eastAsia="Arial" w:hAnsi="Arial"/>
                <w:sz w:val="15"/>
                <w:szCs w:val="15"/>
                <w:b w:val="1"/>
                <w:bCs w:val="1"/>
                <w:color w:val="auto"/>
              </w:rPr>
              <w:t>Sonde Health</w:t>
            </w:r>
          </w:p>
        </w:tc>
        <w:tc>
          <w:tcPr>
            <w:tcW w:w="3900" w:type="dxa"/>
            <w:vAlign w:val="bottom"/>
          </w:tcPr>
          <w:p>
            <w:pPr>
              <w:ind w:left="160"/>
              <w:spacing w:after="0"/>
              <w:rPr>
                <w:sz w:val="20"/>
                <w:szCs w:val="20"/>
                <w:color w:val="auto"/>
              </w:rPr>
            </w:pPr>
            <w:r>
              <w:rPr>
                <w:rFonts w:ascii="Arial" w:cs="Arial" w:eastAsia="Arial" w:hAnsi="Arial"/>
                <w:sz w:val="15"/>
                <w:szCs w:val="15"/>
                <w:color w:val="auto"/>
              </w:rPr>
              <w:t>34.9% Equity</w:t>
            </w:r>
          </w:p>
        </w:tc>
        <w:tc>
          <w:tcPr>
            <w:tcW w:w="4540" w:type="dxa"/>
            <w:vAlign w:val="bottom"/>
          </w:tcPr>
          <w:p>
            <w:pPr>
              <w:ind w:left="120"/>
              <w:spacing w:after="0"/>
              <w:rPr>
                <w:sz w:val="20"/>
                <w:szCs w:val="20"/>
                <w:color w:val="auto"/>
              </w:rPr>
            </w:pPr>
            <w:r>
              <w:rPr>
                <w:rFonts w:ascii="Arial" w:cs="Arial" w:eastAsia="Arial" w:hAnsi="Arial"/>
                <w:sz w:val="15"/>
                <w:szCs w:val="15"/>
                <w:color w:val="auto"/>
              </w:rPr>
              <w:t>Developing a voice-based artificial intelligence platform to detect</w:t>
            </w:r>
          </w:p>
        </w:tc>
      </w:tr>
      <w:tr>
        <w:trPr>
          <w:trHeight w:val="213"/>
        </w:trPr>
        <w:tc>
          <w:tcPr>
            <w:tcW w:w="2780" w:type="dxa"/>
            <w:vAlign w:val="bottom"/>
            <w:tcBorders>
              <w:bottom w:val="single" w:sz="8" w:color="183964"/>
            </w:tcBorders>
          </w:tcPr>
          <w:p>
            <w:pPr>
              <w:spacing w:after="0"/>
              <w:rPr>
                <w:sz w:val="18"/>
                <w:szCs w:val="18"/>
                <w:color w:val="auto"/>
              </w:rPr>
            </w:pPr>
          </w:p>
        </w:tc>
        <w:tc>
          <w:tcPr>
            <w:tcW w:w="3900" w:type="dxa"/>
            <w:vAlign w:val="bottom"/>
            <w:tcBorders>
              <w:bottom w:val="single" w:sz="8" w:color="183964"/>
            </w:tcBorders>
          </w:tcPr>
          <w:p>
            <w:pPr>
              <w:spacing w:after="0"/>
              <w:rPr>
                <w:sz w:val="18"/>
                <w:szCs w:val="18"/>
                <w:color w:val="auto"/>
              </w:rPr>
            </w:pPr>
          </w:p>
        </w:tc>
        <w:tc>
          <w:tcPr>
            <w:tcW w:w="4540" w:type="dxa"/>
            <w:vAlign w:val="bottom"/>
            <w:tcBorders>
              <w:bottom w:val="single" w:sz="8" w:color="183964"/>
            </w:tcBorders>
          </w:tcPr>
          <w:p>
            <w:pPr>
              <w:ind w:left="120"/>
              <w:spacing w:after="0"/>
              <w:rPr>
                <w:sz w:val="20"/>
                <w:szCs w:val="20"/>
                <w:color w:val="auto"/>
              </w:rPr>
            </w:pPr>
            <w:r>
              <w:rPr>
                <w:rFonts w:ascii="Arial" w:cs="Arial" w:eastAsia="Arial" w:hAnsi="Arial"/>
                <w:sz w:val="15"/>
                <w:szCs w:val="15"/>
                <w:color w:val="auto"/>
              </w:rPr>
              <w:t>changes in health</w:t>
            </w:r>
          </w:p>
        </w:tc>
      </w:tr>
      <w:tr>
        <w:trPr>
          <w:trHeight w:val="199"/>
        </w:trPr>
        <w:tc>
          <w:tcPr>
            <w:tcW w:w="2780" w:type="dxa"/>
            <w:vAlign w:val="bottom"/>
          </w:tcPr>
          <w:p>
            <w:pPr>
              <w:ind w:left="20"/>
              <w:spacing w:after="0"/>
              <w:rPr>
                <w:sz w:val="20"/>
                <w:szCs w:val="20"/>
                <w:color w:val="auto"/>
              </w:rPr>
            </w:pPr>
            <w:r>
              <w:rPr>
                <w:rFonts w:ascii="Arial" w:cs="Arial" w:eastAsia="Arial" w:hAnsi="Arial"/>
                <w:sz w:val="15"/>
                <w:szCs w:val="15"/>
                <w:b w:val="1"/>
                <w:bCs w:val="1"/>
                <w:color w:val="auto"/>
              </w:rPr>
              <w:t>Entrega</w:t>
            </w:r>
          </w:p>
        </w:tc>
        <w:tc>
          <w:tcPr>
            <w:tcW w:w="3900" w:type="dxa"/>
            <w:vAlign w:val="bottom"/>
          </w:tcPr>
          <w:p>
            <w:pPr>
              <w:ind w:left="160"/>
              <w:spacing w:after="0"/>
              <w:rPr>
                <w:sz w:val="20"/>
                <w:szCs w:val="20"/>
                <w:color w:val="auto"/>
              </w:rPr>
            </w:pPr>
            <w:r>
              <w:rPr>
                <w:rFonts w:ascii="Arial" w:cs="Arial" w:eastAsia="Arial" w:hAnsi="Arial"/>
                <w:sz w:val="15"/>
                <w:szCs w:val="15"/>
                <w:color w:val="auto"/>
              </w:rPr>
              <w:t>73.8% Equity</w:t>
            </w:r>
          </w:p>
        </w:tc>
        <w:tc>
          <w:tcPr>
            <w:tcW w:w="4540" w:type="dxa"/>
            <w:vAlign w:val="bottom"/>
          </w:tcPr>
          <w:p>
            <w:pPr>
              <w:ind w:left="120"/>
              <w:spacing w:after="0"/>
              <w:rPr>
                <w:sz w:val="20"/>
                <w:szCs w:val="20"/>
                <w:color w:val="auto"/>
              </w:rPr>
            </w:pPr>
            <w:r>
              <w:rPr>
                <w:rFonts w:ascii="Arial" w:cs="Arial" w:eastAsia="Arial" w:hAnsi="Arial"/>
                <w:sz w:val="15"/>
                <w:szCs w:val="15"/>
                <w:color w:val="auto"/>
              </w:rPr>
              <w:t>Engineering hydrogels to enable the oral administration of</w:t>
            </w:r>
          </w:p>
        </w:tc>
      </w:tr>
      <w:tr>
        <w:trPr>
          <w:trHeight w:val="213"/>
        </w:trPr>
        <w:tc>
          <w:tcPr>
            <w:tcW w:w="2780" w:type="dxa"/>
            <w:vAlign w:val="bottom"/>
            <w:tcBorders>
              <w:bottom w:val="single" w:sz="8" w:color="183964"/>
            </w:tcBorders>
          </w:tcPr>
          <w:p>
            <w:pPr>
              <w:spacing w:after="0"/>
              <w:rPr>
                <w:sz w:val="18"/>
                <w:szCs w:val="18"/>
                <w:color w:val="auto"/>
              </w:rPr>
            </w:pPr>
          </w:p>
        </w:tc>
        <w:tc>
          <w:tcPr>
            <w:tcW w:w="3900" w:type="dxa"/>
            <w:vAlign w:val="bottom"/>
            <w:tcBorders>
              <w:bottom w:val="single" w:sz="8" w:color="183964"/>
            </w:tcBorders>
          </w:tcPr>
          <w:p>
            <w:pPr>
              <w:spacing w:after="0"/>
              <w:rPr>
                <w:sz w:val="18"/>
                <w:szCs w:val="18"/>
                <w:color w:val="auto"/>
              </w:rPr>
            </w:pPr>
          </w:p>
        </w:tc>
        <w:tc>
          <w:tcPr>
            <w:tcW w:w="4540" w:type="dxa"/>
            <w:vAlign w:val="bottom"/>
            <w:tcBorders>
              <w:bottom w:val="single" w:sz="8" w:color="183964"/>
            </w:tcBorders>
          </w:tcPr>
          <w:p>
            <w:pPr>
              <w:ind w:left="120"/>
              <w:spacing w:after="0"/>
              <w:rPr>
                <w:sz w:val="20"/>
                <w:szCs w:val="20"/>
                <w:color w:val="auto"/>
              </w:rPr>
            </w:pPr>
            <w:r>
              <w:rPr>
                <w:rFonts w:ascii="Arial" w:cs="Arial" w:eastAsia="Arial" w:hAnsi="Arial"/>
                <w:sz w:val="15"/>
                <w:szCs w:val="15"/>
                <w:color w:val="auto"/>
              </w:rPr>
              <w:t>peptide therapeutics (e.g., GLP-1 agonists)</w:t>
            </w:r>
          </w:p>
        </w:tc>
      </w:tr>
    </w:tbl>
    <w:p>
      <w:pPr>
        <w:spacing w:after="0" w:line="164" w:lineRule="exact"/>
        <w:rPr>
          <w:sz w:val="20"/>
          <w:szCs w:val="20"/>
          <w:color w:val="auto"/>
        </w:rPr>
      </w:pPr>
    </w:p>
    <w:p>
      <w:pPr>
        <w:spacing w:after="0"/>
        <w:rPr>
          <w:sz w:val="20"/>
          <w:szCs w:val="20"/>
          <w:color w:val="auto"/>
        </w:rPr>
      </w:pPr>
      <w:r>
        <w:rPr>
          <w:rFonts w:ascii="Arial" w:cs="Arial" w:eastAsia="Arial" w:hAnsi="Arial"/>
          <w:sz w:val="31"/>
          <w:szCs w:val="31"/>
          <w:b w:val="1"/>
          <w:bCs w:val="1"/>
          <w:color w:val="183964"/>
        </w:rPr>
        <w:t>Highlights</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183964"/>
        </w:rPr>
        <w:t>PureTech</w:t>
      </w:r>
    </w:p>
    <w:p>
      <w:pPr>
        <w:spacing w:after="0" w:line="100" w:lineRule="exact"/>
        <w:rPr>
          <w:sz w:val="20"/>
          <w:szCs w:val="20"/>
          <w:color w:val="auto"/>
        </w:rPr>
      </w:pPr>
    </w:p>
    <w:p>
      <w:pPr>
        <w:ind w:left="180" w:hanging="172"/>
        <w:spacing w:after="0"/>
        <w:tabs>
          <w:tab w:leader="none" w:pos="180" w:val="left"/>
        </w:tabs>
        <w:numPr>
          <w:ilvl w:val="0"/>
          <w:numId w:val="1"/>
        </w:numPr>
        <w:rPr>
          <w:rFonts w:ascii="Arial" w:cs="Arial" w:eastAsia="Arial" w:hAnsi="Arial"/>
          <w:sz w:val="15"/>
          <w:szCs w:val="15"/>
          <w:color w:val="auto"/>
        </w:rPr>
      </w:pPr>
      <w:r>
        <w:rPr>
          <w:rFonts w:ascii="Arial" w:cs="Arial" w:eastAsia="Arial" w:hAnsi="Arial"/>
          <w:sz w:val="15"/>
          <w:szCs w:val="15"/>
          <w:color w:val="auto"/>
        </w:rPr>
        <w:t>Completed enrollment of the Phase 2b ELEVATE IPF trial of LYT-100 (deupirfenidone) in IPF, with topline results expected by the end of 2024.</w:t>
      </w:r>
    </w:p>
    <w:p>
      <w:pPr>
        <w:spacing w:after="0" w:line="27" w:lineRule="exact"/>
        <w:rPr>
          <w:rFonts w:ascii="Arial" w:cs="Arial" w:eastAsia="Arial" w:hAnsi="Arial"/>
          <w:sz w:val="15"/>
          <w:szCs w:val="15"/>
          <w:color w:val="auto"/>
        </w:rPr>
      </w:pPr>
    </w:p>
    <w:p>
      <w:pPr>
        <w:ind w:left="220" w:right="340" w:hanging="212"/>
        <w:spacing w:after="0" w:line="253" w:lineRule="auto"/>
        <w:tabs>
          <w:tab w:leader="none" w:pos="191" w:val="left"/>
        </w:tabs>
        <w:numPr>
          <w:ilvl w:val="0"/>
          <w:numId w:val="1"/>
        </w:numPr>
        <w:rPr>
          <w:rFonts w:ascii="Arial" w:cs="Arial" w:eastAsia="Arial" w:hAnsi="Arial"/>
          <w:sz w:val="15"/>
          <w:szCs w:val="15"/>
          <w:color w:val="auto"/>
        </w:rPr>
      </w:pPr>
      <w:r>
        <w:rPr>
          <w:rFonts w:ascii="Arial" w:cs="Arial" w:eastAsia="Arial" w:hAnsi="Arial"/>
          <w:sz w:val="15"/>
          <w:szCs w:val="15"/>
          <w:color w:val="auto"/>
        </w:rPr>
        <w:t>Executed $100 million tender offer, which – together with the Company’s $50 million share buyback program that completed on February 7, 2024 – constituted $150 million of capital returned to shareholders since May 2022.</w:t>
      </w:r>
    </w:p>
    <w:p>
      <w:pPr>
        <w:ind w:left="220" w:hanging="212"/>
        <w:spacing w:after="0" w:line="256" w:lineRule="auto"/>
        <w:tabs>
          <w:tab w:leader="none" w:pos="191" w:val="left"/>
        </w:tabs>
        <w:numPr>
          <w:ilvl w:val="0"/>
          <w:numId w:val="1"/>
        </w:numPr>
        <w:rPr>
          <w:rFonts w:ascii="Arial" w:cs="Arial" w:eastAsia="Arial" w:hAnsi="Arial"/>
          <w:sz w:val="15"/>
          <w:szCs w:val="15"/>
          <w:color w:val="auto"/>
        </w:rPr>
      </w:pPr>
      <w:r>
        <w:rPr>
          <w:rFonts w:ascii="Arial" w:cs="Arial" w:eastAsia="Arial" w:hAnsi="Arial"/>
          <w:sz w:val="15"/>
          <w:szCs w:val="15"/>
          <w:color w:val="auto"/>
        </w:rPr>
        <w:t>Appointed key executives, including Bharatt Chowrira, PhD, JD, as Chief Executive Officer (formerly President and Chief Business, Finance and Operating Officer), Eric Elenko, PhD, as President (formerly Chief Innovation Officer), Charles Sherwood III, JD, as General Counsel, and Raju Kucherlapati, PhD as Chair of the Board of Directors on a permanent basis.</w:t>
      </w:r>
    </w:p>
    <w:p>
      <w:pPr>
        <w:spacing w:after="0" w:line="1" w:lineRule="exact"/>
        <w:rPr>
          <w:rFonts w:ascii="Arial" w:cs="Arial" w:eastAsia="Arial" w:hAnsi="Arial"/>
          <w:sz w:val="15"/>
          <w:szCs w:val="15"/>
          <w:color w:val="auto"/>
        </w:rPr>
      </w:pPr>
    </w:p>
    <w:p>
      <w:pPr>
        <w:ind w:left="220" w:right="280" w:hanging="212"/>
        <w:spacing w:after="0" w:line="251" w:lineRule="auto"/>
        <w:tabs>
          <w:tab w:leader="none" w:pos="191" w:val="left"/>
        </w:tabs>
        <w:numPr>
          <w:ilvl w:val="0"/>
          <w:numId w:val="1"/>
        </w:numPr>
        <w:rPr>
          <w:rFonts w:ascii="Arial" w:cs="Arial" w:eastAsia="Arial" w:hAnsi="Arial"/>
          <w:sz w:val="15"/>
          <w:szCs w:val="15"/>
          <w:color w:val="auto"/>
        </w:rPr>
      </w:pPr>
      <w:r>
        <w:rPr>
          <w:rFonts w:ascii="Arial" w:cs="Arial" w:eastAsia="Arial" w:hAnsi="Arial"/>
          <w:sz w:val="15"/>
          <w:szCs w:val="15"/>
          <w:color w:val="auto"/>
        </w:rPr>
        <w:t>Welcomed two entrepreneurs-in-residence: Sven Dethlefs, PhD, formerly Executive Vice President and CEO of Teva North America, and Luba Greenwood, JD, Managing Partner of the Dana-Farber Cancer Institute Venture Fund, Binney Street Capital, and former Chief Executive Officer and Board Chair of Kojin Therapeutics.</w:t>
      </w:r>
    </w:p>
    <w:p>
      <w:pPr>
        <w:spacing w:after="0" w:line="1" w:lineRule="exact"/>
        <w:rPr>
          <w:rFonts w:ascii="Arial" w:cs="Arial" w:eastAsia="Arial" w:hAnsi="Arial"/>
          <w:sz w:val="15"/>
          <w:szCs w:val="15"/>
          <w:color w:val="auto"/>
        </w:rPr>
      </w:pPr>
    </w:p>
    <w:p>
      <w:pPr>
        <w:ind w:left="220" w:right="540" w:hanging="212"/>
        <w:spacing w:after="0" w:line="282" w:lineRule="auto"/>
        <w:tabs>
          <w:tab w:leader="none" w:pos="191" w:val="left"/>
        </w:tabs>
        <w:numPr>
          <w:ilvl w:val="0"/>
          <w:numId w:val="1"/>
        </w:numPr>
        <w:rPr>
          <w:rFonts w:ascii="Arial" w:cs="Arial" w:eastAsia="Arial" w:hAnsi="Arial"/>
          <w:sz w:val="15"/>
          <w:szCs w:val="15"/>
          <w:color w:val="auto"/>
        </w:rPr>
      </w:pPr>
      <w:r>
        <w:rPr>
          <w:rFonts w:ascii="Arial" w:cs="Arial" w:eastAsia="Arial" w:hAnsi="Arial"/>
          <w:sz w:val="15"/>
          <w:szCs w:val="15"/>
          <w:color w:val="auto"/>
        </w:rPr>
        <w:t>Announced in the August 2024 post-period that Michele Holcomb, PhD, will join PureTech’s Board of Directors as an independent non-executive director on September 23, 2024.</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b w:val="1"/>
          <w:bCs w:val="1"/>
          <w:color w:val="183964"/>
        </w:rPr>
        <w:t>Founded Entities</w:t>
      </w:r>
    </w:p>
    <w:p>
      <w:pPr>
        <w:spacing w:after="0" w:line="98" w:lineRule="exact"/>
        <w:rPr>
          <w:sz w:val="20"/>
          <w:szCs w:val="20"/>
          <w:color w:val="auto"/>
        </w:rPr>
      </w:pPr>
    </w:p>
    <w:p>
      <w:pPr>
        <w:jc w:val="both"/>
        <w:ind w:left="220" w:right="140" w:hanging="212"/>
        <w:spacing w:after="0" w:line="262" w:lineRule="auto"/>
        <w:tabs>
          <w:tab w:leader="none" w:pos="191"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Karuna Therapeuti</w:t>
      </w:r>
      <w:r>
        <w:rPr>
          <w:rFonts w:ascii="Arial" w:cs="Arial" w:eastAsia="Arial" w:hAnsi="Arial"/>
          <w:sz w:val="15"/>
          <w:szCs w:val="15"/>
          <w:color w:val="auto"/>
        </w:rPr>
        <w:t>cs (“Karuna”) was acquired by BMS in March 2024 for a total equity value of $14 billion. PureTech received approximately $293 million gross</w:t>
      </w:r>
      <w:r>
        <w:rPr>
          <w:rFonts w:ascii="Arial" w:cs="Arial" w:eastAsia="Arial" w:hAnsi="Arial"/>
          <w:sz w:val="15"/>
          <w:szCs w:val="15"/>
          <w:b w:val="1"/>
          <w:bCs w:val="1"/>
          <w:color w:val="auto"/>
        </w:rPr>
        <w:t xml:space="preserve"> </w:t>
      </w:r>
      <w:r>
        <w:rPr>
          <w:rFonts w:ascii="Arial" w:cs="Arial" w:eastAsia="Arial" w:hAnsi="Arial"/>
          <w:sz w:val="15"/>
          <w:szCs w:val="15"/>
          <w:color w:val="auto"/>
        </w:rPr>
        <w:t>proceeds from its equity position in Karuna and is eligible to receive up to $400 million in future milestone payments as well as royalty payments based on KarXT regulatory and commercial successes.</w:t>
      </w:r>
    </w:p>
    <w:p>
      <w:pPr>
        <w:spacing w:after="0" w:line="2" w:lineRule="exact"/>
        <w:rPr>
          <w:rFonts w:ascii="Arial" w:cs="Arial" w:eastAsia="Arial" w:hAnsi="Arial"/>
          <w:sz w:val="15"/>
          <w:szCs w:val="15"/>
          <w:b w:val="1"/>
          <w:bCs w:val="1"/>
          <w:color w:val="auto"/>
        </w:rPr>
      </w:pPr>
    </w:p>
    <w:p>
      <w:pPr>
        <w:ind w:left="220" w:right="40" w:hanging="212"/>
        <w:spacing w:after="0" w:line="254" w:lineRule="auto"/>
        <w:tabs>
          <w:tab w:leader="none" w:pos="191" w:val="left"/>
        </w:tabs>
        <w:numPr>
          <w:ilvl w:val="0"/>
          <w:numId w:val="2"/>
        </w:numPr>
        <w:rPr>
          <w:rFonts w:ascii="Arial" w:cs="Arial" w:eastAsia="Arial" w:hAnsi="Arial"/>
          <w:sz w:val="15"/>
          <w:szCs w:val="15"/>
          <w:color w:val="auto"/>
        </w:rPr>
      </w:pPr>
      <w:r>
        <w:rPr>
          <w:rFonts w:ascii="Arial" w:cs="Arial" w:eastAsia="Arial" w:hAnsi="Arial"/>
          <w:sz w:val="15"/>
          <w:szCs w:val="15"/>
          <w:color w:val="auto"/>
        </w:rPr>
        <w:t xml:space="preserve">PureTech launched </w:t>
      </w:r>
      <w:r>
        <w:rPr>
          <w:rFonts w:ascii="Arial" w:cs="Arial" w:eastAsia="Arial" w:hAnsi="Arial"/>
          <w:sz w:val="15"/>
          <w:szCs w:val="15"/>
          <w:b w:val="1"/>
          <w:bCs w:val="1"/>
          <w:color w:val="auto"/>
        </w:rPr>
        <w:t>Seaport Therapeutics</w:t>
      </w:r>
      <w:r>
        <w:rPr>
          <w:rFonts w:ascii="Arial" w:cs="Arial" w:eastAsia="Arial" w:hAnsi="Arial"/>
          <w:sz w:val="15"/>
          <w:szCs w:val="15"/>
          <w:color w:val="auto"/>
        </w:rPr>
        <w:t xml:space="preserve"> (“Seaport”) with a $100 million oversubscribed Series A financing to progress the development of novel neuropsychiatric therapeutic candidates enabled by Glyph™, its novel platform that allows drugs to be absorbed like dietary lipids so they can enter the lymphatic system directly and avoid first pass metabolism. Seaport is led by PureTech Founder and Former CEO and Seaport Founder and CEO Daphne Zohar, with Steven M. Paul, M.D., former CEO and Chair of Karuna, as Founder and Chair of the Seaport Board of Directors.</w:t>
      </w:r>
    </w:p>
    <w:p>
      <w:pPr>
        <w:spacing w:after="0" w:line="1" w:lineRule="exact"/>
        <w:rPr>
          <w:rFonts w:ascii="Arial" w:cs="Arial" w:eastAsia="Arial" w:hAnsi="Arial"/>
          <w:sz w:val="15"/>
          <w:szCs w:val="15"/>
          <w:color w:val="auto"/>
        </w:rPr>
      </w:pPr>
    </w:p>
    <w:p>
      <w:pPr>
        <w:ind w:left="220" w:hanging="212"/>
        <w:spacing w:after="0" w:line="258" w:lineRule="auto"/>
        <w:tabs>
          <w:tab w:leader="none" w:pos="191" w:val="left"/>
        </w:tabs>
        <w:numPr>
          <w:ilvl w:val="0"/>
          <w:numId w:val="2"/>
        </w:numPr>
        <w:rPr>
          <w:rFonts w:ascii="Arial" w:cs="Arial" w:eastAsia="Arial" w:hAnsi="Arial"/>
          <w:sz w:val="15"/>
          <w:szCs w:val="15"/>
          <w:color w:val="auto"/>
        </w:rPr>
      </w:pPr>
      <w:r>
        <w:rPr>
          <w:rFonts w:ascii="Arial" w:cs="Arial" w:eastAsia="Arial" w:hAnsi="Arial"/>
          <w:sz w:val="15"/>
          <w:szCs w:val="15"/>
          <w:color w:val="auto"/>
        </w:rPr>
        <w:t xml:space="preserve">PureTech announced that it will advance LYT-200 (anti-galectin-9 mAb) via </w:t>
      </w:r>
      <w:r>
        <w:rPr>
          <w:rFonts w:ascii="Calibri" w:cs="Calibri" w:eastAsia="Calibri" w:hAnsi="Calibri"/>
          <w:sz w:val="15"/>
          <w:szCs w:val="15"/>
          <w:b w:val="1"/>
          <w:bCs w:val="1"/>
          <w:color w:val="auto"/>
        </w:rPr>
        <w:t>Gallop Oncology</w:t>
      </w:r>
      <w:r>
        <w:rPr>
          <w:rFonts w:ascii="Arial" w:cs="Arial" w:eastAsia="Arial" w:hAnsi="Arial"/>
          <w:sz w:val="15"/>
          <w:szCs w:val="15"/>
          <w:color w:val="auto"/>
        </w:rPr>
        <w:t xml:space="preserve"> (“Gallop”) for the treatment of hematological malignancies, such as acute myeloid leukemia (“AML”) and high-risk myelodysplastic syndromes (“MDS”), and metastatic/locally advanced solid tumors, including head and neck cancers. LYT-200 received two designations from the US Food and Drug Administration (“FDA”): Orphan Drug designation for the treatment of AML and Fast Track designation for the treatment of head and neck cancers.</w:t>
      </w:r>
    </w:p>
    <w:p>
      <w:pPr>
        <w:ind w:left="220" w:right="20" w:hanging="212"/>
        <w:spacing w:after="0" w:line="247" w:lineRule="auto"/>
        <w:tabs>
          <w:tab w:leader="none" w:pos="191" w:val="left"/>
        </w:tabs>
        <w:numPr>
          <w:ilvl w:val="0"/>
          <w:numId w:val="2"/>
        </w:numPr>
        <w:rPr>
          <w:rFonts w:ascii="Arial" w:cs="Arial" w:eastAsia="Arial" w:hAnsi="Arial"/>
          <w:sz w:val="15"/>
          <w:szCs w:val="15"/>
          <w:color w:val="auto"/>
        </w:rPr>
      </w:pPr>
      <w:r>
        <w:rPr>
          <w:rFonts w:ascii="Calibri" w:cs="Calibri" w:eastAsia="Calibri" w:hAnsi="Calibri"/>
          <w:sz w:val="15"/>
          <w:szCs w:val="15"/>
          <w:b w:val="1"/>
          <w:bCs w:val="1"/>
          <w:color w:val="auto"/>
        </w:rPr>
        <w:t xml:space="preserve">Vedanta </w:t>
      </w:r>
      <w:r>
        <w:rPr>
          <w:rFonts w:ascii="Arial" w:cs="Arial" w:eastAsia="Arial" w:hAnsi="Arial"/>
          <w:sz w:val="15"/>
          <w:szCs w:val="15"/>
          <w:b w:val="1"/>
          <w:bCs w:val="1"/>
          <w:color w:val="auto"/>
        </w:rPr>
        <w:t>Biosciences</w:t>
      </w:r>
      <w:r>
        <w:rPr>
          <w:rFonts w:ascii="Calibri" w:cs="Calibri" w:eastAsia="Calibri" w:hAnsi="Calibri"/>
          <w:sz w:val="15"/>
          <w:szCs w:val="15"/>
          <w:b w:val="1"/>
          <w:bCs w:val="1"/>
          <w:color w:val="auto"/>
        </w:rPr>
        <w:t xml:space="preserve"> </w:t>
      </w:r>
      <w:r>
        <w:rPr>
          <w:rFonts w:ascii="Arial" w:cs="Arial" w:eastAsia="Arial" w:hAnsi="Arial"/>
          <w:sz w:val="15"/>
          <w:szCs w:val="15"/>
          <w:color w:val="auto"/>
        </w:rPr>
        <w:t>(“Vedanta”) enrolled the first patient in its pivotal Phase 3 RESTORATiVE303 trial of VE303 for the prevention of recurrent C. difficile infection</w:t>
      </w:r>
      <w:r>
        <w:rPr>
          <w:rFonts w:ascii="Calibri" w:cs="Calibri" w:eastAsia="Calibri" w:hAnsi="Calibri"/>
          <w:sz w:val="15"/>
          <w:szCs w:val="15"/>
          <w:b w:val="1"/>
          <w:bCs w:val="1"/>
          <w:color w:val="auto"/>
        </w:rPr>
        <w:t xml:space="preserve"> </w:t>
      </w:r>
      <w:r>
        <w:rPr>
          <w:rFonts w:ascii="Arial" w:cs="Arial" w:eastAsia="Arial" w:hAnsi="Arial"/>
          <w:sz w:val="15"/>
          <w:szCs w:val="15"/>
          <w:color w:val="auto"/>
        </w:rPr>
        <w:t>(“rCDI”). Vedanta was also awarded $3.9 million from CARB-X to ready VE707 for a first-in-human study for the prevention of multidrug-resistant infections.</w:t>
      </w:r>
    </w:p>
    <w:p>
      <w:pPr>
        <w:spacing w:after="0" w:line="1" w:lineRule="exact"/>
        <w:rPr>
          <w:rFonts w:ascii="Arial" w:cs="Arial" w:eastAsia="Arial" w:hAnsi="Arial"/>
          <w:sz w:val="15"/>
          <w:szCs w:val="15"/>
          <w:color w:val="auto"/>
        </w:rPr>
      </w:pPr>
    </w:p>
    <w:p>
      <w:pPr>
        <w:ind w:left="220" w:right="500" w:hanging="212"/>
        <w:spacing w:after="0" w:line="232" w:lineRule="auto"/>
        <w:tabs>
          <w:tab w:leader="none" w:pos="191"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Vor Biopharma </w:t>
      </w:r>
      <w:r>
        <w:rPr>
          <w:rFonts w:ascii="Arial" w:cs="Arial" w:eastAsia="Arial" w:hAnsi="Arial"/>
          <w:sz w:val="15"/>
          <w:szCs w:val="15"/>
          <w:color w:val="auto"/>
        </w:rPr>
        <w:t>(Nasdaq: VOR) (“Vor”) dosed the first AML patient in VBP301, a Phase 1/2 multicenter, open-label, first-in-human study of VCAR33</w:t>
      </w:r>
      <w:r>
        <w:rPr>
          <w:rFonts w:ascii="Arial" w:cs="Arial" w:eastAsia="Arial" w:hAnsi="Arial"/>
          <w:sz w:val="19"/>
          <w:szCs w:val="19"/>
          <w:color w:val="auto"/>
          <w:vertAlign w:val="superscript"/>
        </w:rPr>
        <w:t>ALLO</w:t>
      </w:r>
      <w:r>
        <w:rPr>
          <w:rFonts w:ascii="Arial" w:cs="Arial" w:eastAsia="Arial" w:hAnsi="Arial"/>
          <w:sz w:val="15"/>
          <w:szCs w:val="15"/>
          <w:b w:val="1"/>
          <w:bCs w:val="1"/>
          <w:color w:val="auto"/>
        </w:rPr>
        <w:t xml:space="preserve"> </w:t>
      </w:r>
      <w:r>
        <w:rPr>
          <w:rFonts w:ascii="Arial" w:cs="Arial" w:eastAsia="Arial" w:hAnsi="Arial"/>
          <w:sz w:val="15"/>
          <w:szCs w:val="15"/>
          <w:color w:val="auto"/>
        </w:rPr>
        <w:t>and</w:t>
      </w:r>
      <w:r>
        <w:rPr>
          <w:rFonts w:ascii="Arial" w:cs="Arial" w:eastAsia="Arial" w:hAnsi="Arial"/>
          <w:sz w:val="15"/>
          <w:szCs w:val="15"/>
          <w:b w:val="1"/>
          <w:bCs w:val="1"/>
          <w:color w:val="auto"/>
        </w:rPr>
        <w:t xml:space="preserve"> </w:t>
      </w:r>
      <w:r>
        <w:rPr>
          <w:rFonts w:ascii="Arial" w:cs="Arial" w:eastAsia="Arial" w:hAnsi="Arial"/>
          <w:sz w:val="15"/>
          <w:szCs w:val="15"/>
          <w:color w:val="auto"/>
        </w:rPr>
        <w:t>announced that it expects to provide a clinical trial update in the second half of 2024.</w:t>
      </w:r>
    </w:p>
    <w:p>
      <w:pPr>
        <w:sectPr>
          <w:pgSz w:w="11900" w:h="16838" w:orient="portrait"/>
          <w:cols w:equalWidth="0" w:num="1">
            <w:col w:w="11220"/>
          </w:cols>
          <w:pgMar w:left="320" w:top="1235" w:right="359" w:bottom="1440" w:gutter="0" w:footer="0" w:header="0"/>
        </w:sectPr>
      </w:pPr>
    </w:p>
    <w:bookmarkStart w:id="5" w:name="page6"/>
    <w:bookmarkEnd w:id="5"/>
    <w:p>
      <w:pPr>
        <w:ind w:left="220" w:right="80" w:hanging="212"/>
        <w:spacing w:after="0" w:line="262" w:lineRule="auto"/>
        <w:tabs>
          <w:tab w:leader="none" w:pos="191"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Sonde Health </w:t>
      </w:r>
      <w:r>
        <w:rPr>
          <w:rFonts w:ascii="Arial" w:cs="Arial" w:eastAsia="Arial" w:hAnsi="Arial"/>
          <w:sz w:val="15"/>
          <w:szCs w:val="15"/>
          <w:color w:val="auto"/>
        </w:rPr>
        <w:t>(“Sonde”) launched Sonde Cognitive Fitness in the July post-period, which analyzes eight vocal characteristics from 30-second voice interactions to</w:t>
      </w:r>
      <w:r>
        <w:rPr>
          <w:rFonts w:ascii="Arial" w:cs="Arial" w:eastAsia="Arial" w:hAnsi="Arial"/>
          <w:sz w:val="15"/>
          <w:szCs w:val="15"/>
          <w:b w:val="1"/>
          <w:bCs w:val="1"/>
          <w:color w:val="auto"/>
        </w:rPr>
        <w:t xml:space="preserve"> </w:t>
      </w:r>
      <w:r>
        <w:rPr>
          <w:rFonts w:ascii="Arial" w:cs="Arial" w:eastAsia="Arial" w:hAnsi="Arial"/>
          <w:sz w:val="15"/>
          <w:szCs w:val="15"/>
          <w:color w:val="auto"/>
        </w:rPr>
        <w:t>provide insight into one’s cognitive state, helping people manage their mental well-being and productivity effectively.</w:t>
      </w:r>
    </w:p>
    <w:p>
      <w:pPr>
        <w:spacing w:after="0" w:line="1" w:lineRule="exact"/>
        <w:rPr>
          <w:rFonts w:ascii="Arial" w:cs="Arial" w:eastAsia="Arial" w:hAnsi="Arial"/>
          <w:sz w:val="15"/>
          <w:szCs w:val="15"/>
          <w:b w:val="1"/>
          <w:bCs w:val="1"/>
          <w:color w:val="auto"/>
        </w:rPr>
      </w:pPr>
    </w:p>
    <w:p>
      <w:pPr>
        <w:jc w:val="both"/>
        <w:ind w:left="220" w:right="120" w:hanging="212"/>
        <w:spacing w:after="0" w:line="265" w:lineRule="auto"/>
        <w:tabs>
          <w:tab w:leader="none" w:pos="191"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Entrega </w:t>
      </w:r>
      <w:r>
        <w:rPr>
          <w:rFonts w:ascii="Arial" w:cs="Arial" w:eastAsia="Arial" w:hAnsi="Arial"/>
          <w:sz w:val="15"/>
          <w:szCs w:val="15"/>
          <w:color w:val="auto"/>
        </w:rPr>
        <w:t>continues to advance its platform for the oral administration of biologics, vaccines and other drugs that are otherwise not efficiently absorbed when taken</w:t>
      </w:r>
      <w:r>
        <w:rPr>
          <w:rFonts w:ascii="Arial" w:cs="Arial" w:eastAsia="Arial" w:hAnsi="Arial"/>
          <w:sz w:val="15"/>
          <w:szCs w:val="15"/>
          <w:b w:val="1"/>
          <w:bCs w:val="1"/>
          <w:color w:val="auto"/>
        </w:rPr>
        <w:t xml:space="preserve"> </w:t>
      </w:r>
      <w:r>
        <w:rPr>
          <w:rFonts w:ascii="Arial" w:cs="Arial" w:eastAsia="Arial" w:hAnsi="Arial"/>
          <w:sz w:val="15"/>
          <w:szCs w:val="15"/>
          <w:color w:val="auto"/>
        </w:rPr>
        <w:t>orally. To validate its technology, Entrega generated preclinical proof-of-concept data demonstrating administration of therapeutic peptides into the bloodstream of large animals.</w:t>
      </w:r>
    </w:p>
    <w:p>
      <w:pPr>
        <w:spacing w:after="0" w:line="125" w:lineRule="exact"/>
        <w:rPr>
          <w:sz w:val="20"/>
          <w:szCs w:val="20"/>
          <w:color w:val="auto"/>
        </w:rPr>
      </w:pPr>
    </w:p>
    <w:p>
      <w:pPr>
        <w:spacing w:after="0"/>
        <w:rPr>
          <w:sz w:val="20"/>
          <w:szCs w:val="20"/>
          <w:color w:val="auto"/>
        </w:rPr>
      </w:pPr>
      <w:r>
        <w:rPr>
          <w:rFonts w:ascii="Arial" w:cs="Arial" w:eastAsia="Arial" w:hAnsi="Arial"/>
          <w:sz w:val="31"/>
          <w:szCs w:val="31"/>
          <w:b w:val="1"/>
          <w:bCs w:val="1"/>
          <w:color w:val="183964"/>
        </w:rPr>
        <w:t>Financial:</w:t>
      </w:r>
    </w:p>
    <w:p>
      <w:pPr>
        <w:spacing w:after="0" w:line="24" w:lineRule="exact"/>
        <w:rPr>
          <w:sz w:val="20"/>
          <w:szCs w:val="20"/>
          <w:color w:val="auto"/>
        </w:rPr>
      </w:pPr>
    </w:p>
    <w:p>
      <w:pPr>
        <w:ind w:left="220" w:right="440" w:hanging="212"/>
        <w:spacing w:after="0" w:line="220" w:lineRule="auto"/>
        <w:tabs>
          <w:tab w:leader="none" w:pos="191" w:val="left"/>
        </w:tabs>
        <w:numPr>
          <w:ilvl w:val="0"/>
          <w:numId w:val="4"/>
        </w:numPr>
        <w:rPr>
          <w:rFonts w:ascii="Arial" w:cs="Arial" w:eastAsia="Arial" w:hAnsi="Arial"/>
          <w:sz w:val="15"/>
          <w:szCs w:val="15"/>
          <w:color w:val="auto"/>
        </w:rPr>
      </w:pPr>
      <w:r>
        <w:rPr>
          <w:rFonts w:ascii="Arial" w:cs="Arial" w:eastAsia="Arial" w:hAnsi="Arial"/>
          <w:sz w:val="15"/>
          <w:szCs w:val="15"/>
          <w:color w:val="auto"/>
        </w:rPr>
        <w:t>Consolidated Cash, cash equivalents and short-term investments as of June 30, 2024, were $500.4 million</w:t>
      </w:r>
      <w:r>
        <w:rPr>
          <w:rFonts w:ascii="Arial" w:cs="Arial" w:eastAsia="Arial" w:hAnsi="Arial"/>
          <w:sz w:val="19"/>
          <w:szCs w:val="19"/>
          <w:color w:val="auto"/>
          <w:vertAlign w:val="superscript"/>
        </w:rPr>
        <w:t>4</w:t>
      </w:r>
      <w:r>
        <w:rPr>
          <w:rFonts w:ascii="Arial" w:cs="Arial" w:eastAsia="Arial" w:hAnsi="Arial"/>
          <w:sz w:val="15"/>
          <w:szCs w:val="15"/>
          <w:color w:val="auto"/>
        </w:rPr>
        <w:t xml:space="preserve"> (December 31, 2023: Consolidated Cash, cash equivalents and short-term investments of $327.1 million) and PureTech Level Cash, cash equivalents and short-term investments as of June 30, 2024, were $400.6 million</w:t>
      </w:r>
      <w:r>
        <w:rPr>
          <w:rFonts w:ascii="Arial" w:cs="Arial" w:eastAsia="Arial" w:hAnsi="Arial"/>
          <w:sz w:val="19"/>
          <w:szCs w:val="19"/>
          <w:color w:val="auto"/>
          <w:vertAlign w:val="superscript"/>
        </w:rPr>
        <w:t>5</w:t>
      </w:r>
      <w:r>
        <w:rPr>
          <w:rFonts w:ascii="Arial" w:cs="Arial" w:eastAsia="Arial" w:hAnsi="Arial"/>
          <w:sz w:val="15"/>
          <w:szCs w:val="15"/>
          <w:color w:val="auto"/>
        </w:rPr>
        <w:t xml:space="preserve"> (December 31, 2023: PureTech Level Cash, cash equivalents and short-term investments of $326.0 million)</w:t>
      </w:r>
    </w:p>
    <w:p>
      <w:pPr>
        <w:ind w:left="180" w:hanging="172"/>
        <w:spacing w:after="0"/>
        <w:tabs>
          <w:tab w:leader="none" w:pos="180" w:val="left"/>
        </w:tabs>
        <w:numPr>
          <w:ilvl w:val="0"/>
          <w:numId w:val="4"/>
        </w:numPr>
        <w:rPr>
          <w:rFonts w:ascii="Arial" w:cs="Arial" w:eastAsia="Arial" w:hAnsi="Arial"/>
          <w:sz w:val="15"/>
          <w:szCs w:val="15"/>
          <w:color w:val="auto"/>
        </w:rPr>
      </w:pPr>
      <w:r>
        <w:rPr>
          <w:rFonts w:ascii="Arial" w:cs="Arial" w:eastAsia="Arial" w:hAnsi="Arial"/>
          <w:sz w:val="15"/>
          <w:szCs w:val="15"/>
          <w:color w:val="auto"/>
        </w:rPr>
        <w:t>Operating expenses for the six months ended June 30, 2024, were $66.7 million (June 30, 2023: $79.3 million).</w:t>
      </w:r>
    </w:p>
    <w:p>
      <w:pPr>
        <w:spacing w:after="0" w:line="3" w:lineRule="exact"/>
        <w:rPr>
          <w:rFonts w:ascii="Arial" w:cs="Arial" w:eastAsia="Arial" w:hAnsi="Arial"/>
          <w:sz w:val="15"/>
          <w:szCs w:val="15"/>
          <w:color w:val="auto"/>
        </w:rPr>
      </w:pPr>
    </w:p>
    <w:p>
      <w:pPr>
        <w:ind w:left="220" w:right="120" w:hanging="212"/>
        <w:spacing w:after="0" w:line="234" w:lineRule="auto"/>
        <w:tabs>
          <w:tab w:leader="none" w:pos="191" w:val="left"/>
        </w:tabs>
        <w:numPr>
          <w:ilvl w:val="0"/>
          <w:numId w:val="4"/>
        </w:numPr>
        <w:rPr>
          <w:rFonts w:ascii="Arial" w:cs="Arial" w:eastAsia="Arial" w:hAnsi="Arial"/>
          <w:sz w:val="15"/>
          <w:szCs w:val="15"/>
          <w:color w:val="auto"/>
        </w:rPr>
      </w:pPr>
      <w:r>
        <w:rPr>
          <w:rFonts w:ascii="Arial" w:cs="Arial" w:eastAsia="Arial" w:hAnsi="Arial"/>
          <w:sz w:val="15"/>
          <w:szCs w:val="15"/>
          <w:color w:val="auto"/>
        </w:rPr>
        <w:t>PureTech expects to have PureTech Level Cash, cash equivalents and short-term investments of approximately $330 million</w:t>
      </w:r>
      <w:r>
        <w:rPr>
          <w:rFonts w:ascii="Arial" w:cs="Arial" w:eastAsia="Arial" w:hAnsi="Arial"/>
          <w:sz w:val="19"/>
          <w:szCs w:val="19"/>
          <w:color w:val="auto"/>
          <w:vertAlign w:val="superscript"/>
        </w:rPr>
        <w:t>6</w:t>
      </w:r>
      <w:r>
        <w:rPr>
          <w:rFonts w:ascii="Arial" w:cs="Arial" w:eastAsia="Arial" w:hAnsi="Arial"/>
          <w:sz w:val="15"/>
          <w:szCs w:val="15"/>
          <w:color w:val="auto"/>
        </w:rPr>
        <w:t xml:space="preserve"> at December 31, 2024, which is inclusive of expected payments of approximately $40 million to address the Company’s tax obligations. As of June 30, 2024, the Company maintains an expected operational runway of at least three years.</w:t>
      </w:r>
    </w:p>
    <w:p>
      <w:pPr>
        <w:spacing w:after="0" w:line="124" w:lineRule="exact"/>
        <w:rPr>
          <w:sz w:val="20"/>
          <w:szCs w:val="20"/>
          <w:color w:val="auto"/>
        </w:rPr>
      </w:pPr>
    </w:p>
    <w:p>
      <w:pPr>
        <w:spacing w:after="0"/>
        <w:rPr>
          <w:sz w:val="20"/>
          <w:szCs w:val="20"/>
          <w:color w:val="auto"/>
        </w:rPr>
      </w:pPr>
      <w:r>
        <w:rPr>
          <w:rFonts w:ascii="Calibri" w:cs="Calibri" w:eastAsia="Calibri" w:hAnsi="Calibri"/>
          <w:sz w:val="31"/>
          <w:szCs w:val="31"/>
          <w:b w:val="1"/>
          <w:bCs w:val="1"/>
          <w:color w:val="183964"/>
        </w:rPr>
        <w:t>Key Upcoming Milestones</w:t>
      </w:r>
    </w:p>
    <w:p>
      <w:pPr>
        <w:spacing w:after="0" w:line="15" w:lineRule="exact"/>
        <w:rPr>
          <w:sz w:val="20"/>
          <w:szCs w:val="20"/>
          <w:color w:val="auto"/>
        </w:rPr>
      </w:pPr>
    </w:p>
    <w:p>
      <w:pPr>
        <w:ind w:left="220" w:right="120" w:hanging="212"/>
        <w:spacing w:after="0" w:line="259" w:lineRule="auto"/>
        <w:tabs>
          <w:tab w:leader="none" w:pos="191" w:val="left"/>
        </w:tabs>
        <w:numPr>
          <w:ilvl w:val="0"/>
          <w:numId w:val="5"/>
        </w:numPr>
        <w:rPr>
          <w:rFonts w:ascii="Arial" w:cs="Arial" w:eastAsia="Arial" w:hAnsi="Arial"/>
          <w:sz w:val="15"/>
          <w:szCs w:val="15"/>
          <w:color w:val="auto"/>
        </w:rPr>
      </w:pPr>
      <w:r>
        <w:rPr>
          <w:rFonts w:ascii="Arial" w:cs="Arial" w:eastAsia="Arial" w:hAnsi="Arial"/>
          <w:sz w:val="15"/>
          <w:szCs w:val="15"/>
          <w:color w:val="auto"/>
        </w:rPr>
        <w:t>PureTech expects topline results from the Phase 2b ELEVATE IPF dose-ranging trial of LYT-100 in patients with IPF by the end of 2024. The trial is designed to evaluate the efficacy, tolerability, safety and dosing regimen of LYT-100 in patients with IPF compared to placebo and will also assess the relative efficacy of two doses of LYT-100. The primary endpoint is the rate of decline in Forced Vital Capacity FVC for the combined LYT-100 arms versus placebo over the 26-week treatment period using a prespecified Bayesian approach. Both doses of LYT-100 will be compared to pirfenidone, though the trial is not powered to show a statistical difference in efficacy between LYT-100 and pirfenidone. We believe LYT-100 has the potential to have a profound impact on the way IPF is managed by allowing patients to start, continue and fully benefit from treatment, both as monotherapy and in combination settings with other antifibrotic therapies.</w:t>
      </w:r>
    </w:p>
    <w:p>
      <w:pPr>
        <w:spacing w:after="0" w:line="1" w:lineRule="exact"/>
        <w:rPr>
          <w:rFonts w:ascii="Arial" w:cs="Arial" w:eastAsia="Arial" w:hAnsi="Arial"/>
          <w:sz w:val="15"/>
          <w:szCs w:val="15"/>
          <w:color w:val="auto"/>
        </w:rPr>
      </w:pPr>
    </w:p>
    <w:p>
      <w:pPr>
        <w:ind w:left="220" w:right="20" w:hanging="212"/>
        <w:spacing w:after="0" w:line="253" w:lineRule="auto"/>
        <w:tabs>
          <w:tab w:leader="none" w:pos="191" w:val="left"/>
        </w:tabs>
        <w:numPr>
          <w:ilvl w:val="0"/>
          <w:numId w:val="5"/>
        </w:numPr>
        <w:rPr>
          <w:rFonts w:ascii="Arial" w:cs="Arial" w:eastAsia="Arial" w:hAnsi="Arial"/>
          <w:sz w:val="15"/>
          <w:szCs w:val="15"/>
          <w:color w:val="auto"/>
        </w:rPr>
      </w:pPr>
      <w:r>
        <w:rPr>
          <w:rFonts w:ascii="Arial" w:cs="Arial" w:eastAsia="Arial" w:hAnsi="Arial"/>
          <w:sz w:val="15"/>
          <w:szCs w:val="15"/>
          <w:color w:val="auto"/>
        </w:rPr>
        <w:t>KarXT (formerly Karuna; now wholly owned by BMS) has a Prescription Drug User Fee Act (“PDUFA”) date of September 26, 2024, for the treatment of schizophrenia in adults, which means the FDA is expected to make a decision regarding the approval of KarXT by this date. If the drug is approved, this would unlock the first in a series of potential milestone payments to PureTech in the coming years as well as future royalties. Pending approval, BMS also announced that KarXT is expected to launch in late 2024.</w:t>
      </w:r>
    </w:p>
    <w:p>
      <w:pPr>
        <w:spacing w:after="0" w:line="1" w:lineRule="exact"/>
        <w:rPr>
          <w:rFonts w:ascii="Arial" w:cs="Arial" w:eastAsia="Arial" w:hAnsi="Arial"/>
          <w:sz w:val="15"/>
          <w:szCs w:val="15"/>
          <w:color w:val="auto"/>
        </w:rPr>
      </w:pPr>
    </w:p>
    <w:p>
      <w:pPr>
        <w:ind w:left="220" w:right="40" w:hanging="212"/>
        <w:spacing w:after="0" w:line="256" w:lineRule="auto"/>
        <w:tabs>
          <w:tab w:leader="none" w:pos="191" w:val="left"/>
        </w:tabs>
        <w:numPr>
          <w:ilvl w:val="0"/>
          <w:numId w:val="5"/>
        </w:numPr>
        <w:rPr>
          <w:rFonts w:ascii="Arial" w:cs="Arial" w:eastAsia="Arial" w:hAnsi="Arial"/>
          <w:sz w:val="15"/>
          <w:szCs w:val="15"/>
          <w:color w:val="auto"/>
        </w:rPr>
      </w:pPr>
      <w:r>
        <w:rPr>
          <w:rFonts w:ascii="Arial" w:cs="Arial" w:eastAsia="Arial" w:hAnsi="Arial"/>
          <w:sz w:val="15"/>
          <w:szCs w:val="15"/>
          <w:color w:val="auto"/>
        </w:rPr>
        <w:t>LYT-200 (which will be advanced via Gallop) is being evaluated in two ongoing Phase 1b clinical trials for the treatment of relapsed/refractory AML and MDS as well as in combination with tislelizumab in head and neck cancers. Additional data from the open label trials are expected in the fourth quarter of 2024 and will help to inform future development work.</w:t>
      </w:r>
    </w:p>
    <w:p>
      <w:pPr>
        <w:spacing w:after="0" w:line="1" w:lineRule="exact"/>
        <w:rPr>
          <w:rFonts w:ascii="Arial" w:cs="Arial" w:eastAsia="Arial" w:hAnsi="Arial"/>
          <w:sz w:val="15"/>
          <w:szCs w:val="15"/>
          <w:color w:val="auto"/>
        </w:rPr>
      </w:pPr>
    </w:p>
    <w:p>
      <w:pPr>
        <w:ind w:left="220" w:right="20" w:hanging="212"/>
        <w:spacing w:after="0" w:line="224" w:lineRule="auto"/>
        <w:tabs>
          <w:tab w:leader="none" w:pos="191" w:val="left"/>
        </w:tabs>
        <w:numPr>
          <w:ilvl w:val="0"/>
          <w:numId w:val="5"/>
        </w:numPr>
        <w:rPr>
          <w:rFonts w:ascii="Arial" w:cs="Arial" w:eastAsia="Arial" w:hAnsi="Arial"/>
          <w:sz w:val="15"/>
          <w:szCs w:val="15"/>
          <w:color w:val="auto"/>
        </w:rPr>
      </w:pPr>
      <w:r>
        <w:rPr>
          <w:rFonts w:ascii="Arial" w:cs="Arial" w:eastAsia="Arial" w:hAnsi="Arial"/>
          <w:sz w:val="15"/>
          <w:szCs w:val="15"/>
          <w:color w:val="auto"/>
        </w:rPr>
        <w:t>Vor expects to provide clinical trial updates for trem-cel and VCAR33</w:t>
      </w:r>
      <w:r>
        <w:rPr>
          <w:rFonts w:ascii="Arial" w:cs="Arial" w:eastAsia="Arial" w:hAnsi="Arial"/>
          <w:sz w:val="19"/>
          <w:szCs w:val="19"/>
          <w:color w:val="auto"/>
          <w:vertAlign w:val="superscript"/>
        </w:rPr>
        <w:t>ALLO</w:t>
      </w:r>
      <w:r>
        <w:rPr>
          <w:rFonts w:ascii="Arial" w:cs="Arial" w:eastAsia="Arial" w:hAnsi="Arial"/>
          <w:sz w:val="15"/>
          <w:szCs w:val="15"/>
          <w:color w:val="auto"/>
        </w:rPr>
        <w:t xml:space="preserve"> in the second half of 2024. Trem-cel is a shielded transplant in development for patients with AML and MDS in which healthy transplant donor cells are genetically engineered removing CD33, with the potential to shield healthy cells and enable targeted therapies post-transplant such as Mylotarg and CAR-T therapy. VCAR33</w:t>
      </w:r>
      <w:r>
        <w:rPr>
          <w:rFonts w:ascii="Arial" w:cs="Arial" w:eastAsia="Arial" w:hAnsi="Arial"/>
          <w:sz w:val="19"/>
          <w:szCs w:val="19"/>
          <w:color w:val="auto"/>
          <w:vertAlign w:val="superscript"/>
        </w:rPr>
        <w:t>ALLO</w:t>
      </w:r>
      <w:r>
        <w:rPr>
          <w:rFonts w:ascii="Arial" w:cs="Arial" w:eastAsia="Arial" w:hAnsi="Arial"/>
          <w:sz w:val="15"/>
          <w:szCs w:val="15"/>
          <w:color w:val="auto"/>
        </w:rPr>
        <w:t xml:space="preserve"> is a transplant donor-derived anti-CD33 CAR-T cell therapy for patients with AML who have relapsed following a standard-of-care or trem-cel transplant.</w:t>
      </w:r>
    </w:p>
    <w:p>
      <w:pPr>
        <w:spacing w:after="0" w:line="1" w:lineRule="exact"/>
        <w:rPr>
          <w:rFonts w:ascii="Arial" w:cs="Arial" w:eastAsia="Arial" w:hAnsi="Arial"/>
          <w:sz w:val="15"/>
          <w:szCs w:val="15"/>
          <w:color w:val="auto"/>
        </w:rPr>
      </w:pPr>
    </w:p>
    <w:p>
      <w:pPr>
        <w:ind w:left="220" w:hanging="212"/>
        <w:spacing w:after="0" w:line="263" w:lineRule="auto"/>
        <w:tabs>
          <w:tab w:leader="none" w:pos="191" w:val="left"/>
        </w:tabs>
        <w:numPr>
          <w:ilvl w:val="0"/>
          <w:numId w:val="5"/>
        </w:numPr>
        <w:rPr>
          <w:rFonts w:ascii="Arial" w:cs="Arial" w:eastAsia="Arial" w:hAnsi="Arial"/>
          <w:sz w:val="15"/>
          <w:szCs w:val="15"/>
          <w:color w:val="auto"/>
        </w:rPr>
      </w:pPr>
      <w:r>
        <w:rPr>
          <w:rFonts w:ascii="Arial" w:cs="Arial" w:eastAsia="Arial" w:hAnsi="Arial"/>
          <w:sz w:val="15"/>
          <w:szCs w:val="15"/>
          <w:color w:val="auto"/>
        </w:rPr>
        <w:t>Vedanta expects topline data from its Phase 3 RESTORATiVE303 trial of VE303 for the prevention of rCDI in 2026. This trial is evaluating the efficacy and safety of VE303 in patients with rCDI and is intended to form the basis for a Biologics License Application (“BLA”) to be filed with the FDA. It also expects topline data from its Phase 2 COLLECTiVE202 clinical trial of VE202 for the treatment of ulcerative colitis (“UC”) in 2025. Vedanta also expects to initiate a Phase 1 trial of VE707 for the prevention of multidrug-resistant infections in 2025.</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183964"/>
        </w:rPr>
        <w:t>About PureTech Health</w:t>
      </w:r>
    </w:p>
    <w:p>
      <w:pPr>
        <w:spacing w:after="0" w:line="19" w:lineRule="exact"/>
        <w:rPr>
          <w:sz w:val="20"/>
          <w:szCs w:val="20"/>
          <w:color w:val="auto"/>
        </w:rPr>
      </w:pPr>
    </w:p>
    <w:p>
      <w:pPr>
        <w:ind w:right="40"/>
        <w:spacing w:after="0" w:line="256" w:lineRule="auto"/>
        <w:rPr>
          <w:sz w:val="20"/>
          <w:szCs w:val="20"/>
          <w:color w:val="auto"/>
        </w:rPr>
      </w:pPr>
      <w:r>
        <w:rPr>
          <w:rFonts w:ascii="Arial" w:cs="Arial" w:eastAsia="Arial" w:hAnsi="Arial"/>
          <w:sz w:val="15"/>
          <w:szCs w:val="15"/>
          <w:color w:val="auto"/>
        </w:rPr>
        <w:t>PureTech is a clinical-stage biotherapeutics company dedicated to giving life to new classes of medicine to change the lives of patients with devastating diseases. The Company has created a broad and deep pipeline through its experienced research and development team and its extensive network of scientists, clinicians and industry leaders that is being advanced both internally and through its Founded Entities. PureTech's R&amp;D engine has resulted in the development of 29 therapeutics and therapeutic candidates, including two that have received both U.S. FDA clearance and European marketing authorization and a third (KarXT) that has been filed for FDA approval. A number of these programs are being advanced by PureTech or its Founded Entities in various indications and stages of clinical development, including registration enabling studies. All of the underlying programs and platforms that resulted in this pipeline of therapeutic candidates were initially identified or discovered and then advanced by the PureTech team through key validation points.</w:t>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color w:val="auto"/>
        </w:rPr>
        <w:t>For more information, visit www.puretechhealth.com or connect with us on X (formerly Twitter) @puretechh.</w:t>
      </w:r>
    </w:p>
    <w:p>
      <w:pPr>
        <w:sectPr>
          <w:pgSz w:w="11900" w:h="16838" w:orient="portrait"/>
          <w:cols w:equalWidth="0" w:num="1">
            <w:col w:w="11240"/>
          </w:cols>
          <w:pgMar w:left="320" w:top="1241" w:right="339" w:bottom="1440" w:gutter="0" w:footer="0" w:header="0"/>
        </w:sectPr>
      </w:pPr>
    </w:p>
    <w:bookmarkStart w:id="6" w:name="page7"/>
    <w:bookmarkEnd w:id="6"/>
    <w:p>
      <w:pPr>
        <w:spacing w:after="0"/>
        <w:rPr>
          <w:sz w:val="20"/>
          <w:szCs w:val="20"/>
          <w:color w:val="auto"/>
        </w:rPr>
      </w:pPr>
      <w:r>
        <w:rPr>
          <w:rFonts w:ascii="Arial" w:cs="Arial" w:eastAsia="Arial" w:hAnsi="Arial"/>
          <w:sz w:val="15"/>
          <w:szCs w:val="15"/>
          <w:b w:val="1"/>
          <w:bCs w:val="1"/>
          <w:color w:val="183964"/>
        </w:rPr>
        <w:t>Cautionary Note Regarding Forward-Looking Statements</w:t>
      </w:r>
    </w:p>
    <w:p>
      <w:pPr>
        <w:spacing w:after="0" w:line="100" w:lineRule="exact"/>
        <w:rPr>
          <w:sz w:val="20"/>
          <w:szCs w:val="20"/>
          <w:color w:val="auto"/>
        </w:rPr>
      </w:pPr>
    </w:p>
    <w:p>
      <w:pPr>
        <w:ind w:right="140"/>
        <w:spacing w:after="0" w:line="260" w:lineRule="auto"/>
        <w:rPr>
          <w:sz w:val="20"/>
          <w:szCs w:val="20"/>
          <w:color w:val="auto"/>
        </w:rPr>
      </w:pPr>
      <w:r>
        <w:rPr>
          <w:rFonts w:ascii="Arial" w:cs="Arial" w:eastAsia="Arial" w:hAnsi="Arial"/>
          <w:sz w:val="15"/>
          <w:szCs w:val="15"/>
          <w:color w:val="auto"/>
        </w:rPr>
        <w:t>This press release contains forward-looking statements within the meaning of the Private Securities Litigation Reform Act of 1995. We intend such forward-looking statements to be covered by the safe harbor provisions for forward looking statements contained in Section 27A of the U.S. Securities Act of 1933, as amended and Section 21E of the Exchange Act of 1934, as amended. All statements contained in this press release that do not relate to matters of historical fact should be considered forward-looking statements, including without limitation, statements that relate to our expectations around our and our Founded Entities’ therapeutic candidates and approach towards addressing major diseases, operational plans, future prospects, objectives, developments, strategies and expectations, the progress and timing of clinical trials and data readouts, the timing of regulatory approvals or clearances from the FDA, our future results of operations and financial outlook, including our anticipated cash runway and our forecasted cash, cash equivalents and short-term investments, and our ability to realize value for our shareholders.</w:t>
      </w:r>
    </w:p>
    <w:p>
      <w:pPr>
        <w:spacing w:after="0" w:line="258" w:lineRule="exact"/>
        <w:rPr>
          <w:sz w:val="20"/>
          <w:szCs w:val="20"/>
          <w:color w:val="auto"/>
        </w:rPr>
      </w:pPr>
    </w:p>
    <w:p>
      <w:pPr>
        <w:spacing w:after="0" w:line="256" w:lineRule="auto"/>
        <w:rPr>
          <w:sz w:val="20"/>
          <w:szCs w:val="20"/>
          <w:color w:val="auto"/>
        </w:rPr>
      </w:pPr>
      <w:r>
        <w:rPr>
          <w:rFonts w:ascii="Arial" w:cs="Arial" w:eastAsia="Arial" w:hAnsi="Arial"/>
          <w:sz w:val="15"/>
          <w:szCs w:val="15"/>
          <w:color w:val="auto"/>
        </w:rPr>
        <w:t>The forward-looking statements are based on current expectations and are subject to known and unknown risks, uncertainties and other important factors that could cause actual results, performance and achievements to differ materially from current expectations, including, but not limited to, the following: our history of incurring significant operating losses since our inception; our ability to realize value from our Founded Entities; our need for additional funding to achieve our business goals, which may not be available and which may force us to delay, limit or terminate certain of our therapeutic development efforts; our limited information about and limited control or influence over our Non-Controlled Founded Entities; the lengthy and expensive process of preclinical and clinical drug development, which has an uncertain outcome and potential for substantial delays; potential difficulties with enrolling patients in clinical trials, which could delay our clinical development activities; side effects, adverse events or other safety risks which could be associated with our therapeutic candidates and delay or halt their clinical development; our ability to obtain regulatory approval for and commercialize our therapeutic candidates; our ability to compete with companies currently marketing or engaged in the development of treatments for indications within our programs are designed to target; our ability to realize the benefits of our collaborations, licenses and other arrangements; the impact of government laws and regulations; our ability to maintain and protect our intellectual property rights; our reliance on third parties, including clinical research organizations, clinical investigators and manufacturers; our vulnerability to natural disasters, global economic factors, geo-political actions and unexpected events; and the risks, uncertainties and other important factors described under the caption "Risk Factors" in our Annual Report on Form 20-F for the year ended December 31, 2023 filed with the SEC and in our other regulatory filings. These forward-looking statements are based on assumptions regarding the present and future business strategies of the Company and the environment in which it will operate in the future. Each forward-looking statement speaks only as at the date of this press release. Except as required by law and regulatory requirements, we disclaim any obligation to update or revise these forward-looking statements, whether as a result of new information, future events or otherwise.</w:t>
      </w:r>
    </w:p>
    <w:p>
      <w:pPr>
        <w:spacing w:after="0" w:line="354" w:lineRule="exact"/>
        <w:rPr>
          <w:sz w:val="20"/>
          <w:szCs w:val="20"/>
          <w:color w:val="auto"/>
        </w:rPr>
      </w:pPr>
    </w:p>
    <w:p>
      <w:pPr>
        <w:ind w:left="220" w:right="60" w:hanging="203"/>
        <w:spacing w:after="0" w:line="288" w:lineRule="auto"/>
        <w:rPr>
          <w:sz w:val="20"/>
          <w:szCs w:val="20"/>
          <w:color w:val="auto"/>
        </w:rPr>
      </w:pPr>
      <w:r>
        <w:rPr>
          <w:rFonts w:ascii="Arial" w:cs="Arial" w:eastAsia="Arial" w:hAnsi="Arial"/>
          <w:sz w:val="10"/>
          <w:szCs w:val="10"/>
          <w:color w:val="183964"/>
        </w:rPr>
        <w:t>1 As of the date of this release, Founded Entities represent companies founded by PureTech in which PureTech maintains ownership of an equity interest and, in certain cases, is eligible to receive sublicense income and royalties on product sales. References to Founded Entities include PureTech’s Seaport Therapeutics, Inc., Gallop Oncology, Inc., Entrega, Inc., Vor Biopharma, Inc., Sonde Health, Inc., Vedanta Biosciences, Inc., for all dates prior to March 18,</w:t>
      </w:r>
    </w:p>
    <w:p>
      <w:pPr>
        <w:spacing w:after="0" w:line="1" w:lineRule="exact"/>
        <w:rPr>
          <w:sz w:val="20"/>
          <w:szCs w:val="20"/>
          <w:color w:val="auto"/>
        </w:rPr>
      </w:pPr>
    </w:p>
    <w:p>
      <w:pPr>
        <w:ind w:left="220" w:right="20"/>
        <w:spacing w:after="0" w:line="267" w:lineRule="auto"/>
        <w:rPr>
          <w:sz w:val="20"/>
          <w:szCs w:val="20"/>
          <w:color w:val="auto"/>
        </w:rPr>
      </w:pPr>
      <w:r>
        <w:rPr>
          <w:rFonts w:ascii="Arial" w:cs="Arial" w:eastAsia="Arial" w:hAnsi="Arial"/>
          <w:sz w:val="10"/>
          <w:szCs w:val="10"/>
          <w:color w:val="183964"/>
        </w:rPr>
        <w:t>2024, Karuna Therapeutics, Inc., for all dates prior to July 2, 2024, Akili Interactive Labs, Inc., for all dates prior to October 30, 2023, Gelesis, Inc., for all dates prior to December 21, 2023, Follica, Incorporated, and for all dates prior to December 18, 2019, resTORbio, Inc. For references and definitions related to PureTech’s Viability Statement, Financial Review, and Financial Statements and related footnotes, please see Footnote 4 to the Consolidated</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1"/>
          <w:szCs w:val="11"/>
          <w:color w:val="183964"/>
        </w:rPr>
        <w:t>Financial Statements.</w:t>
      </w:r>
    </w:p>
    <w:p>
      <w:pPr>
        <w:spacing w:after="0" w:line="29" w:lineRule="exact"/>
        <w:rPr>
          <w:sz w:val="20"/>
          <w:szCs w:val="20"/>
          <w:color w:val="auto"/>
        </w:rPr>
      </w:pPr>
    </w:p>
    <w:p>
      <w:pPr>
        <w:spacing w:after="0"/>
        <w:rPr>
          <w:sz w:val="20"/>
          <w:szCs w:val="20"/>
          <w:color w:val="auto"/>
        </w:rPr>
      </w:pPr>
      <w:r>
        <w:rPr>
          <w:rFonts w:ascii="Arial" w:cs="Arial" w:eastAsia="Arial" w:hAnsi="Arial"/>
          <w:sz w:val="11"/>
          <w:szCs w:val="11"/>
          <w:color w:val="183964"/>
        </w:rPr>
        <w:t>2 Internal Programs represent the Company’s current and future therapeutic candidates and technologies that are wholly owned and have not been announced as a Founded Entity.</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color w:val="183964"/>
        </w:rPr>
        <w:t>3 Founded Entities represent companies founded by PureTech in which PureTech maintains ownership of an equity interest and, in certain cases, is eligible to receive sublicense income and royalties on product sales. Relevant</w:t>
      </w:r>
    </w:p>
    <w:p>
      <w:pPr>
        <w:spacing w:after="0" w:line="15" w:lineRule="exact"/>
        <w:rPr>
          <w:sz w:val="20"/>
          <w:szCs w:val="20"/>
          <w:color w:val="auto"/>
        </w:rPr>
      </w:pPr>
    </w:p>
    <w:p>
      <w:pPr>
        <w:ind w:left="220" w:right="200"/>
        <w:spacing w:after="0" w:line="267" w:lineRule="auto"/>
        <w:rPr>
          <w:sz w:val="20"/>
          <w:szCs w:val="20"/>
          <w:color w:val="auto"/>
        </w:rPr>
      </w:pPr>
      <w:r>
        <w:rPr>
          <w:rFonts w:ascii="Arial" w:cs="Arial" w:eastAsia="Arial" w:hAnsi="Arial"/>
          <w:sz w:val="10"/>
          <w:szCs w:val="10"/>
          <w:color w:val="183964"/>
        </w:rPr>
        <w:t>ownership interests were calculated on a partially diluted basis (as opposed to a voting basis) as of June 30, 2024, including outstanding shares, options and warrants, but excluding unallocated shares authorized to be issued pursuant to equity incentive plans. PureTech controls Seaport Therapeutics, Inc. and Gallop Oncology, Inc. Vor Biopharma ownership was calculated on a beneficial ownership basis in accordance with SEC rules as of August 2,</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1"/>
          <w:szCs w:val="11"/>
          <w:color w:val="183964"/>
        </w:rPr>
        <w:t>2024.</w:t>
      </w:r>
    </w:p>
    <w:p>
      <w:pPr>
        <w:spacing w:after="0" w:line="29" w:lineRule="exact"/>
        <w:rPr>
          <w:sz w:val="20"/>
          <w:szCs w:val="20"/>
          <w:color w:val="auto"/>
        </w:rPr>
      </w:pPr>
    </w:p>
    <w:p>
      <w:pPr>
        <w:ind w:left="220" w:hanging="203"/>
        <w:spacing w:after="0" w:line="281" w:lineRule="auto"/>
        <w:rPr>
          <w:sz w:val="20"/>
          <w:szCs w:val="20"/>
          <w:color w:val="auto"/>
        </w:rPr>
      </w:pPr>
      <w:r>
        <w:rPr>
          <w:rFonts w:ascii="Arial" w:cs="Arial" w:eastAsia="Arial" w:hAnsi="Arial"/>
          <w:sz w:val="11"/>
          <w:szCs w:val="11"/>
          <w:color w:val="183964"/>
        </w:rPr>
        <w:t>4 Cash, cash equivalents and short-term investments as of June 30, 2024, and as of December 31, 2023 held at PureTech Health plc and consolidated subsidiaries. For more information, please see below under the heading "Non-IFRS Financial Information.”</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183964"/>
        </w:rPr>
        <w:t>5 This represents a non-IFRS number and is comprised of Cash, cash equivalents and short-term investments held at PureTech Health plc and our following wholly-owned subsidiaries: PureTech LYT, Inc., PureTech LYT 100, Inc., Alivio</w:t>
      </w:r>
    </w:p>
    <w:p>
      <w:pPr>
        <w:spacing w:after="0" w:line="27" w:lineRule="exact"/>
        <w:rPr>
          <w:sz w:val="20"/>
          <w:szCs w:val="20"/>
          <w:color w:val="auto"/>
        </w:rPr>
      </w:pPr>
    </w:p>
    <w:p>
      <w:pPr>
        <w:ind w:left="220" w:right="300"/>
        <w:spacing w:after="0" w:line="246" w:lineRule="auto"/>
        <w:rPr>
          <w:sz w:val="20"/>
          <w:szCs w:val="20"/>
          <w:color w:val="auto"/>
        </w:rPr>
      </w:pPr>
      <w:r>
        <w:rPr>
          <w:rFonts w:ascii="Arial" w:cs="Arial" w:eastAsia="Arial" w:hAnsi="Arial"/>
          <w:sz w:val="11"/>
          <w:szCs w:val="11"/>
          <w:color w:val="183964"/>
        </w:rPr>
        <w:t>Therapeutics, Inc., PureTech Management, Inc., PureTech Health LLC, PureTech Securities Corp., PureTech Securities II Corp. For a reconciliation of this number to the IFRS equivalent number, please refer to the "Non-IFRS Financial Information” section of this report.</w:t>
      </w:r>
    </w:p>
    <w:p>
      <w:pPr>
        <w:spacing w:after="0" w:line="31" w:lineRule="exact"/>
        <w:rPr>
          <w:sz w:val="20"/>
          <w:szCs w:val="20"/>
          <w:color w:val="auto"/>
        </w:rPr>
      </w:pPr>
    </w:p>
    <w:p>
      <w:pPr>
        <w:ind w:left="220" w:right="180" w:hanging="203"/>
        <w:spacing w:after="0" w:line="274" w:lineRule="auto"/>
        <w:rPr>
          <w:sz w:val="20"/>
          <w:szCs w:val="20"/>
          <w:color w:val="auto"/>
        </w:rPr>
      </w:pPr>
      <w:r>
        <w:rPr>
          <w:rFonts w:ascii="Arial" w:cs="Arial" w:eastAsia="Arial" w:hAnsi="Arial"/>
          <w:sz w:val="10"/>
          <w:szCs w:val="10"/>
          <w:color w:val="183964"/>
        </w:rPr>
        <w:t>6 This represents a non-IFRS number and is comprised of Cash, cash equivalents and short-term investments held at PureTech Health plc and our following wholly-owned owned subsidiaries: PureTech LYT, Inc., PureTech LYT 100, Inc., Alivio Therapeutics, Inc., PureTech Management, Inc., PureTech Health LLC, PureTech Securities Corp, PureTech Securities II. We are not able to provide a reconciliation of this forecasted number to the IFRS equivalent</w:t>
      </w:r>
    </w:p>
    <w:p>
      <w:pPr>
        <w:spacing w:after="0" w:line="1" w:lineRule="exact"/>
        <w:rPr>
          <w:sz w:val="20"/>
          <w:szCs w:val="20"/>
          <w:color w:val="auto"/>
        </w:rPr>
      </w:pPr>
    </w:p>
    <w:p>
      <w:pPr>
        <w:ind w:left="220" w:right="120"/>
        <w:spacing w:after="0" w:line="267" w:lineRule="auto"/>
        <w:rPr>
          <w:sz w:val="20"/>
          <w:szCs w:val="20"/>
          <w:color w:val="auto"/>
        </w:rPr>
      </w:pPr>
      <w:r>
        <w:rPr>
          <w:rFonts w:ascii="Arial" w:cs="Arial" w:eastAsia="Arial" w:hAnsi="Arial"/>
          <w:sz w:val="10"/>
          <w:szCs w:val="10"/>
          <w:color w:val="183964"/>
        </w:rPr>
        <w:t>number because PureTech Level Cash, cash equivalents and Short-term investments as of December 31, 2024, is contingent on upon a number of factors, certain of which cannot be predicted on a forward-looking basis without unreasonable efforts or are not within our control. Actual PureTech Level Cash, Cash Equivalents and Short-term investments as of December 31, 2024, may differ significantly from this projection. This projection does not include</w:t>
      </w:r>
    </w:p>
    <w:p>
      <w:pPr>
        <w:spacing w:after="0" w:line="1" w:lineRule="exact"/>
        <w:rPr>
          <w:sz w:val="20"/>
          <w:szCs w:val="20"/>
          <w:color w:val="auto"/>
        </w:rPr>
      </w:pPr>
    </w:p>
    <w:p>
      <w:pPr>
        <w:ind w:left="220" w:right="140"/>
        <w:spacing w:after="0" w:line="272" w:lineRule="auto"/>
        <w:rPr>
          <w:sz w:val="20"/>
          <w:szCs w:val="20"/>
          <w:color w:val="auto"/>
        </w:rPr>
      </w:pPr>
      <w:r>
        <w:rPr>
          <w:rFonts w:ascii="Arial" w:cs="Arial" w:eastAsia="Arial" w:hAnsi="Arial"/>
          <w:sz w:val="11"/>
          <w:szCs w:val="11"/>
          <w:color w:val="183964"/>
        </w:rPr>
        <w:t>any potential cash inflows that may be received by the Company prior to December 31, 2024, and may be impacted by factors beyond our control, including unanticipated cash expenditures and changes in the value of short-term investments.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b w:val="1"/>
          <w:bCs w:val="1"/>
          <w:color w:val="183964"/>
        </w:rPr>
        <w:t>Non-IFRS Financial Information</w:t>
      </w:r>
    </w:p>
    <w:p>
      <w:pPr>
        <w:spacing w:after="0" w:line="15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Cash flow and liquidity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234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160" w:type="dxa"/>
            <w:vAlign w:val="bottom"/>
          </w:tcPr>
          <w:p>
            <w:pPr>
              <w:ind w:left="20"/>
              <w:spacing w:after="0"/>
              <w:rPr>
                <w:sz w:val="20"/>
                <w:szCs w:val="20"/>
                <w:color w:val="auto"/>
              </w:rPr>
            </w:pPr>
            <w:r>
              <w:rPr>
                <w:rFonts w:ascii="Arial" w:cs="Arial" w:eastAsia="Arial" w:hAnsi="Arial"/>
                <w:sz w:val="15"/>
                <w:szCs w:val="15"/>
                <w:color w:val="auto"/>
              </w:rPr>
              <w:t>PureTech Level cash, cash</w:t>
            </w:r>
          </w:p>
        </w:tc>
        <w:tc>
          <w:tcPr>
            <w:tcW w:w="9060" w:type="dxa"/>
            <w:vAlign w:val="bottom"/>
          </w:tcPr>
          <w:p>
            <w:pPr>
              <w:ind w:left="300"/>
              <w:spacing w:after="0"/>
              <w:rPr>
                <w:sz w:val="20"/>
                <w:szCs w:val="20"/>
                <w:color w:val="auto"/>
              </w:rPr>
            </w:pPr>
            <w:r>
              <w:rPr>
                <w:rFonts w:ascii="Arial" w:cs="Arial" w:eastAsia="Arial" w:hAnsi="Arial"/>
                <w:sz w:val="15"/>
                <w:szCs w:val="15"/>
                <w:b w:val="1"/>
                <w:bCs w:val="1"/>
                <w:color w:val="auto"/>
              </w:rPr>
              <w:t xml:space="preserve">Measure type: </w:t>
            </w:r>
            <w:r>
              <w:rPr>
                <w:rFonts w:ascii="Arial" w:cs="Arial" w:eastAsia="Arial" w:hAnsi="Arial"/>
                <w:sz w:val="15"/>
                <w:szCs w:val="15"/>
                <w:color w:val="auto"/>
              </w:rPr>
              <w:t>Core performance</w:t>
            </w:r>
          </w:p>
        </w:tc>
        <w:tc>
          <w:tcPr>
            <w:tcW w:w="0" w:type="dxa"/>
            <w:vAlign w:val="bottom"/>
          </w:tcPr>
          <w:p>
            <w:pPr>
              <w:spacing w:after="0"/>
              <w:rPr>
                <w:sz w:val="1"/>
                <w:szCs w:val="1"/>
                <w:color w:val="auto"/>
              </w:rPr>
            </w:pPr>
          </w:p>
        </w:tc>
      </w:tr>
      <w:tr>
        <w:trPr>
          <w:trHeight w:val="189"/>
        </w:trPr>
        <w:tc>
          <w:tcPr>
            <w:tcW w:w="2160" w:type="dxa"/>
            <w:vAlign w:val="bottom"/>
          </w:tcPr>
          <w:p>
            <w:pPr>
              <w:ind w:left="20"/>
              <w:spacing w:after="0"/>
              <w:rPr>
                <w:sz w:val="20"/>
                <w:szCs w:val="20"/>
                <w:color w:val="auto"/>
              </w:rPr>
            </w:pPr>
            <w:r>
              <w:rPr>
                <w:rFonts w:ascii="Arial" w:cs="Arial" w:eastAsia="Arial" w:hAnsi="Arial"/>
                <w:sz w:val="15"/>
                <w:szCs w:val="15"/>
                <w:color w:val="auto"/>
              </w:rPr>
              <w:t>equivalents and short-term</w:t>
            </w:r>
          </w:p>
        </w:tc>
        <w:tc>
          <w:tcPr>
            <w:tcW w:w="906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 xml:space="preserve">Definition: </w:t>
            </w:r>
            <w:r>
              <w:rPr>
                <w:rFonts w:ascii="Arial" w:cs="Arial" w:eastAsia="Arial" w:hAnsi="Arial"/>
                <w:sz w:val="15"/>
                <w:szCs w:val="15"/>
                <w:color w:val="auto"/>
              </w:rPr>
              <w:t>Cash and cash equivalents and short-term investments held at PureTech Health plc and our wholly-owned</w:t>
            </w:r>
          </w:p>
        </w:tc>
        <w:tc>
          <w:tcPr>
            <w:tcW w:w="0" w:type="dxa"/>
            <w:vAlign w:val="bottom"/>
          </w:tcPr>
          <w:p>
            <w:pPr>
              <w:spacing w:after="0"/>
              <w:rPr>
                <w:sz w:val="1"/>
                <w:szCs w:val="1"/>
                <w:color w:val="auto"/>
              </w:rPr>
            </w:pPr>
          </w:p>
        </w:tc>
      </w:tr>
      <w:tr>
        <w:trPr>
          <w:trHeight w:val="54"/>
        </w:trPr>
        <w:tc>
          <w:tcPr>
            <w:tcW w:w="2160" w:type="dxa"/>
            <w:vAlign w:val="bottom"/>
            <w:vMerge w:val="restart"/>
          </w:tcPr>
          <w:p>
            <w:pPr>
              <w:ind w:left="20"/>
              <w:spacing w:after="0"/>
              <w:rPr>
                <w:sz w:val="20"/>
                <w:szCs w:val="20"/>
                <w:color w:val="auto"/>
              </w:rPr>
            </w:pPr>
            <w:r>
              <w:rPr>
                <w:rFonts w:ascii="Arial" w:cs="Arial" w:eastAsia="Arial" w:hAnsi="Arial"/>
                <w:sz w:val="15"/>
                <w:szCs w:val="15"/>
                <w:color w:val="auto"/>
              </w:rPr>
              <w:t>investments</w:t>
            </w:r>
          </w:p>
        </w:tc>
        <w:tc>
          <w:tcPr>
            <w:tcW w:w="9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2160" w:type="dxa"/>
            <w:vAlign w:val="bottom"/>
            <w:vMerge w:val="continue"/>
          </w:tcPr>
          <w:p>
            <w:pPr>
              <w:spacing w:after="0"/>
              <w:rPr>
                <w:sz w:val="12"/>
                <w:szCs w:val="12"/>
                <w:color w:val="auto"/>
              </w:rPr>
            </w:pPr>
          </w:p>
        </w:tc>
        <w:tc>
          <w:tcPr>
            <w:tcW w:w="9060" w:type="dxa"/>
            <w:vAlign w:val="bottom"/>
            <w:vMerge w:val="restart"/>
          </w:tcPr>
          <w:p>
            <w:pPr>
              <w:ind w:left="300"/>
              <w:spacing w:after="0"/>
              <w:rPr>
                <w:sz w:val="20"/>
                <w:szCs w:val="20"/>
                <w:color w:val="auto"/>
              </w:rPr>
            </w:pPr>
            <w:r>
              <w:rPr>
                <w:rFonts w:ascii="Arial" w:cs="Arial" w:eastAsia="Arial" w:hAnsi="Arial"/>
                <w:sz w:val="15"/>
                <w:szCs w:val="15"/>
                <w:color w:val="auto"/>
              </w:rPr>
              <w:t>subsidiaries.</w:t>
            </w:r>
          </w:p>
        </w:tc>
        <w:tc>
          <w:tcPr>
            <w:tcW w:w="0" w:type="dxa"/>
            <w:vAlign w:val="bottom"/>
          </w:tcPr>
          <w:p>
            <w:pPr>
              <w:spacing w:after="0"/>
              <w:rPr>
                <w:sz w:val="1"/>
                <w:szCs w:val="1"/>
                <w:color w:val="auto"/>
              </w:rPr>
            </w:pPr>
          </w:p>
        </w:tc>
      </w:tr>
      <w:tr>
        <w:trPr>
          <w:trHeight w:val="54"/>
        </w:trPr>
        <w:tc>
          <w:tcPr>
            <w:tcW w:w="2160" w:type="dxa"/>
            <w:vAlign w:val="bottom"/>
          </w:tcPr>
          <w:p>
            <w:pPr>
              <w:spacing w:after="0"/>
              <w:rPr>
                <w:sz w:val="4"/>
                <w:szCs w:val="4"/>
                <w:color w:val="auto"/>
              </w:rPr>
            </w:pPr>
          </w:p>
        </w:tc>
        <w:tc>
          <w:tcPr>
            <w:tcW w:w="9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2160" w:type="dxa"/>
            <w:vAlign w:val="bottom"/>
          </w:tcPr>
          <w:p>
            <w:pPr>
              <w:spacing w:after="0"/>
              <w:rPr>
                <w:sz w:val="18"/>
                <w:szCs w:val="18"/>
                <w:color w:val="auto"/>
              </w:rPr>
            </w:pPr>
          </w:p>
        </w:tc>
        <w:tc>
          <w:tcPr>
            <w:tcW w:w="9060" w:type="dxa"/>
            <w:vAlign w:val="bottom"/>
          </w:tcPr>
          <w:p>
            <w:pPr>
              <w:ind w:left="300"/>
              <w:spacing w:after="0"/>
              <w:rPr>
                <w:sz w:val="20"/>
                <w:szCs w:val="20"/>
                <w:color w:val="auto"/>
              </w:rPr>
            </w:pPr>
            <w:r>
              <w:rPr>
                <w:rFonts w:ascii="Arial" w:cs="Arial" w:eastAsia="Arial" w:hAnsi="Arial"/>
                <w:sz w:val="15"/>
                <w:szCs w:val="15"/>
                <w:b w:val="1"/>
                <w:bCs w:val="1"/>
                <w:color w:val="auto"/>
              </w:rPr>
              <w:t xml:space="preserve">Why we use it: </w:t>
            </w:r>
            <w:r>
              <w:rPr>
                <w:rFonts w:ascii="Arial" w:cs="Arial" w:eastAsia="Arial" w:hAnsi="Arial"/>
                <w:sz w:val="15"/>
                <w:szCs w:val="15"/>
                <w:color w:val="auto"/>
              </w:rPr>
              <w:t>PureTech Level cash, cash equivalents and short-term investments is a measure that provides valuable</w:t>
            </w:r>
          </w:p>
        </w:tc>
        <w:tc>
          <w:tcPr>
            <w:tcW w:w="0" w:type="dxa"/>
            <w:vAlign w:val="bottom"/>
          </w:tcPr>
          <w:p>
            <w:pPr>
              <w:spacing w:after="0"/>
              <w:rPr>
                <w:sz w:val="1"/>
                <w:szCs w:val="1"/>
                <w:color w:val="auto"/>
              </w:rPr>
            </w:pPr>
          </w:p>
        </w:tc>
      </w:tr>
      <w:tr>
        <w:trPr>
          <w:trHeight w:val="189"/>
        </w:trPr>
        <w:tc>
          <w:tcPr>
            <w:tcW w:w="2160" w:type="dxa"/>
            <w:vAlign w:val="bottom"/>
          </w:tcPr>
          <w:p>
            <w:pPr>
              <w:spacing w:after="0"/>
              <w:rPr>
                <w:sz w:val="16"/>
                <w:szCs w:val="16"/>
                <w:color w:val="auto"/>
              </w:rPr>
            </w:pPr>
          </w:p>
        </w:tc>
        <w:tc>
          <w:tcPr>
            <w:tcW w:w="9060" w:type="dxa"/>
            <w:vAlign w:val="bottom"/>
          </w:tcPr>
          <w:p>
            <w:pPr>
              <w:ind w:left="300"/>
              <w:spacing w:after="0"/>
              <w:rPr>
                <w:sz w:val="20"/>
                <w:szCs w:val="20"/>
                <w:color w:val="auto"/>
              </w:rPr>
            </w:pPr>
            <w:r>
              <w:rPr>
                <w:rFonts w:ascii="Arial" w:cs="Arial" w:eastAsia="Arial" w:hAnsi="Arial"/>
                <w:sz w:val="15"/>
                <w:szCs w:val="15"/>
                <w:color w:val="auto"/>
              </w:rPr>
              <w:t>additional information with respect to cash, cash equivalents and short-term investments available to fund the Wholly-Owned</w:t>
            </w:r>
          </w:p>
        </w:tc>
        <w:tc>
          <w:tcPr>
            <w:tcW w:w="0" w:type="dxa"/>
            <w:vAlign w:val="bottom"/>
          </w:tcPr>
          <w:p>
            <w:pPr>
              <w:spacing w:after="0"/>
              <w:rPr>
                <w:sz w:val="1"/>
                <w:szCs w:val="1"/>
                <w:color w:val="auto"/>
              </w:rPr>
            </w:pPr>
          </w:p>
        </w:tc>
      </w:tr>
      <w:tr>
        <w:trPr>
          <w:trHeight w:val="213"/>
        </w:trPr>
        <w:tc>
          <w:tcPr>
            <w:tcW w:w="2160" w:type="dxa"/>
            <w:vAlign w:val="bottom"/>
            <w:tcBorders>
              <w:bottom w:val="single" w:sz="8" w:color="183964"/>
            </w:tcBorders>
          </w:tcPr>
          <w:p>
            <w:pPr>
              <w:spacing w:after="0"/>
              <w:rPr>
                <w:sz w:val="18"/>
                <w:szCs w:val="18"/>
                <w:color w:val="auto"/>
              </w:rPr>
            </w:pPr>
          </w:p>
        </w:tc>
        <w:tc>
          <w:tcPr>
            <w:tcW w:w="9060" w:type="dxa"/>
            <w:vAlign w:val="bottom"/>
            <w:tcBorders>
              <w:bottom w:val="single" w:sz="8" w:color="183964"/>
            </w:tcBorders>
          </w:tcPr>
          <w:p>
            <w:pPr>
              <w:ind w:left="300"/>
              <w:spacing w:after="0"/>
              <w:rPr>
                <w:sz w:val="20"/>
                <w:szCs w:val="20"/>
                <w:color w:val="auto"/>
              </w:rPr>
            </w:pPr>
            <w:r>
              <w:rPr>
                <w:rFonts w:ascii="Arial" w:cs="Arial" w:eastAsia="Arial" w:hAnsi="Arial"/>
                <w:sz w:val="15"/>
                <w:szCs w:val="15"/>
                <w:color w:val="auto"/>
              </w:rPr>
              <w:t>Programs and make certain investments in Founded Entities.</w:t>
            </w:r>
          </w:p>
        </w:tc>
        <w:tc>
          <w:tcPr>
            <w:tcW w:w="0" w:type="dxa"/>
            <w:vAlign w:val="bottom"/>
          </w:tcPr>
          <w:p>
            <w:pPr>
              <w:spacing w:after="0"/>
              <w:rPr>
                <w:sz w:val="1"/>
                <w:szCs w:val="1"/>
                <w:color w:val="auto"/>
              </w:rPr>
            </w:pPr>
          </w:p>
        </w:tc>
      </w:tr>
    </w:tbl>
    <w:p>
      <w:pPr>
        <w:sectPr>
          <w:pgSz w:w="11900" w:h="16838" w:orient="portrait"/>
          <w:cols w:equalWidth="0" w:num="1">
            <w:col w:w="11220"/>
          </w:cols>
          <w:pgMar w:left="320" w:top="1322" w:right="359" w:bottom="1440" w:gutter="0" w:footer="0" w:header="0"/>
        </w:sectPr>
      </w:pPr>
    </w:p>
    <w:bookmarkStart w:id="7" w:name="page8"/>
    <w:bookmarkEnd w:id="7"/>
    <w:p>
      <w:pPr>
        <w:spacing w:after="0"/>
        <w:rPr>
          <w:sz w:val="20"/>
          <w:szCs w:val="20"/>
          <w:color w:val="auto"/>
        </w:rPr>
      </w:pPr>
      <w:r>
        <w:rPr>
          <w:rFonts w:ascii="Arial" w:cs="Arial" w:eastAsia="Arial" w:hAnsi="Arial"/>
          <w:sz w:val="15"/>
          <w:szCs w:val="15"/>
          <w:b w:val="1"/>
          <w:bCs w:val="1"/>
          <w:color w:val="183964"/>
        </w:rPr>
        <w:t>Non-IFRS Measures Reconciliation</w:t>
      </w:r>
    </w:p>
    <w:p>
      <w:pPr>
        <w:spacing w:after="0" w:line="19" w:lineRule="exact"/>
        <w:rPr>
          <w:sz w:val="20"/>
          <w:szCs w:val="20"/>
          <w:color w:val="auto"/>
        </w:rPr>
      </w:pPr>
    </w:p>
    <w:p>
      <w:pPr>
        <w:ind w:right="140"/>
        <w:spacing w:after="0" w:line="282" w:lineRule="auto"/>
        <w:rPr>
          <w:sz w:val="20"/>
          <w:szCs w:val="20"/>
          <w:color w:val="auto"/>
        </w:rPr>
      </w:pPr>
      <w:r>
        <w:rPr>
          <w:rFonts w:ascii="Arial" w:cs="Arial" w:eastAsia="Arial" w:hAnsi="Arial"/>
          <w:sz w:val="15"/>
          <w:szCs w:val="15"/>
          <w:color w:val="auto"/>
        </w:rPr>
        <w:t>The following is the reconciliation of the amounts appearing in our Condensed Consolidated Statement of Financial Position to the alternative performance measure described above:</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760" w:type="dxa"/>
            <w:vAlign w:val="bottom"/>
          </w:tcPr>
          <w:p>
            <w:pPr>
              <w:ind w:left="20"/>
              <w:spacing w:after="0"/>
              <w:rPr>
                <w:sz w:val="20"/>
                <w:szCs w:val="20"/>
                <w:color w:val="auto"/>
              </w:rPr>
            </w:pPr>
            <w:r>
              <w:rPr>
                <w:rFonts w:ascii="Arial" w:cs="Arial" w:eastAsia="Arial" w:hAnsi="Arial"/>
                <w:sz w:val="13"/>
                <w:szCs w:val="13"/>
                <w:b w:val="1"/>
                <w:bCs w:val="1"/>
                <w:color w:val="auto"/>
              </w:rPr>
              <w:t>(in thousands)</w:t>
            </w:r>
          </w:p>
        </w:tc>
        <w:tc>
          <w:tcPr>
            <w:tcW w:w="2160" w:type="dxa"/>
            <w:vAlign w:val="bottom"/>
          </w:tcPr>
          <w:p>
            <w:pPr>
              <w:spacing w:after="0"/>
              <w:rPr>
                <w:sz w:val="14"/>
                <w:szCs w:val="14"/>
                <w:color w:val="auto"/>
              </w:rPr>
            </w:pPr>
          </w:p>
        </w:tc>
        <w:tc>
          <w:tcPr>
            <w:tcW w:w="2300" w:type="dxa"/>
            <w:vAlign w:val="bottom"/>
            <w:gridSpan w:val="3"/>
          </w:tcPr>
          <w:p>
            <w:pPr>
              <w:jc w:val="right"/>
              <w:spacing w:after="0"/>
              <w:rPr>
                <w:sz w:val="20"/>
                <w:szCs w:val="20"/>
                <w:color w:val="auto"/>
              </w:rPr>
            </w:pPr>
            <w:r>
              <w:rPr>
                <w:rFonts w:ascii="Arial" w:cs="Arial" w:eastAsia="Arial" w:hAnsi="Arial"/>
                <w:sz w:val="13"/>
                <w:szCs w:val="13"/>
                <w:b w:val="1"/>
                <w:bCs w:val="1"/>
                <w:color w:val="auto"/>
              </w:rPr>
              <w:t xml:space="preserve">June 30, 2024   </w:t>
            </w:r>
            <w:r>
              <w:rPr>
                <w:rFonts w:ascii="Arial" w:cs="Arial" w:eastAsia="Arial" w:hAnsi="Arial"/>
                <w:sz w:val="13"/>
                <w:szCs w:val="13"/>
                <w:color w:val="183964"/>
              </w:rPr>
              <w:t>December 31, 2023</w:t>
            </w:r>
          </w:p>
        </w:tc>
      </w:tr>
      <w:tr>
        <w:trPr>
          <w:trHeight w:val="22"/>
        </w:trPr>
        <w:tc>
          <w:tcPr>
            <w:tcW w:w="6760" w:type="dxa"/>
            <w:vAlign w:val="bottom"/>
            <w:tcBorders>
              <w:bottom w:val="single" w:sz="8" w:color="183964"/>
            </w:tcBorders>
          </w:tcPr>
          <w:p>
            <w:pPr>
              <w:spacing w:after="0" w:line="20" w:lineRule="exact"/>
              <w:rPr>
                <w:sz w:val="1"/>
                <w:szCs w:val="1"/>
                <w:color w:val="auto"/>
              </w:rPr>
            </w:pPr>
          </w:p>
        </w:tc>
        <w:tc>
          <w:tcPr>
            <w:tcW w:w="2160" w:type="dxa"/>
            <w:vAlign w:val="bottom"/>
            <w:tcBorders>
              <w:bottom w:val="single" w:sz="8" w:color="183964"/>
            </w:tcBorders>
          </w:tcPr>
          <w:p>
            <w:pPr>
              <w:spacing w:after="0" w:line="20" w:lineRule="exact"/>
              <w:rPr>
                <w:sz w:val="1"/>
                <w:szCs w:val="1"/>
                <w:color w:val="auto"/>
              </w:rPr>
            </w:pPr>
          </w:p>
        </w:tc>
        <w:tc>
          <w:tcPr>
            <w:tcW w:w="1020" w:type="dxa"/>
            <w:vAlign w:val="bottom"/>
            <w:tcBorders>
              <w:bottom w:val="single" w:sz="8" w:color="183964"/>
            </w:tcBorders>
          </w:tcPr>
          <w:p>
            <w:pPr>
              <w:spacing w:after="0" w:line="20" w:lineRule="exact"/>
              <w:rPr>
                <w:sz w:val="1"/>
                <w:szCs w:val="1"/>
                <w:color w:val="auto"/>
              </w:rPr>
            </w:pPr>
          </w:p>
        </w:tc>
        <w:tc>
          <w:tcPr>
            <w:tcW w:w="380" w:type="dxa"/>
            <w:vAlign w:val="bottom"/>
            <w:tcBorders>
              <w:bottom w:val="single" w:sz="8" w:color="183964"/>
            </w:tcBorders>
          </w:tcPr>
          <w:p>
            <w:pPr>
              <w:spacing w:after="0" w:line="20" w:lineRule="exact"/>
              <w:rPr>
                <w:sz w:val="1"/>
                <w:szCs w:val="1"/>
                <w:color w:val="auto"/>
              </w:rPr>
            </w:pPr>
          </w:p>
        </w:tc>
        <w:tc>
          <w:tcPr>
            <w:tcW w:w="900" w:type="dxa"/>
            <w:vAlign w:val="bottom"/>
            <w:tcBorders>
              <w:bottom w:val="single" w:sz="8" w:color="183964"/>
            </w:tcBorders>
          </w:tcPr>
          <w:p>
            <w:pPr>
              <w:spacing w:after="0" w:line="20" w:lineRule="exact"/>
              <w:rPr>
                <w:sz w:val="1"/>
                <w:szCs w:val="1"/>
                <w:color w:val="auto"/>
              </w:rPr>
            </w:pPr>
          </w:p>
        </w:tc>
      </w:tr>
      <w:tr>
        <w:trPr>
          <w:trHeight w:val="212"/>
        </w:trPr>
        <w:tc>
          <w:tcPr>
            <w:tcW w:w="6760" w:type="dxa"/>
            <w:vAlign w:val="bottom"/>
          </w:tcPr>
          <w:p>
            <w:pPr>
              <w:ind w:left="20"/>
              <w:spacing w:after="0"/>
              <w:rPr>
                <w:sz w:val="20"/>
                <w:szCs w:val="20"/>
                <w:color w:val="auto"/>
              </w:rPr>
            </w:pPr>
            <w:r>
              <w:rPr>
                <w:rFonts w:ascii="Arial" w:cs="Arial" w:eastAsia="Arial" w:hAnsi="Arial"/>
                <w:sz w:val="15"/>
                <w:szCs w:val="15"/>
                <w:color w:val="auto"/>
              </w:rPr>
              <w:t>Cash and cash equivalents</w:t>
            </w:r>
          </w:p>
        </w:tc>
        <w:tc>
          <w:tcPr>
            <w:tcW w:w="2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308,478</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183964"/>
              </w:rPr>
              <w:t>191,081</w:t>
            </w:r>
          </w:p>
        </w:tc>
      </w:tr>
      <w:tr>
        <w:trPr>
          <w:trHeight w:val="243"/>
        </w:trPr>
        <w:tc>
          <w:tcPr>
            <w:tcW w:w="6760" w:type="dxa"/>
            <w:vAlign w:val="bottom"/>
          </w:tcPr>
          <w:p>
            <w:pPr>
              <w:ind w:left="20"/>
              <w:spacing w:after="0"/>
              <w:rPr>
                <w:sz w:val="20"/>
                <w:szCs w:val="20"/>
                <w:color w:val="auto"/>
              </w:rPr>
            </w:pPr>
            <w:r>
              <w:rPr>
                <w:rFonts w:ascii="Arial" w:cs="Arial" w:eastAsia="Arial" w:hAnsi="Arial"/>
                <w:sz w:val="15"/>
                <w:szCs w:val="15"/>
                <w:color w:val="auto"/>
              </w:rPr>
              <w:t>Short-term investments</w:t>
            </w:r>
          </w:p>
        </w:tc>
        <w:tc>
          <w:tcPr>
            <w:tcW w:w="2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191,938</w:t>
            </w: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183964"/>
              </w:rPr>
              <w:t>136,062</w:t>
            </w:r>
          </w:p>
        </w:tc>
      </w:tr>
      <w:tr>
        <w:trPr>
          <w:trHeight w:val="25"/>
        </w:trPr>
        <w:tc>
          <w:tcPr>
            <w:tcW w:w="6760" w:type="dxa"/>
            <w:vAlign w:val="bottom"/>
            <w:tcBorders>
              <w:bottom w:val="single" w:sz="8" w:color="183964"/>
            </w:tcBorders>
          </w:tcPr>
          <w:p>
            <w:pPr>
              <w:spacing w:after="0"/>
              <w:rPr>
                <w:sz w:val="2"/>
                <w:szCs w:val="2"/>
                <w:color w:val="auto"/>
              </w:rPr>
            </w:pPr>
          </w:p>
        </w:tc>
        <w:tc>
          <w:tcPr>
            <w:tcW w:w="2160" w:type="dxa"/>
            <w:vAlign w:val="bottom"/>
            <w:tcBorders>
              <w:bottom w:val="single" w:sz="8" w:color="183964"/>
            </w:tcBorders>
          </w:tcPr>
          <w:p>
            <w:pPr>
              <w:spacing w:after="0"/>
              <w:rPr>
                <w:sz w:val="2"/>
                <w:szCs w:val="2"/>
                <w:color w:val="auto"/>
              </w:rPr>
            </w:pPr>
          </w:p>
        </w:tc>
        <w:tc>
          <w:tcPr>
            <w:tcW w:w="1020" w:type="dxa"/>
            <w:vAlign w:val="bottom"/>
            <w:tcBorders>
              <w:bottom w:val="single" w:sz="8" w:color="183964"/>
            </w:tcBorders>
          </w:tcPr>
          <w:p>
            <w:pPr>
              <w:spacing w:after="0"/>
              <w:rPr>
                <w:sz w:val="2"/>
                <w:szCs w:val="2"/>
                <w:color w:val="auto"/>
              </w:rPr>
            </w:pPr>
          </w:p>
        </w:tc>
        <w:tc>
          <w:tcPr>
            <w:tcW w:w="380" w:type="dxa"/>
            <w:vAlign w:val="bottom"/>
            <w:tcBorders>
              <w:bottom w:val="single" w:sz="8" w:color="183964"/>
            </w:tcBorders>
          </w:tcPr>
          <w:p>
            <w:pPr>
              <w:spacing w:after="0"/>
              <w:rPr>
                <w:sz w:val="2"/>
                <w:szCs w:val="2"/>
                <w:color w:val="auto"/>
              </w:rPr>
            </w:pPr>
          </w:p>
        </w:tc>
        <w:tc>
          <w:tcPr>
            <w:tcW w:w="900" w:type="dxa"/>
            <w:vAlign w:val="bottom"/>
            <w:tcBorders>
              <w:bottom w:val="single" w:sz="8" w:color="183964"/>
            </w:tcBorders>
          </w:tcPr>
          <w:p>
            <w:pPr>
              <w:spacing w:after="0"/>
              <w:rPr>
                <w:sz w:val="2"/>
                <w:szCs w:val="2"/>
                <w:color w:val="auto"/>
              </w:rPr>
            </w:pPr>
          </w:p>
        </w:tc>
      </w:tr>
      <w:tr>
        <w:trPr>
          <w:trHeight w:val="212"/>
        </w:trPr>
        <w:tc>
          <w:tcPr>
            <w:tcW w:w="6760" w:type="dxa"/>
            <w:vAlign w:val="bottom"/>
          </w:tcPr>
          <w:p>
            <w:pPr>
              <w:ind w:left="20"/>
              <w:spacing w:after="0"/>
              <w:rPr>
                <w:sz w:val="20"/>
                <w:szCs w:val="20"/>
                <w:color w:val="auto"/>
              </w:rPr>
            </w:pPr>
            <w:r>
              <w:rPr>
                <w:rFonts w:ascii="Arial" w:cs="Arial" w:eastAsia="Arial" w:hAnsi="Arial"/>
                <w:sz w:val="15"/>
                <w:szCs w:val="15"/>
                <w:color w:val="auto"/>
              </w:rPr>
              <w:t>Consolidated cash, cash equivalents and short-term investments</w:t>
            </w:r>
          </w:p>
        </w:tc>
        <w:tc>
          <w:tcPr>
            <w:tcW w:w="2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500,416</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183964"/>
              </w:rPr>
              <w:t>327,143</w:t>
            </w:r>
          </w:p>
        </w:tc>
      </w:tr>
      <w:tr>
        <w:trPr>
          <w:trHeight w:val="243"/>
        </w:trPr>
        <w:tc>
          <w:tcPr>
            <w:tcW w:w="6760" w:type="dxa"/>
            <w:vAlign w:val="bottom"/>
          </w:tcPr>
          <w:p>
            <w:pPr>
              <w:ind w:left="20"/>
              <w:spacing w:after="0"/>
              <w:rPr>
                <w:sz w:val="20"/>
                <w:szCs w:val="20"/>
                <w:color w:val="auto"/>
              </w:rPr>
            </w:pPr>
            <w:r>
              <w:rPr>
                <w:rFonts w:ascii="Arial" w:cs="Arial" w:eastAsia="Arial" w:hAnsi="Arial"/>
                <w:sz w:val="15"/>
                <w:szCs w:val="15"/>
                <w:color w:val="auto"/>
              </w:rPr>
              <w:t>Less: cash and cash equivalents held at non-wholly owned subsidiaries</w:t>
            </w:r>
          </w:p>
        </w:tc>
        <w:tc>
          <w:tcPr>
            <w:tcW w:w="2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(99,778)</w:t>
            </w: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183964"/>
              </w:rPr>
              <w:t>(1,097)</w:t>
            </w:r>
          </w:p>
        </w:tc>
      </w:tr>
      <w:tr>
        <w:trPr>
          <w:trHeight w:val="25"/>
        </w:trPr>
        <w:tc>
          <w:tcPr>
            <w:tcW w:w="6760" w:type="dxa"/>
            <w:vAlign w:val="bottom"/>
            <w:tcBorders>
              <w:bottom w:val="single" w:sz="8" w:color="183964"/>
            </w:tcBorders>
          </w:tcPr>
          <w:p>
            <w:pPr>
              <w:spacing w:after="0"/>
              <w:rPr>
                <w:sz w:val="2"/>
                <w:szCs w:val="2"/>
                <w:color w:val="auto"/>
              </w:rPr>
            </w:pPr>
          </w:p>
        </w:tc>
        <w:tc>
          <w:tcPr>
            <w:tcW w:w="2160" w:type="dxa"/>
            <w:vAlign w:val="bottom"/>
            <w:tcBorders>
              <w:bottom w:val="single" w:sz="8" w:color="183964"/>
            </w:tcBorders>
          </w:tcPr>
          <w:p>
            <w:pPr>
              <w:spacing w:after="0"/>
              <w:rPr>
                <w:sz w:val="2"/>
                <w:szCs w:val="2"/>
                <w:color w:val="auto"/>
              </w:rPr>
            </w:pPr>
          </w:p>
        </w:tc>
        <w:tc>
          <w:tcPr>
            <w:tcW w:w="1020" w:type="dxa"/>
            <w:vAlign w:val="bottom"/>
            <w:tcBorders>
              <w:bottom w:val="single" w:sz="8" w:color="183964"/>
            </w:tcBorders>
          </w:tcPr>
          <w:p>
            <w:pPr>
              <w:spacing w:after="0"/>
              <w:rPr>
                <w:sz w:val="2"/>
                <w:szCs w:val="2"/>
                <w:color w:val="auto"/>
              </w:rPr>
            </w:pPr>
          </w:p>
        </w:tc>
        <w:tc>
          <w:tcPr>
            <w:tcW w:w="380" w:type="dxa"/>
            <w:vAlign w:val="bottom"/>
            <w:tcBorders>
              <w:bottom w:val="single" w:sz="8" w:color="183964"/>
            </w:tcBorders>
          </w:tcPr>
          <w:p>
            <w:pPr>
              <w:spacing w:after="0"/>
              <w:rPr>
                <w:sz w:val="2"/>
                <w:szCs w:val="2"/>
                <w:color w:val="auto"/>
              </w:rPr>
            </w:pPr>
          </w:p>
        </w:tc>
        <w:tc>
          <w:tcPr>
            <w:tcW w:w="900" w:type="dxa"/>
            <w:vAlign w:val="bottom"/>
            <w:tcBorders>
              <w:bottom w:val="single" w:sz="8" w:color="183964"/>
            </w:tcBorders>
          </w:tcPr>
          <w:p>
            <w:pPr>
              <w:spacing w:after="0"/>
              <w:rPr>
                <w:sz w:val="2"/>
                <w:szCs w:val="2"/>
                <w:color w:val="auto"/>
              </w:rPr>
            </w:pPr>
          </w:p>
        </w:tc>
      </w:tr>
      <w:tr>
        <w:trPr>
          <w:trHeight w:val="211"/>
        </w:trPr>
        <w:tc>
          <w:tcPr>
            <w:tcW w:w="6760" w:type="dxa"/>
            <w:vAlign w:val="bottom"/>
          </w:tcPr>
          <w:p>
            <w:pPr>
              <w:ind w:left="20"/>
              <w:spacing w:after="0"/>
              <w:rPr>
                <w:sz w:val="20"/>
                <w:szCs w:val="20"/>
                <w:color w:val="auto"/>
              </w:rPr>
            </w:pPr>
            <w:r>
              <w:rPr>
                <w:rFonts w:ascii="Arial" w:cs="Arial" w:eastAsia="Arial" w:hAnsi="Arial"/>
                <w:sz w:val="15"/>
                <w:szCs w:val="15"/>
                <w:color w:val="auto"/>
              </w:rPr>
              <w:t>PureTech Level cash, cash equivalents and short-term investments</w:t>
            </w:r>
          </w:p>
        </w:tc>
        <w:tc>
          <w:tcPr>
            <w:tcW w:w="2160" w:type="dxa"/>
            <w:vAlign w:val="bottom"/>
          </w:tcPr>
          <w:p>
            <w:pPr>
              <w:jc w:val="right"/>
              <w:ind w:right="104"/>
              <w:spacing w:after="0"/>
              <w:rPr>
                <w:sz w:val="20"/>
                <w:szCs w:val="20"/>
                <w:color w:val="auto"/>
              </w:rPr>
            </w:pPr>
            <w:r>
              <w:rPr>
                <w:rFonts w:ascii="Arial" w:cs="Arial" w:eastAsia="Arial" w:hAnsi="Arial"/>
                <w:sz w:val="15"/>
                <w:szCs w:val="15"/>
                <w:b w:val="1"/>
                <w:bCs w:val="1"/>
                <w:color w:val="auto"/>
              </w:rPr>
              <w:t>$</w:t>
            </w:r>
          </w:p>
        </w:tc>
        <w:tc>
          <w:tcPr>
            <w:tcW w:w="1020" w:type="dxa"/>
            <w:vAlign w:val="bottom"/>
          </w:tcPr>
          <w:p>
            <w:pPr>
              <w:jc w:val="right"/>
              <w:ind w:right="6"/>
              <w:spacing w:after="0"/>
              <w:rPr>
                <w:sz w:val="20"/>
                <w:szCs w:val="20"/>
                <w:color w:val="auto"/>
              </w:rPr>
            </w:pPr>
            <w:r>
              <w:rPr>
                <w:rFonts w:ascii="Arial" w:cs="Arial" w:eastAsia="Arial" w:hAnsi="Arial"/>
                <w:sz w:val="15"/>
                <w:szCs w:val="15"/>
                <w:b w:val="1"/>
                <w:bCs w:val="1"/>
                <w:color w:val="auto"/>
              </w:rPr>
              <w:t>400,638</w:t>
            </w:r>
          </w:p>
        </w:tc>
        <w:tc>
          <w:tcPr>
            <w:tcW w:w="380" w:type="dxa"/>
            <w:vAlign w:val="bottom"/>
          </w:tcPr>
          <w:p>
            <w:pPr>
              <w:jc w:val="right"/>
              <w:ind w:right="204"/>
              <w:spacing w:after="0"/>
              <w:rPr>
                <w:sz w:val="20"/>
                <w:szCs w:val="20"/>
                <w:color w:val="auto"/>
              </w:rPr>
            </w:pPr>
            <w:r>
              <w:rPr>
                <w:rFonts w:ascii="Arial" w:cs="Arial" w:eastAsia="Arial" w:hAnsi="Arial"/>
                <w:sz w:val="15"/>
                <w:szCs w:val="15"/>
                <w:color w:val="183964"/>
                <w:w w:val="95"/>
              </w:rPr>
              <w:t>$</w:t>
            </w:r>
          </w:p>
        </w:tc>
        <w:tc>
          <w:tcPr>
            <w:tcW w:w="900" w:type="dxa"/>
            <w:vAlign w:val="bottom"/>
          </w:tcPr>
          <w:p>
            <w:pPr>
              <w:jc w:val="right"/>
              <w:spacing w:after="0"/>
              <w:rPr>
                <w:sz w:val="20"/>
                <w:szCs w:val="20"/>
                <w:color w:val="auto"/>
              </w:rPr>
            </w:pPr>
            <w:r>
              <w:rPr>
                <w:rFonts w:ascii="Arial" w:cs="Arial" w:eastAsia="Arial" w:hAnsi="Arial"/>
                <w:sz w:val="15"/>
                <w:szCs w:val="15"/>
                <w:color w:val="183964"/>
              </w:rPr>
              <w:t>326,046</w:t>
            </w:r>
          </w:p>
        </w:tc>
      </w:tr>
      <w:tr>
        <w:trPr>
          <w:trHeight w:val="25"/>
        </w:trPr>
        <w:tc>
          <w:tcPr>
            <w:tcW w:w="6760" w:type="dxa"/>
            <w:vAlign w:val="bottom"/>
            <w:tcBorders>
              <w:bottom w:val="single" w:sz="8" w:color="183964"/>
            </w:tcBorders>
          </w:tcPr>
          <w:p>
            <w:pPr>
              <w:spacing w:after="0"/>
              <w:rPr>
                <w:sz w:val="2"/>
                <w:szCs w:val="2"/>
                <w:color w:val="auto"/>
              </w:rPr>
            </w:pPr>
          </w:p>
        </w:tc>
        <w:tc>
          <w:tcPr>
            <w:tcW w:w="2160" w:type="dxa"/>
            <w:vAlign w:val="bottom"/>
            <w:tcBorders>
              <w:bottom w:val="single" w:sz="8" w:color="183964"/>
            </w:tcBorders>
          </w:tcPr>
          <w:p>
            <w:pPr>
              <w:spacing w:after="0"/>
              <w:rPr>
                <w:sz w:val="2"/>
                <w:szCs w:val="2"/>
                <w:color w:val="auto"/>
              </w:rPr>
            </w:pPr>
          </w:p>
        </w:tc>
        <w:tc>
          <w:tcPr>
            <w:tcW w:w="1020" w:type="dxa"/>
            <w:vAlign w:val="bottom"/>
            <w:tcBorders>
              <w:bottom w:val="single" w:sz="8" w:color="183964"/>
            </w:tcBorders>
          </w:tcPr>
          <w:p>
            <w:pPr>
              <w:spacing w:after="0"/>
              <w:rPr>
                <w:sz w:val="2"/>
                <w:szCs w:val="2"/>
                <w:color w:val="auto"/>
              </w:rPr>
            </w:pPr>
          </w:p>
        </w:tc>
        <w:tc>
          <w:tcPr>
            <w:tcW w:w="380" w:type="dxa"/>
            <w:vAlign w:val="bottom"/>
            <w:tcBorders>
              <w:bottom w:val="single" w:sz="8" w:color="183964"/>
            </w:tcBorders>
          </w:tcPr>
          <w:p>
            <w:pPr>
              <w:spacing w:after="0"/>
              <w:rPr>
                <w:sz w:val="2"/>
                <w:szCs w:val="2"/>
                <w:color w:val="auto"/>
              </w:rPr>
            </w:pPr>
          </w:p>
        </w:tc>
        <w:tc>
          <w:tcPr>
            <w:tcW w:w="900" w:type="dxa"/>
            <w:vAlign w:val="bottom"/>
            <w:tcBorders>
              <w:bottom w:val="single" w:sz="8" w:color="183964"/>
            </w:tcBorders>
          </w:tcPr>
          <w:p>
            <w:pPr>
              <w:spacing w:after="0"/>
              <w:rPr>
                <w:sz w:val="2"/>
                <w:szCs w:val="2"/>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5"/>
          <w:szCs w:val="15"/>
          <w:b w:val="1"/>
          <w:bCs w:val="1"/>
          <w:color w:val="183964"/>
        </w:rPr>
        <w:t>Contact:</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b w:val="1"/>
          <w:bCs w:val="1"/>
          <w:color w:val="183964"/>
        </w:rPr>
        <w:t>PureTech</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color w:val="183964"/>
        </w:rPr>
        <w:t>Public Relations</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publicrelations@puretechhealth.com</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Investor Relations</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IR@puretechhealth.com</w:t>
      </w: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b w:val="1"/>
          <w:bCs w:val="1"/>
          <w:color w:val="183964"/>
        </w:rPr>
        <w:t>UK/EU Media</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Ben Atwell, Rob Winder</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+44 (0) 20 3727 1000</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puretech@fticonsulting.com</w:t>
      </w: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b w:val="1"/>
          <w:bCs w:val="1"/>
          <w:color w:val="183964"/>
        </w:rPr>
        <w:t>US Media</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color w:val="auto"/>
        </w:rPr>
        <w:t>Nichole Bobbyn</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+1 774 278 8273</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nichole@tenbridgecommunications.com</w:t>
      </w:r>
    </w:p>
    <w:p>
      <w:pPr>
        <w:sectPr>
          <w:pgSz w:w="11900" w:h="16838" w:orient="portrait"/>
          <w:cols w:equalWidth="0" w:num="1">
            <w:col w:w="11220"/>
          </w:cols>
          <w:pgMar w:left="320" w:top="1322" w:right="359" w:bottom="1440" w:gutter="0" w:footer="0" w:header="0"/>
        </w:sectPr>
      </w:pPr>
    </w:p>
    <w:bookmarkStart w:id="8" w:name="page9"/>
    <w:bookmarkEnd w:id="8"/>
    <w:p>
      <w:pPr>
        <w:ind w:left="10040"/>
        <w:spacing w:after="0"/>
        <w:rPr>
          <w:sz w:val="20"/>
          <w:szCs w:val="20"/>
          <w:color w:val="auto"/>
        </w:rPr>
      </w:pPr>
      <w:r>
        <w:rPr>
          <w:rFonts w:ascii="Arial" w:cs="Arial" w:eastAsia="Arial" w:hAnsi="Arial"/>
          <w:sz w:val="21"/>
          <w:szCs w:val="21"/>
          <w:b w:val="1"/>
          <w:bCs w:val="1"/>
          <w:color w:val="183964"/>
        </w:rPr>
        <w:t>Exhibit 99.2</w:t>
      </w:r>
    </w:p>
    <w:p>
      <w:pPr>
        <w:spacing w:after="0" w:line="31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Interim Management Report and Financial Review</w:t>
      </w:r>
    </w:p>
    <w:p>
      <w:pPr>
        <w:spacing w:after="0" w:line="280" w:lineRule="exact"/>
        <w:rPr>
          <w:sz w:val="20"/>
          <w:szCs w:val="20"/>
          <w:color w:val="auto"/>
        </w:rPr>
      </w:pPr>
    </w:p>
    <w:p>
      <w:pPr>
        <w:spacing w:after="0"/>
        <w:rPr>
          <w:sz w:val="20"/>
          <w:szCs w:val="20"/>
          <w:color w:val="auto"/>
        </w:rPr>
      </w:pPr>
      <w:r>
        <w:rPr>
          <w:rFonts w:ascii="Arial" w:cs="Arial" w:eastAsia="Arial" w:hAnsi="Arial"/>
          <w:sz w:val="31"/>
          <w:szCs w:val="31"/>
          <w:b w:val="1"/>
          <w:bCs w:val="1"/>
          <w:color w:val="183964"/>
        </w:rPr>
        <w:t>Interim Management Report</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b w:val="1"/>
          <w:bCs w:val="1"/>
          <w:color w:val="183964"/>
        </w:rPr>
        <w:t>Introduction</w:t>
      </w:r>
    </w:p>
    <w:p>
      <w:pPr>
        <w:spacing w:after="0" w:line="100" w:lineRule="exact"/>
        <w:rPr>
          <w:sz w:val="20"/>
          <w:szCs w:val="20"/>
          <w:color w:val="auto"/>
        </w:rPr>
      </w:pPr>
    </w:p>
    <w:p>
      <w:pPr>
        <w:ind w:right="40"/>
        <w:spacing w:after="0" w:line="269" w:lineRule="auto"/>
        <w:rPr>
          <w:sz w:val="20"/>
          <w:szCs w:val="20"/>
          <w:color w:val="auto"/>
        </w:rPr>
      </w:pPr>
      <w:r>
        <w:rPr>
          <w:rFonts w:ascii="Arial" w:cs="Arial" w:eastAsia="Arial" w:hAnsi="Arial"/>
          <w:sz w:val="15"/>
          <w:szCs w:val="15"/>
          <w:color w:val="auto"/>
        </w:rPr>
        <w:t>PureTech’s core mission is to give life to new classes of medicine to change the lives of patients with devastating diseases. With this mission in mind, we pioneered the hub-and-spoke business model. Our R&amp;D engine has proven successful in this endeavor, having identified, developed and progressed 29 highly differentiated therapeutic approaches, including KarXT, LYT-100 (deupirfenidone) and the portfolio of Seaport Therapeutics, among others. We maintain one of the most impressive track records in the biopharma industry, with more than 80% of our clinical trials having demonstrated success since 2009.</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color w:val="183964"/>
        </w:rPr>
        <w:t>Unique drug discovery approach</w:t>
      </w:r>
    </w:p>
    <w:p>
      <w:pPr>
        <w:spacing w:after="0" w:line="113" w:lineRule="exact"/>
        <w:rPr>
          <w:sz w:val="20"/>
          <w:szCs w:val="20"/>
          <w:color w:val="auto"/>
        </w:rPr>
      </w:pPr>
    </w:p>
    <w:p>
      <w:pPr>
        <w:ind w:right="80"/>
        <w:spacing w:after="0" w:line="260" w:lineRule="auto"/>
        <w:rPr>
          <w:sz w:val="20"/>
          <w:szCs w:val="20"/>
          <w:color w:val="auto"/>
        </w:rPr>
      </w:pPr>
      <w:r>
        <w:rPr>
          <w:rFonts w:ascii="Arial" w:cs="Arial" w:eastAsia="Arial" w:hAnsi="Arial"/>
          <w:sz w:val="15"/>
          <w:szCs w:val="15"/>
          <w:color w:val="auto"/>
        </w:rPr>
        <w:t>We believe that our high level of productivity and clinical success is a result of our distinctive approach to drug development. We first identify an area with significant patient need. We then explore therapeutic approaches that often have validated human efficacy but have not yet reached their full potential due to key limitations, such as the route of administration or side effects. Next, we work to unlock a potential new medicine’s full benefit while executing efficient de-risking experiments. We adhere to disciplined R&amp;D strategies, and we only allocate resources to programs that reach our pre-specified thresholds for advancement. This allows us to pivot resources towards the programs with the greatest likelihood of advancement and has resulted in our success rate. Once a program has achieved a key value-generating inflection point, we determine whether the best path forward to maximize patient benefit and shareholder value is through continued internal development or via a Founded Entity, an asset sale, and/or partnering and royalty transactions.</w:t>
      </w:r>
    </w:p>
    <w:p>
      <w:pPr>
        <w:spacing w:after="0" w:line="69" w:lineRule="exact"/>
        <w:rPr>
          <w:sz w:val="20"/>
          <w:szCs w:val="20"/>
          <w:color w:val="auto"/>
        </w:rPr>
      </w:pPr>
    </w:p>
    <w:p>
      <w:pPr>
        <w:ind w:right="80"/>
        <w:spacing w:after="0" w:line="273" w:lineRule="auto"/>
        <w:rPr>
          <w:sz w:val="20"/>
          <w:szCs w:val="20"/>
          <w:color w:val="auto"/>
        </w:rPr>
      </w:pPr>
      <w:r>
        <w:rPr>
          <w:rFonts w:ascii="Arial" w:cs="Arial" w:eastAsia="Arial" w:hAnsi="Arial"/>
          <w:sz w:val="15"/>
          <w:szCs w:val="15"/>
          <w:color w:val="auto"/>
        </w:rPr>
        <w:t>We intend to utilize the same proven strategy to determine the ideal path for the advancement of our Internal Program, LYT-100, following the results of the Phase 2b trial by the end of this year. We will be guided by the data, and we will pursue the optimal route to deliver this potentially transformational medicine to patients and generate value for our shareholders.</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183964"/>
        </w:rPr>
        <w:t>Efficient funding model</w:t>
      </w:r>
    </w:p>
    <w:p>
      <w:pPr>
        <w:spacing w:after="0" w:line="100" w:lineRule="exact"/>
        <w:rPr>
          <w:sz w:val="20"/>
          <w:szCs w:val="20"/>
          <w:color w:val="auto"/>
        </w:rPr>
      </w:pPr>
    </w:p>
    <w:p>
      <w:pPr>
        <w:ind w:right="20"/>
        <w:spacing w:after="0" w:line="260" w:lineRule="auto"/>
        <w:rPr>
          <w:sz w:val="20"/>
          <w:szCs w:val="20"/>
          <w:color w:val="auto"/>
        </w:rPr>
      </w:pPr>
      <w:r>
        <w:rPr>
          <w:rFonts w:ascii="Arial" w:cs="Arial" w:eastAsia="Arial" w:hAnsi="Arial"/>
          <w:sz w:val="15"/>
          <w:szCs w:val="15"/>
          <w:color w:val="auto"/>
        </w:rPr>
        <w:t>Our Founded Entities serve as specialized platforms to pursue development with external partners, supporting timely progress of novel medicines to patients while also mitigating binary risk through a diverse portfolio. KarXT demonstrates how our Founded Entities are able to generate value for our shareholders, while also demonstrating our capital efficient approach. We allocated $18.5 million to the program, and – in addition to transforming the treatment landscape for patients with schizophrenia –Karuna's success has allowed us to generate approximately $1.1 billion in cash to date to fund our operations, fuel our next wave of innovation and return capital to shareholders. This has been realized through the monetization of a portion of our holdings in Karuna, gross proceeds from the BMS acquisition, and a strategic royalty agreement for KarXT with Royalty Pharma that provided us with capital in the short-term and which we believe has great potential for long-term earnings based on KarXT's future regulatory and commercial milestones, as well as product sales.</w:t>
      </w:r>
    </w:p>
    <w:p>
      <w:pPr>
        <w:spacing w:after="0" w:line="69" w:lineRule="exact"/>
        <w:rPr>
          <w:sz w:val="20"/>
          <w:szCs w:val="20"/>
          <w:color w:val="auto"/>
        </w:rPr>
      </w:pPr>
    </w:p>
    <w:p>
      <w:pPr>
        <w:ind w:right="20"/>
        <w:spacing w:after="0" w:line="273" w:lineRule="auto"/>
        <w:rPr>
          <w:sz w:val="20"/>
          <w:szCs w:val="20"/>
          <w:color w:val="auto"/>
        </w:rPr>
      </w:pPr>
      <w:r>
        <w:rPr>
          <w:rFonts w:ascii="Arial" w:cs="Arial" w:eastAsia="Arial" w:hAnsi="Arial"/>
          <w:sz w:val="15"/>
          <w:szCs w:val="15"/>
          <w:color w:val="auto"/>
        </w:rPr>
        <w:t>Our distinct business model and successes like Karuna have enabled us to be a well-capitalized organization: For more than six years we have been able to fund new and maturing programs to key inflection points without external funding at the PureTech Level, we have returned $150 million to shareholders via our share buyback program and Tender Offer, and – going forward – we aim to maintain at least three years of cash runway.</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183964"/>
        </w:rPr>
        <w:t>Commitment to shareholder value</w:t>
      </w:r>
    </w:p>
    <w:p>
      <w:pPr>
        <w:spacing w:after="0" w:line="100" w:lineRule="exact"/>
        <w:rPr>
          <w:sz w:val="20"/>
          <w:szCs w:val="20"/>
          <w:color w:val="auto"/>
        </w:rPr>
      </w:pPr>
    </w:p>
    <w:p>
      <w:pPr>
        <w:jc w:val="both"/>
        <w:ind w:right="20"/>
        <w:spacing w:after="0" w:line="273" w:lineRule="auto"/>
        <w:rPr>
          <w:sz w:val="20"/>
          <w:szCs w:val="20"/>
          <w:color w:val="auto"/>
        </w:rPr>
      </w:pPr>
      <w:r>
        <w:rPr>
          <w:rFonts w:ascii="Arial" w:cs="Arial" w:eastAsia="Arial" w:hAnsi="Arial"/>
          <w:sz w:val="15"/>
          <w:szCs w:val="15"/>
          <w:color w:val="auto"/>
        </w:rPr>
        <w:t>Maximizing long-term shareholder value remains the Company’s top priority, and the Board and Management Team conduct a continual review of various strategies in order to unlock and crystallize value for shareholders. In doing so, the board aims to balance (1) opportunities for further capital returns, (2) sourcing and development efforts to grow our portfolio of potential new medicines and (3) support for our current programs and Founded Entities, all while serving patients in need.</w:t>
      </w:r>
    </w:p>
    <w:p>
      <w:pPr>
        <w:spacing w:after="0" w:line="59" w:lineRule="exact"/>
        <w:rPr>
          <w:sz w:val="20"/>
          <w:szCs w:val="20"/>
          <w:color w:val="auto"/>
        </w:rPr>
      </w:pPr>
    </w:p>
    <w:p>
      <w:pPr>
        <w:ind w:right="80"/>
        <w:spacing w:after="0" w:line="273" w:lineRule="auto"/>
        <w:rPr>
          <w:sz w:val="20"/>
          <w:szCs w:val="20"/>
          <w:color w:val="auto"/>
        </w:rPr>
      </w:pPr>
      <w:r>
        <w:rPr>
          <w:rFonts w:ascii="Arial" w:cs="Arial" w:eastAsia="Arial" w:hAnsi="Arial"/>
          <w:sz w:val="15"/>
          <w:szCs w:val="15"/>
          <w:color w:val="auto"/>
        </w:rPr>
        <w:t>PureTech’s expertise builds on a rich legacy of innovation. It spans the lifecycle of drug development, is infused with scientific entrepreneurship and maintains a capital efficient ethos. As we look towards the development of our next wave of innovation, we are focused on advancing candidates with validated efficacy within the rare and specialty disease spaces, and we look forward to providing updates in due course.</w:t>
      </w:r>
    </w:p>
    <w:p>
      <w:pPr>
        <w:spacing w:after="0" w:line="40"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183964"/>
        </w:rPr>
        <w:t>Notable Developments</w:t>
      </w:r>
    </w:p>
    <w:p>
      <w:pPr>
        <w:spacing w:after="0" w:line="100" w:lineRule="exact"/>
        <w:rPr>
          <w:sz w:val="20"/>
          <w:szCs w:val="20"/>
          <w:color w:val="auto"/>
        </w:rPr>
      </w:pPr>
    </w:p>
    <w:p>
      <w:pPr>
        <w:spacing w:after="0"/>
        <w:rPr>
          <w:sz w:val="20"/>
          <w:szCs w:val="20"/>
          <w:color w:val="auto"/>
        </w:rPr>
      </w:pPr>
      <w:r>
        <w:rPr>
          <w:rFonts w:ascii="Calibri" w:cs="Calibri" w:eastAsia="Calibri" w:hAnsi="Calibri"/>
          <w:sz w:val="15"/>
          <w:szCs w:val="15"/>
          <w:color w:val="183964"/>
        </w:rPr>
        <w:t>Internal Programs</w:t>
      </w:r>
    </w:p>
    <w:p>
      <w:pPr>
        <w:jc w:val="both"/>
        <w:ind w:right="860"/>
        <w:spacing w:after="0" w:line="272" w:lineRule="auto"/>
        <w:rPr>
          <w:sz w:val="20"/>
          <w:szCs w:val="20"/>
          <w:color w:val="auto"/>
        </w:rPr>
      </w:pPr>
      <w:r>
        <w:rPr>
          <w:rFonts w:ascii="Arial" w:cs="Arial" w:eastAsia="Arial" w:hAnsi="Arial"/>
          <w:sz w:val="15"/>
          <w:szCs w:val="15"/>
          <w:color w:val="auto"/>
        </w:rPr>
        <w:t>Our Internal Programs are guided by a strategy of leveraging validated efficacy to rapidly advance therapeutics with proven profiles. A deeper level of risk management at every stage of development is core to PureTech’s development philosophy. Importantly, our approach prioritizes maintaining the validated pharmacology of efficacious drugs while applying an innovative step to maximize their unrealized potential for patient needs.</w:t>
      </w:r>
    </w:p>
    <w:p>
      <w:pPr>
        <w:spacing w:after="0" w:line="58" w:lineRule="exact"/>
        <w:rPr>
          <w:sz w:val="20"/>
          <w:szCs w:val="20"/>
          <w:color w:val="auto"/>
        </w:rPr>
      </w:pPr>
    </w:p>
    <w:p>
      <w:pPr>
        <w:ind w:right="200"/>
        <w:spacing w:after="0" w:line="296" w:lineRule="auto"/>
        <w:rPr>
          <w:sz w:val="20"/>
          <w:szCs w:val="20"/>
          <w:color w:val="auto"/>
        </w:rPr>
      </w:pPr>
      <w:r>
        <w:rPr>
          <w:rFonts w:ascii="Arial" w:cs="Arial" w:eastAsia="Arial" w:hAnsi="Arial"/>
          <w:sz w:val="15"/>
          <w:szCs w:val="15"/>
          <w:color w:val="auto"/>
        </w:rPr>
        <w:t xml:space="preserve">Our lead Internal Program, </w:t>
      </w:r>
      <w:r>
        <w:rPr>
          <w:rFonts w:ascii="Arial" w:cs="Arial" w:eastAsia="Arial" w:hAnsi="Arial"/>
          <w:sz w:val="15"/>
          <w:szCs w:val="15"/>
          <w:b w:val="1"/>
          <w:bCs w:val="1"/>
          <w:color w:val="auto"/>
        </w:rPr>
        <w:t>LYT-100 (deupirfenidone)</w:t>
      </w:r>
      <w:r>
        <w:rPr>
          <w:rFonts w:ascii="Arial" w:cs="Arial" w:eastAsia="Arial" w:hAnsi="Arial"/>
          <w:sz w:val="15"/>
          <w:szCs w:val="15"/>
          <w:color w:val="auto"/>
        </w:rPr>
        <w:t>, is currently in clinical development for IPF, which is a rare, progressive and fatal lung disease with a median survival of 2-5 years.</w:t>
      </w:r>
      <w:r>
        <w:rPr>
          <w:rFonts w:ascii="Arial" w:cs="Arial" w:eastAsia="Arial" w:hAnsi="Arial"/>
          <w:sz w:val="19"/>
          <w:szCs w:val="19"/>
          <w:color w:val="auto"/>
          <w:vertAlign w:val="superscript"/>
        </w:rPr>
        <w:t>1</w:t>
      </w:r>
      <w:r>
        <w:rPr>
          <w:rFonts w:ascii="Arial" w:cs="Arial" w:eastAsia="Arial" w:hAnsi="Arial"/>
          <w:sz w:val="15"/>
          <w:szCs w:val="15"/>
          <w:color w:val="auto"/>
        </w:rPr>
        <w:t xml:space="preserve"> Pirfenidone (Esbriet®) is approved for the treatment of IPF in the US and</w:t>
      </w:r>
    </w:p>
    <w:p>
      <w:pPr>
        <w:sectPr>
          <w:pgSz w:w="11900" w:h="16838" w:orient="portrait"/>
          <w:cols w:equalWidth="0" w:num="1">
            <w:col w:w="11240"/>
          </w:cols>
          <w:pgMar w:left="320" w:top="1245" w:right="339" w:bottom="1440" w:gutter="0" w:footer="0" w:header="0"/>
        </w:sectPr>
      </w:pPr>
    </w:p>
    <w:bookmarkStart w:id="9" w:name="page10"/>
    <w:bookmarkEnd w:id="9"/>
    <w:p>
      <w:pPr>
        <w:ind w:right="20"/>
        <w:spacing w:after="0" w:line="233" w:lineRule="auto"/>
        <w:rPr>
          <w:sz w:val="20"/>
          <w:szCs w:val="20"/>
          <w:color w:val="auto"/>
        </w:rPr>
      </w:pPr>
      <w:r>
        <w:rPr>
          <w:rFonts w:ascii="Arial" w:cs="Arial" w:eastAsia="Arial" w:hAnsi="Arial"/>
          <w:sz w:val="15"/>
          <w:szCs w:val="15"/>
          <w:color w:val="auto"/>
        </w:rPr>
        <w:t>other countries, having been shown to slow the decline of lung function and extend life by an average of 2.5 years.</w:t>
      </w:r>
      <w:r>
        <w:rPr>
          <w:rFonts w:ascii="Arial" w:cs="Arial" w:eastAsia="Arial" w:hAnsi="Arial"/>
          <w:sz w:val="19"/>
          <w:szCs w:val="19"/>
          <w:color w:val="auto"/>
          <w:vertAlign w:val="superscript"/>
        </w:rPr>
        <w:t>1</w:t>
      </w:r>
      <w:r>
        <w:rPr>
          <w:rFonts w:ascii="Arial" w:cs="Arial" w:eastAsia="Arial" w:hAnsi="Arial"/>
          <w:sz w:val="15"/>
          <w:szCs w:val="15"/>
          <w:color w:val="auto"/>
        </w:rPr>
        <w:t xml:space="preserve"> It is one of two standard-of-care treatments for IPF, with nintedanib (Ofev®) being the other. Despite the proven efficacy of both treatments, only about 25 percent of patients with this rare, progressive and fatal disease are currently being treated with either standard-of-care drug,</w:t>
      </w:r>
      <w:r>
        <w:rPr>
          <w:rFonts w:ascii="Arial" w:cs="Arial" w:eastAsia="Arial" w:hAnsi="Arial"/>
          <w:sz w:val="19"/>
          <w:szCs w:val="19"/>
          <w:color w:val="auto"/>
          <w:vertAlign w:val="superscript"/>
        </w:rPr>
        <w:t>2</w:t>
      </w:r>
      <w:r>
        <w:rPr>
          <w:rFonts w:ascii="Arial" w:cs="Arial" w:eastAsia="Arial" w:hAnsi="Arial"/>
          <w:sz w:val="15"/>
          <w:szCs w:val="15"/>
          <w:color w:val="auto"/>
        </w:rPr>
        <w:t xml:space="preserve"> largely due to tolerability issues. Furthermore, combined sales of Esbriet and Ofev in 2022 were more than $4 billion, representing a significant market opportunity in IPF and other fibrotic lung diseases.</w:t>
      </w:r>
      <w:r>
        <w:rPr>
          <w:rFonts w:ascii="Arial" w:cs="Arial" w:eastAsia="Arial" w:hAnsi="Arial"/>
          <w:sz w:val="19"/>
          <w:szCs w:val="19"/>
          <w:color w:val="auto"/>
          <w:vertAlign w:val="superscript"/>
        </w:rPr>
        <w:t>3</w:t>
      </w:r>
    </w:p>
    <w:p>
      <w:pPr>
        <w:spacing w:after="0" w:line="21" w:lineRule="exact"/>
        <w:rPr>
          <w:sz w:val="20"/>
          <w:szCs w:val="20"/>
          <w:color w:val="auto"/>
        </w:rPr>
      </w:pPr>
    </w:p>
    <w:p>
      <w:pPr>
        <w:ind w:right="60"/>
        <w:spacing w:after="0" w:line="263" w:lineRule="auto"/>
        <w:rPr>
          <w:sz w:val="20"/>
          <w:szCs w:val="20"/>
          <w:color w:val="auto"/>
        </w:rPr>
      </w:pPr>
      <w:r>
        <w:rPr>
          <w:rFonts w:ascii="Arial" w:cs="Arial" w:eastAsia="Arial" w:hAnsi="Arial"/>
          <w:sz w:val="15"/>
          <w:szCs w:val="15"/>
          <w:color w:val="auto"/>
        </w:rPr>
        <w:t>LYT-100 maintains the pharmacology of pirfenidone but has a highly differentiated pharmacokinetic profile that has translated into favorable tolerability, as demonstrated by data from multiple human clinical studies. Our goal with the ongoing Phase 2b ELEVATE IPF trial is to validate the ability of LYT-100 to demonstrate a favorable tolerability profile and efficacy that’s comparable to pirfenidone, while also exploring the potential for enhanced efficacy at a higher dose. Based on clinical data generated to date, we believe that LYT-100 has the potential to disrupt the treatment paradigm for IPF and become the backbone antifibrotic for a range of combination therapies as well as the preferred monotherapy for IPF patients, including the 75% who are not currently on standard-of-care treatment. The trial is fully enrolled, and we look forward to sharing topline results by the end of 2024.</w:t>
      </w:r>
    </w:p>
    <w:p>
      <w:pPr>
        <w:spacing w:after="0" w:line="54" w:lineRule="exact"/>
        <w:rPr>
          <w:sz w:val="20"/>
          <w:szCs w:val="20"/>
          <w:color w:val="auto"/>
        </w:rPr>
      </w:pPr>
    </w:p>
    <w:p>
      <w:pPr>
        <w:ind w:right="160"/>
        <w:spacing w:after="0" w:line="283" w:lineRule="auto"/>
        <w:rPr>
          <w:sz w:val="20"/>
          <w:szCs w:val="20"/>
          <w:color w:val="auto"/>
        </w:rPr>
      </w:pPr>
      <w:r>
        <w:rPr>
          <w:rFonts w:ascii="Arial" w:cs="Arial" w:eastAsia="Arial" w:hAnsi="Arial"/>
          <w:sz w:val="15"/>
          <w:szCs w:val="15"/>
          <w:color w:val="auto"/>
        </w:rPr>
        <w:t>This program is emblematic of PureTech’s strategy. We identified a clear patient need with a large market opportunity and are efficiently advancing a drug candidate with a clear development path and existing clinical validation.</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color w:val="183964"/>
        </w:rPr>
        <w:t>Founded Entities</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Our Founded Entities have achieved significant milestones in the first half of 2024.</w:t>
      </w:r>
    </w:p>
    <w:p>
      <w:pPr>
        <w:spacing w:after="0" w:line="95" w:lineRule="exact"/>
        <w:rPr>
          <w:sz w:val="20"/>
          <w:szCs w:val="20"/>
          <w:color w:val="auto"/>
        </w:rPr>
      </w:pPr>
    </w:p>
    <w:p>
      <w:pPr>
        <w:ind w:right="80"/>
        <w:spacing w:after="0" w:line="264" w:lineRule="auto"/>
        <w:rPr>
          <w:sz w:val="20"/>
          <w:szCs w:val="20"/>
          <w:color w:val="auto"/>
        </w:rPr>
      </w:pPr>
      <w:r>
        <w:rPr>
          <w:rFonts w:ascii="Arial" w:cs="Arial" w:eastAsia="Arial" w:hAnsi="Arial"/>
          <w:sz w:val="15"/>
          <w:szCs w:val="15"/>
          <w:color w:val="auto"/>
        </w:rPr>
        <w:t xml:space="preserve">In March 2024, </w:t>
      </w:r>
      <w:r>
        <w:rPr>
          <w:rFonts w:ascii="Arial" w:cs="Arial" w:eastAsia="Arial" w:hAnsi="Arial"/>
          <w:sz w:val="15"/>
          <w:szCs w:val="15"/>
          <w:b w:val="1"/>
          <w:bCs w:val="1"/>
          <w:color w:val="auto"/>
        </w:rPr>
        <w:t>Karuna</w:t>
      </w:r>
      <w:r>
        <w:rPr>
          <w:rFonts w:ascii="Arial" w:cs="Arial" w:eastAsia="Arial" w:hAnsi="Arial"/>
          <w:sz w:val="15"/>
          <w:szCs w:val="15"/>
          <w:color w:val="auto"/>
        </w:rPr>
        <w:t xml:space="preserve"> was acquired by BMS for approximately $14 billion, marking a significant advancement in our Founded Entity’s mission to deliver transformative medicines for people living with psychiatric and neurological conditions. Karuna is now a wholly owned subsidiary of BMS, and Karuna’s lead candidate, KarXT, has been granted a PDUFA date of September 26, 2024, for the treatment of schizophrenia in adults. If the drug is approved, this would unlock the first in a series of potential milestone payments to PureTech in the coming years as well as future royalties. Pending approval, BMS also announced that KarXT is expected to launch in late 2024.</w:t>
      </w:r>
    </w:p>
    <w:p>
      <w:pPr>
        <w:spacing w:after="0" w:line="50" w:lineRule="exact"/>
        <w:rPr>
          <w:sz w:val="20"/>
          <w:szCs w:val="20"/>
          <w:color w:val="auto"/>
        </w:rPr>
      </w:pPr>
    </w:p>
    <w:p>
      <w:pPr>
        <w:spacing w:after="0" w:line="260" w:lineRule="auto"/>
        <w:rPr>
          <w:sz w:val="20"/>
          <w:szCs w:val="20"/>
          <w:color w:val="auto"/>
        </w:rPr>
      </w:pPr>
      <w:r>
        <w:rPr>
          <w:rFonts w:ascii="Arial" w:cs="Arial" w:eastAsia="Arial" w:hAnsi="Arial"/>
          <w:sz w:val="15"/>
          <w:szCs w:val="15"/>
          <w:color w:val="auto"/>
        </w:rPr>
        <w:t xml:space="preserve">In April 2024, PureTech launched </w:t>
      </w:r>
      <w:r>
        <w:rPr>
          <w:rFonts w:ascii="Arial" w:cs="Arial" w:eastAsia="Arial" w:hAnsi="Arial"/>
          <w:sz w:val="15"/>
          <w:szCs w:val="15"/>
          <w:b w:val="1"/>
          <w:bCs w:val="1"/>
          <w:color w:val="auto"/>
        </w:rPr>
        <w:t>Seaport</w:t>
      </w:r>
      <w:r>
        <w:rPr>
          <w:rFonts w:ascii="Arial" w:cs="Arial" w:eastAsia="Arial" w:hAnsi="Arial"/>
          <w:sz w:val="15"/>
          <w:szCs w:val="15"/>
          <w:color w:val="auto"/>
        </w:rPr>
        <w:t xml:space="preserve"> with a $100 million oversubscribed Series A financing. The funding included participation from top tier biotech investors ARCH Venture Partners, Sofinnova Investments and Third Rock Ventures to progress the development of neuropsychiatric therapeutic candidates initially developed internally at PureTech. Seaport is advancing first and best-in-class medicines for the treatment of neuropsychiatric disorders using the Glyph platform. The Glyph platform is uniquely designed to allow drugs to be taken orally by targeting them directly into the lymphatic system (similar to the way a dietary lipid is absorbed) rather than the liver, which helps to reduce liver toxicities and enables more active drug to reach the desired target in the body. Seaport’s pipeline includes, SPT-300 (formerly LYT-300), an oral prodrug of allopregnanolone, which is being advanced for the treatment of major depressive disorder; SPT-320 (formerly LYT-320), a novel prodrug of agomelatine, which is being advanced for the treatment of generalized anxiety disorder; and SPT-348, a prodrug of a non-hallucinogenic neuroplastogen, which is in development for the treatment of mood and other neuropsychiatric disorders.</w:t>
      </w:r>
    </w:p>
    <w:p>
      <w:pPr>
        <w:spacing w:after="0" w:line="71" w:lineRule="exact"/>
        <w:rPr>
          <w:sz w:val="20"/>
          <w:szCs w:val="20"/>
          <w:color w:val="auto"/>
        </w:rPr>
      </w:pPr>
    </w:p>
    <w:p>
      <w:pPr>
        <w:spacing w:after="0" w:line="260" w:lineRule="auto"/>
        <w:rPr>
          <w:sz w:val="20"/>
          <w:szCs w:val="20"/>
          <w:color w:val="auto"/>
        </w:rPr>
      </w:pPr>
      <w:r>
        <w:rPr>
          <w:rFonts w:ascii="Arial" w:cs="Arial" w:eastAsia="Arial" w:hAnsi="Arial"/>
          <w:sz w:val="15"/>
          <w:szCs w:val="15"/>
          <w:color w:val="auto"/>
        </w:rPr>
        <w:t xml:space="preserve">We also announced that we would be advancing LYT-200 (anti-galectin-9 mAb) through another Founded Entity, </w:t>
      </w:r>
      <w:r>
        <w:rPr>
          <w:rFonts w:ascii="Arial" w:cs="Arial" w:eastAsia="Arial" w:hAnsi="Arial"/>
          <w:sz w:val="15"/>
          <w:szCs w:val="15"/>
          <w:b w:val="1"/>
          <w:bCs w:val="1"/>
          <w:color w:val="auto"/>
        </w:rPr>
        <w:t>Gallop</w:t>
      </w:r>
      <w:r>
        <w:rPr>
          <w:rFonts w:ascii="Arial" w:cs="Arial" w:eastAsia="Arial" w:hAnsi="Arial"/>
          <w:sz w:val="15"/>
          <w:szCs w:val="15"/>
          <w:color w:val="auto"/>
        </w:rPr>
        <w:t>, for the treatment of hematological malignancies, such as AML and high-risk MDS, as well as metastatic/locally advanced solid tumors, including head and neck cancers. LYT-200 has displayed a favorable safety and tolerability profile in two ongoing Phase 1b clinical trials – one in AML and another in combination with BeiGene's tislelizumab in head and neck cancers. The Phase 1b clinical trial evaluating LYT-200 in relapsed/refractory AML and MDS patients is ongoing, and we expect additional data from the trial will be presented in a scientific forum in the fourth quarter of 2024. Also, the Phase 1b trial of LYT-200 in combination with tislelizumab in head and neck cancers is ongoing, with additional data expected in the fourth quarter of 2024. In 2024, the FDA granted LYT-200 Orphan Drug designation for the treatment of AML as well as Fast Track designation for the treatment of head and neck cancers.</w:t>
      </w:r>
    </w:p>
    <w:p>
      <w:pPr>
        <w:spacing w:after="0" w:line="56" w:lineRule="exact"/>
        <w:rPr>
          <w:sz w:val="20"/>
          <w:szCs w:val="20"/>
          <w:color w:val="auto"/>
        </w:rPr>
      </w:pPr>
    </w:p>
    <w:p>
      <w:pPr>
        <w:ind w:right="40"/>
        <w:spacing w:after="0" w:line="263" w:lineRule="auto"/>
        <w:rPr>
          <w:sz w:val="20"/>
          <w:szCs w:val="20"/>
          <w:color w:val="auto"/>
        </w:rPr>
      </w:pPr>
      <w:r>
        <w:rPr>
          <w:rFonts w:ascii="Arial" w:cs="Arial" w:eastAsia="Arial" w:hAnsi="Arial"/>
          <w:sz w:val="15"/>
          <w:szCs w:val="15"/>
          <w:b w:val="1"/>
          <w:bCs w:val="1"/>
          <w:color w:val="auto"/>
        </w:rPr>
        <w:t xml:space="preserve">Vedanta </w:t>
      </w:r>
      <w:r>
        <w:rPr>
          <w:rFonts w:ascii="Arial" w:cs="Arial" w:eastAsia="Arial" w:hAnsi="Arial"/>
          <w:sz w:val="15"/>
          <w:szCs w:val="15"/>
          <w:color w:val="auto"/>
        </w:rPr>
        <w:t>further advanced the development of a potential new category of oral therapies utilizing defined consortia of bacteria isolated from the human microbiome</w:t>
      </w:r>
      <w:r>
        <w:rPr>
          <w:rFonts w:ascii="Arial" w:cs="Arial" w:eastAsia="Arial" w:hAnsi="Arial"/>
          <w:sz w:val="15"/>
          <w:szCs w:val="15"/>
          <w:b w:val="1"/>
          <w:bCs w:val="1"/>
          <w:color w:val="auto"/>
        </w:rPr>
        <w:t xml:space="preserve"> </w:t>
      </w:r>
      <w:r>
        <w:rPr>
          <w:rFonts w:ascii="Arial" w:cs="Arial" w:eastAsia="Arial" w:hAnsi="Arial"/>
          <w:sz w:val="15"/>
          <w:szCs w:val="15"/>
          <w:color w:val="auto"/>
        </w:rPr>
        <w:t>and grown from pure clonal cell banks. In May 2024, Vedanta announced that the first patient was dosed in the global Phase 3 RESTORATiVE303 clinical study of VE303, which is an orally administered defined bacterial consortium candidate that is being developed for the prevention of rCDI. The RESTORATiVE303 trial is evaluating the efficacy and safety of VE303 in patients with rCDI and is intended to form the basis for a BLA to be filed with the FDA. Vedanta announced that topline data are expected in 2026. In April 2024, Vedanta was awarded $3.9 million from CARB-X to advance Vedanta’s VE707 preclinical development program for reducing colonization and preventing subsequent infections caused by multidrug-resistant organisms. Vedanta expects the initiation of a Phase 1 trial in 2025. Vedanta also progressed its Phase 2 COLLECTiVE202 clinical trial of VE202 for the treatment of UC, for Vedanta anticipates topline data in 2025.</w:t>
      </w:r>
    </w:p>
    <w:p>
      <w:pPr>
        <w:spacing w:after="0" w:line="54" w:lineRule="exact"/>
        <w:rPr>
          <w:sz w:val="20"/>
          <w:szCs w:val="20"/>
          <w:color w:val="auto"/>
        </w:rPr>
      </w:pPr>
    </w:p>
    <w:p>
      <w:pPr>
        <w:ind w:right="40"/>
        <w:spacing w:after="0" w:line="234" w:lineRule="auto"/>
        <w:rPr>
          <w:sz w:val="20"/>
          <w:szCs w:val="20"/>
          <w:color w:val="auto"/>
        </w:rPr>
      </w:pPr>
      <w:r>
        <w:rPr>
          <w:rFonts w:ascii="Arial" w:cs="Arial" w:eastAsia="Arial" w:hAnsi="Arial"/>
          <w:sz w:val="15"/>
          <w:szCs w:val="15"/>
          <w:b w:val="1"/>
          <w:bCs w:val="1"/>
          <w:color w:val="auto"/>
        </w:rPr>
        <w:t xml:space="preserve">Vor </w:t>
      </w:r>
      <w:r>
        <w:rPr>
          <w:rFonts w:ascii="Arial" w:cs="Arial" w:eastAsia="Arial" w:hAnsi="Arial"/>
          <w:sz w:val="15"/>
          <w:szCs w:val="15"/>
          <w:color w:val="auto"/>
        </w:rPr>
        <w:t>has continued to develop its platform for crafting Hematopoietic Stem Cell to enable targeted therapies post-transplant. In January 2024, Vor announced it had</w:t>
      </w:r>
      <w:r>
        <w:rPr>
          <w:rFonts w:ascii="Arial" w:cs="Arial" w:eastAsia="Arial" w:hAnsi="Arial"/>
          <w:sz w:val="15"/>
          <w:szCs w:val="15"/>
          <w:b w:val="1"/>
          <w:bCs w:val="1"/>
          <w:color w:val="auto"/>
        </w:rPr>
        <w:t xml:space="preserve"> </w:t>
      </w:r>
      <w:r>
        <w:rPr>
          <w:rFonts w:ascii="Arial" w:cs="Arial" w:eastAsia="Arial" w:hAnsi="Arial"/>
          <w:sz w:val="15"/>
          <w:szCs w:val="15"/>
          <w:color w:val="auto"/>
        </w:rPr>
        <w:t>dosed the first patient in VBP301, its Phase 1/2, multicenter, open-label, first-in-human study of VCAR33</w:t>
      </w:r>
      <w:r>
        <w:rPr>
          <w:rFonts w:ascii="Arial" w:cs="Arial" w:eastAsia="Arial" w:hAnsi="Arial"/>
          <w:sz w:val="19"/>
          <w:szCs w:val="19"/>
          <w:color w:val="auto"/>
          <w:vertAlign w:val="superscript"/>
        </w:rPr>
        <w:t>ALLO</w:t>
      </w:r>
      <w:r>
        <w:rPr>
          <w:rFonts w:ascii="Arial" w:cs="Arial" w:eastAsia="Arial" w:hAnsi="Arial"/>
          <w:sz w:val="15"/>
          <w:szCs w:val="15"/>
          <w:color w:val="auto"/>
        </w:rPr>
        <w:t xml:space="preserve"> in patients with relapsed or refractory AML after standard-of-care transplant or a trem-cel transplant. Vor announced that it expects to release a VCAR33</w:t>
      </w:r>
      <w:r>
        <w:rPr>
          <w:rFonts w:ascii="Arial" w:cs="Arial" w:eastAsia="Arial" w:hAnsi="Arial"/>
          <w:sz w:val="19"/>
          <w:szCs w:val="19"/>
          <w:color w:val="auto"/>
          <w:vertAlign w:val="superscript"/>
        </w:rPr>
        <w:t>ALLO</w:t>
      </w:r>
      <w:r>
        <w:rPr>
          <w:rFonts w:ascii="Arial" w:cs="Arial" w:eastAsia="Arial" w:hAnsi="Arial"/>
          <w:sz w:val="15"/>
          <w:szCs w:val="15"/>
          <w:color w:val="auto"/>
        </w:rPr>
        <w:t xml:space="preserve"> clinical trial data update in the second half of 2024. In March 2024, Vor announced that the FDA had granted Fast Track designation and Orphan Drug designation to VCAR33</w:t>
      </w:r>
      <w:r>
        <w:rPr>
          <w:rFonts w:ascii="Arial" w:cs="Arial" w:eastAsia="Arial" w:hAnsi="Arial"/>
          <w:sz w:val="19"/>
          <w:szCs w:val="19"/>
          <w:color w:val="auto"/>
          <w:vertAlign w:val="superscript"/>
        </w:rPr>
        <w:t>ALLO</w:t>
      </w:r>
      <w:r>
        <w:rPr>
          <w:rFonts w:ascii="Arial" w:cs="Arial" w:eastAsia="Arial" w:hAnsi="Arial"/>
          <w:sz w:val="15"/>
          <w:szCs w:val="15"/>
          <w:color w:val="auto"/>
        </w:rPr>
        <w:t>. In May 2024, Vor announced that the trem-cel clinical trial had been expanded to include patients diagnosed with MDS. Approximately 1,250 stem cell transplants occur annually in the US for patients with MDS and Vor’s approach represents an important advancement in potentially transforming treatment of these blood cancers. Vor’s trem-cel has the potential to enable the use of anti-CD33 therapies in those settings, and the company is exploring the potential use of trem-cel in combination with targeted therapies in these indications. Vor announced that it expects to provide a trem-cel clinical trial data update in the second half of 2024.</w:t>
      </w:r>
    </w:p>
    <w:p>
      <w:pPr>
        <w:spacing w:after="0" w:line="86" w:lineRule="exact"/>
        <w:rPr>
          <w:sz w:val="20"/>
          <w:szCs w:val="20"/>
          <w:color w:val="auto"/>
        </w:rPr>
      </w:pPr>
    </w:p>
    <w:p>
      <w:pPr>
        <w:ind w:right="40"/>
        <w:spacing w:after="0" w:line="261" w:lineRule="auto"/>
        <w:rPr>
          <w:sz w:val="20"/>
          <w:szCs w:val="20"/>
          <w:color w:val="auto"/>
        </w:rPr>
      </w:pPr>
      <w:r>
        <w:rPr>
          <w:rFonts w:ascii="Arial" w:cs="Arial" w:eastAsia="Arial" w:hAnsi="Arial"/>
          <w:sz w:val="15"/>
          <w:szCs w:val="15"/>
          <w:b w:val="1"/>
          <w:bCs w:val="1"/>
          <w:color w:val="auto"/>
        </w:rPr>
        <w:t xml:space="preserve">Sonde </w:t>
      </w:r>
      <w:r>
        <w:rPr>
          <w:rFonts w:ascii="Arial" w:cs="Arial" w:eastAsia="Arial" w:hAnsi="Arial"/>
          <w:sz w:val="15"/>
          <w:szCs w:val="15"/>
          <w:color w:val="auto"/>
        </w:rPr>
        <w:t>has continued to progress a voice-based artificial intelligence platform that detects changes in the sound of voice that are linked to health conditions – such as</w:t>
      </w:r>
      <w:r>
        <w:rPr>
          <w:rFonts w:ascii="Arial" w:cs="Arial" w:eastAsia="Arial" w:hAnsi="Arial"/>
          <w:sz w:val="15"/>
          <w:szCs w:val="15"/>
          <w:b w:val="1"/>
          <w:bCs w:val="1"/>
          <w:color w:val="auto"/>
        </w:rPr>
        <w:t xml:space="preserve"> </w:t>
      </w:r>
      <w:r>
        <w:rPr>
          <w:rFonts w:ascii="Arial" w:cs="Arial" w:eastAsia="Arial" w:hAnsi="Arial"/>
          <w:sz w:val="15"/>
          <w:szCs w:val="15"/>
          <w:color w:val="auto"/>
        </w:rPr>
        <w:t>depression, anxiety and respiratory disease – to provide health tracking and monitoring. In March 2024, Sonde announced the publication of a new study that has validated the ability of the company’s mental fitness vocal biomarker platform to reliably distinguish individuals with elevated mental health symptoms. The four-week cohort study revealed a statistically significant correlation between voice-based identification of increased or decreased mental health risk with the results of the M3 Checklist, a clinically validated mental health assessment. In the July post-period, Sonde launched Sonde Cognitive Fitness, which analyzes eight vocal characteristics from 30-second voice interactions to provide insight into one’s cognitive state, helping people manage their mental well-being and productivity effectively.</w:t>
      </w:r>
    </w:p>
    <w:p>
      <w:pPr>
        <w:sectPr>
          <w:pgSz w:w="11900" w:h="16838" w:orient="portrait"/>
          <w:cols w:equalWidth="0" w:num="1">
            <w:col w:w="11240"/>
          </w:cols>
          <w:pgMar w:left="320" w:top="1241" w:right="339" w:bottom="1440" w:gutter="0" w:footer="0" w:header="0"/>
        </w:sectPr>
      </w:pPr>
    </w:p>
    <w:bookmarkStart w:id="10" w:name="page11"/>
    <w:bookmarkEnd w:id="10"/>
    <w:p>
      <w:pPr>
        <w:ind w:right="260"/>
        <w:spacing w:after="0" w:line="264" w:lineRule="auto"/>
        <w:rPr>
          <w:sz w:val="20"/>
          <w:szCs w:val="20"/>
          <w:color w:val="auto"/>
        </w:rPr>
      </w:pPr>
      <w:r>
        <w:rPr>
          <w:rFonts w:ascii="Arial" w:cs="Arial" w:eastAsia="Arial" w:hAnsi="Arial"/>
          <w:sz w:val="15"/>
          <w:szCs w:val="15"/>
          <w:b w:val="1"/>
          <w:bCs w:val="1"/>
          <w:color w:val="auto"/>
        </w:rPr>
        <w:t xml:space="preserve">Entrega </w:t>
      </w:r>
      <w:r>
        <w:rPr>
          <w:rFonts w:ascii="Arial" w:cs="Arial" w:eastAsia="Arial" w:hAnsi="Arial"/>
          <w:sz w:val="15"/>
          <w:szCs w:val="15"/>
          <w:color w:val="auto"/>
        </w:rPr>
        <w:t>has continued to progress its technology platform to enable the oral administration of biologics, vaccines and other drugs that are otherwise not efficiently</w:t>
      </w:r>
      <w:r>
        <w:rPr>
          <w:rFonts w:ascii="Arial" w:cs="Arial" w:eastAsia="Arial" w:hAnsi="Arial"/>
          <w:sz w:val="15"/>
          <w:szCs w:val="15"/>
          <w:b w:val="1"/>
          <w:bCs w:val="1"/>
          <w:color w:val="auto"/>
        </w:rPr>
        <w:t xml:space="preserve"> </w:t>
      </w:r>
      <w:r>
        <w:rPr>
          <w:rFonts w:ascii="Arial" w:cs="Arial" w:eastAsia="Arial" w:hAnsi="Arial"/>
          <w:sz w:val="15"/>
          <w:szCs w:val="15"/>
          <w:color w:val="auto"/>
        </w:rPr>
        <w:t>absorbed when taken orally. Entrega’s innovative approach uses a proprietary, customizable hydrogel dosage form to control local fluid microenvironments in the gastrointestinal tract in an effort to both enhance absorption and reduce the variability of drug exposure. Entrega has generated preclinical proof-of-concept data demonstrating administration of therapeutic peptides into the bloodstream of large animals.</w:t>
      </w:r>
    </w:p>
    <w:p>
      <w:pPr>
        <w:spacing w:after="0" w:line="65" w:lineRule="exact"/>
        <w:rPr>
          <w:sz w:val="20"/>
          <w:szCs w:val="20"/>
          <w:color w:val="auto"/>
        </w:rPr>
      </w:pPr>
    </w:p>
    <w:p>
      <w:pPr>
        <w:ind w:right="120"/>
        <w:spacing w:after="0" w:line="274" w:lineRule="auto"/>
        <w:rPr>
          <w:sz w:val="20"/>
          <w:szCs w:val="20"/>
          <w:color w:val="auto"/>
        </w:rPr>
      </w:pPr>
      <w:r>
        <w:rPr>
          <w:rFonts w:ascii="Arial" w:cs="Arial" w:eastAsia="Arial" w:hAnsi="Arial"/>
          <w:sz w:val="15"/>
          <w:szCs w:val="15"/>
          <w:color w:val="auto"/>
        </w:rPr>
        <w:t xml:space="preserve">In May 2024, </w:t>
      </w:r>
      <w:r>
        <w:rPr>
          <w:rFonts w:ascii="Arial" w:cs="Arial" w:eastAsia="Arial" w:hAnsi="Arial"/>
          <w:sz w:val="15"/>
          <w:szCs w:val="15"/>
          <w:b w:val="1"/>
          <w:bCs w:val="1"/>
          <w:color w:val="auto"/>
        </w:rPr>
        <w:t>Akili</w:t>
      </w:r>
      <w:r>
        <w:rPr>
          <w:rFonts w:ascii="Arial" w:cs="Arial" w:eastAsia="Arial" w:hAnsi="Arial"/>
          <w:sz w:val="15"/>
          <w:szCs w:val="15"/>
          <w:color w:val="auto"/>
        </w:rPr>
        <w:t xml:space="preserve"> and Virtual Therapeutics, a company focused on improving mental health at scale using engaging, immersive games, announced the signing of a definitive merger agreement to form a diversified, leading digital health company. The merger closed in the July 2024 post-period, and Akili is now a wholly owned subsidiary of Virtual Therapeutics.</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183964"/>
        </w:rPr>
        <w:t>Cautionary Note Regarding Forward-Looking Statements</w:t>
      </w:r>
    </w:p>
    <w:p>
      <w:pPr>
        <w:spacing w:after="0" w:line="100" w:lineRule="exact"/>
        <w:rPr>
          <w:sz w:val="20"/>
          <w:szCs w:val="20"/>
          <w:color w:val="auto"/>
        </w:rPr>
      </w:pPr>
    </w:p>
    <w:p>
      <w:pPr>
        <w:spacing w:after="0" w:line="257" w:lineRule="auto"/>
        <w:rPr>
          <w:sz w:val="20"/>
          <w:szCs w:val="20"/>
          <w:color w:val="auto"/>
        </w:rPr>
      </w:pPr>
      <w:r>
        <w:rPr>
          <w:rFonts w:ascii="Arial" w:cs="Arial" w:eastAsia="Arial" w:hAnsi="Arial"/>
          <w:sz w:val="15"/>
          <w:szCs w:val="15"/>
          <w:color w:val="auto"/>
        </w:rPr>
        <w:t>This Interim Management Report contains forward-looking statements within the meaning of the Private Securities Litigation Reform Act of 1995. We intend such forward-looking statements to be covered by the safe harbor provisions for forward looking statements contained in Section 27A of the U.S. Securities Act of 1933, as amended and Section 21E of the Exchange Act of 1934, as amended. All statements contained in this Interim Management Report that do not relate to matters of historical fact should be considered forward-looking statements, including without limitation, statements that relate to our and our Founded Entities’ therapeutic candidates, operational plans, future prospects, objectives, developments and, strategies and expectations, the progress and timing of clinical trials and data readouts, our intentions for the advancement of LYT-100 and its potential to treat IPF, our expectations as to potential earnings based on KarXT's future regulatory and commercial milestones, our expectations as to the achievement of clinical milestones across our Founded Entity program, the maintenance of our cash runway, and our commitment to realizing long-term value for our shareholders. These forward-looking statements are based on the Company’s current expectations and are subject to known and unknown risks, uncertainties and other important factors that could cause actual results, performance and achievements to differ materially from current expectations, including, but not limited to, the following: our history of incurring significant operating losses since our inception; our ability to realize value from our Founded Entities; our need for additional funding to achieve our business goals, which may not be available and which may force us to delay, limit or terminate certain of our therapeutic development efforts; our limited information about and limited control or influence over our Non-Controlled Founded Entities; the lengthy and expensive process of preclinical and clinical drug development, which has an uncertain outcome and potential for substantial delays; potential difficulties with enrolling patients in clinical trials, which could delay our clinical development activities; side effects, adverse events or other safety risks which could be associated with our therapeutic candidates and delay or halt their clinical development; our ability to obtain regulatory approval for and commercialize our therapeutic candidates; our ability to compete with companies currently marketing or engaged in the development of treatments for indications within our programs are designed to target; our ability to realize the benefits of our collaborations, licenses and other arrangements; the impact of government laws and regulations; our ability to maintain and protect our intellectual property rights; our reliance on third parties, including clinical research organizations, clinical investigators and manufacturers; our vulnerability to natural disasters, global economic factors, geo-political actions and unexpected events; and the risks, uncertainties and other important factors described under the caption "Risk Factors" in our Annual Report on Form 20-F for the year ended December 31, 2023 filed with the SEC and in our other regulatory filings. These forward-looking statements are based on assumptions regarding the present and future business strategies of the Company and the environment in which it will operate in the future. Each forward-looking statement speaks only as at the date of this Interim Management Report. Except as required by law and regulatory requirements, we disclaim any obligation to update or revise these forward-looking statements, whether as a result of new information, future events or otherwise.</w:t>
      </w:r>
    </w:p>
    <w:p>
      <w:pPr>
        <w:spacing w:after="0" w:line="306" w:lineRule="exact"/>
        <w:rPr>
          <w:sz w:val="20"/>
          <w:szCs w:val="20"/>
          <w:color w:val="auto"/>
        </w:rPr>
      </w:pPr>
    </w:p>
    <w:p>
      <w:pPr>
        <w:ind w:left="220" w:right="220" w:hanging="212"/>
        <w:spacing w:after="0" w:line="281" w:lineRule="auto"/>
        <w:tabs>
          <w:tab w:leader="none" w:pos="136" w:val="left"/>
        </w:tabs>
        <w:numPr>
          <w:ilvl w:val="0"/>
          <w:numId w:val="6"/>
        </w:numPr>
        <w:rPr>
          <w:rFonts w:ascii="Arial" w:cs="Arial" w:eastAsia="Arial" w:hAnsi="Arial"/>
          <w:sz w:val="11"/>
          <w:szCs w:val="11"/>
          <w:color w:val="183964"/>
        </w:rPr>
      </w:pPr>
      <w:r>
        <w:rPr>
          <w:rFonts w:ascii="Arial" w:cs="Arial" w:eastAsia="Arial" w:hAnsi="Arial"/>
          <w:sz w:val="11"/>
          <w:szCs w:val="11"/>
          <w:color w:val="183964"/>
        </w:rPr>
        <w:t>Fisher, M., Nathan, S. D., Hill, C., Marshall, J., Dejonckheere, F., Thuresson, P., &amp; Maher, T. M. (2017). Predicting Life Expectancy for Pirfenidone in Idiopathic Pulmonary Fibrosis. Journal of Managed Care &amp; Specialty Pharmacy, 23(3-b Suppl), S17 -S24. https://doi.org/10.18553/jmcp.2017.23.3-b.s17</w:t>
      </w:r>
    </w:p>
    <w:p>
      <w:pPr>
        <w:spacing w:after="0" w:line="1" w:lineRule="exact"/>
        <w:rPr>
          <w:sz w:val="20"/>
          <w:szCs w:val="20"/>
          <w:color w:val="auto"/>
        </w:rPr>
      </w:pPr>
    </w:p>
    <w:p>
      <w:pPr>
        <w:ind w:left="220" w:right="40" w:hanging="203"/>
        <w:spacing w:after="0" w:line="281" w:lineRule="auto"/>
        <w:rPr>
          <w:sz w:val="20"/>
          <w:szCs w:val="20"/>
          <w:color w:val="auto"/>
        </w:rPr>
      </w:pPr>
      <w:r>
        <w:rPr>
          <w:rFonts w:ascii="Arial" w:cs="Arial" w:eastAsia="Arial" w:hAnsi="Arial"/>
          <w:sz w:val="11"/>
          <w:szCs w:val="11"/>
          <w:color w:val="183964"/>
        </w:rPr>
        <w:t>2 Dempsey, T., Payne, S. C., Sangaralingham, L. R., Yao, X., Shah, N., &amp; Limper, A. H. (2021). Adoption of the Antifibrotic Medications Pirfenidone and Nintedanib for Patients with Idiopathic Pulmonary Fibrosis. Annals of the American Thoracic Society, 18(7), 1121–1128. https://doi.org/10.1513/annalsats.202007-901oc</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183964"/>
        </w:rPr>
        <w:t>3. Roche 2022 Annual Report and Boehringer Ingelheim 2022 Financial Results</w:t>
      </w:r>
    </w:p>
    <w:p>
      <w:pPr>
        <w:sectPr>
          <w:pgSz w:w="11900" w:h="16838" w:orient="portrait"/>
          <w:cols w:equalWidth="0" w:num="1">
            <w:col w:w="11220"/>
          </w:cols>
          <w:pgMar w:left="320" w:top="1241" w:right="359" w:bottom="1440" w:gutter="0" w:footer="0" w:header="0"/>
        </w:sectPr>
      </w:pPr>
    </w:p>
    <w:bookmarkStart w:id="11" w:name="page12"/>
    <w:bookmarkEnd w:id="11"/>
    <w:p>
      <w:pPr>
        <w:spacing w:after="0"/>
        <w:rPr>
          <w:sz w:val="20"/>
          <w:szCs w:val="20"/>
          <w:color w:val="auto"/>
        </w:rPr>
      </w:pPr>
      <w:r>
        <w:rPr>
          <w:rFonts w:ascii="Arial" w:cs="Arial" w:eastAsia="Arial" w:hAnsi="Arial"/>
          <w:sz w:val="31"/>
          <w:szCs w:val="31"/>
          <w:b w:val="1"/>
          <w:bCs w:val="1"/>
          <w:color w:val="183964"/>
        </w:rPr>
        <w:t>Financial Review</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183964"/>
        </w:rPr>
        <w:t>Reporting Framework</w:t>
      </w:r>
    </w:p>
    <w:p>
      <w:pPr>
        <w:spacing w:after="0" w:line="100" w:lineRule="exact"/>
        <w:rPr>
          <w:sz w:val="20"/>
          <w:szCs w:val="20"/>
          <w:color w:val="auto"/>
        </w:rPr>
      </w:pPr>
    </w:p>
    <w:p>
      <w:pPr>
        <w:ind w:right="180"/>
        <w:spacing w:after="0" w:line="263" w:lineRule="auto"/>
        <w:rPr>
          <w:sz w:val="20"/>
          <w:szCs w:val="20"/>
          <w:color w:val="auto"/>
        </w:rPr>
      </w:pPr>
      <w:r>
        <w:rPr>
          <w:rFonts w:ascii="Arial" w:cs="Arial" w:eastAsia="Arial" w:hAnsi="Arial"/>
          <w:sz w:val="15"/>
          <w:szCs w:val="15"/>
          <w:color w:val="auto"/>
        </w:rPr>
        <w:t>You should read the following discussion and analysis together with our Condensed Consolidated Financial Statements, including the notes thereto, set forth elsewhere in this report. Some of the information contained in this discussion and analysis or set forth elsewhere in this report, including information with respect to our plans and strategy for our business and financing our business, includes forward-looking statements that involve risks and uncertainties. You should read this discussion and analysis in conjunction with the risks identified in the “Risk Factor Annex" on pages 186 to 223 of our “Annual Report and Accounts 2023”, also included as Exhibit 15.1 to the Form 20-F for the fiscal year ended December 31, 2023 filed with the Securities and Exchange Commission on April 25, 2024. As a result of many factors, our actual results could differ materially from the results described in or implied by these forward-looking statements.</w:t>
      </w:r>
    </w:p>
    <w:p>
      <w:pPr>
        <w:spacing w:after="0" w:line="67"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 xml:space="preserve">Our unaudited Condensed Consolidated Financial Statements as of June 30, 2024, and for the six months ended June 30, 2024 and 2023, have been prepared in accordance with International Accounting Standard (“IAS”) 34 </w:t>
      </w:r>
      <w:r>
        <w:rPr>
          <w:rFonts w:ascii="Arial" w:cs="Arial" w:eastAsia="Arial" w:hAnsi="Arial"/>
          <w:sz w:val="15"/>
          <w:szCs w:val="15"/>
          <w:i w:val="1"/>
          <w:iCs w:val="1"/>
          <w:color w:val="auto"/>
        </w:rPr>
        <w:t>Interim Financial Reporting</w:t>
      </w:r>
      <w:r>
        <w:rPr>
          <w:rFonts w:ascii="Arial" w:cs="Arial" w:eastAsia="Arial" w:hAnsi="Arial"/>
          <w:sz w:val="15"/>
          <w:szCs w:val="15"/>
          <w:color w:val="auto"/>
        </w:rPr>
        <w:t xml:space="preserve"> as adopted for use in the UK and also comply fully with IAS 34 as issued by the International Accounting Standards Board ("IASB"). This report should be read in conjunction with the Group’s 2023 Annual Reports and Accounts as of and for the year ended December 31, 2023.</w:t>
      </w:r>
    </w:p>
    <w:p>
      <w:pPr>
        <w:spacing w:after="0" w:line="67" w:lineRule="exact"/>
        <w:rPr>
          <w:sz w:val="20"/>
          <w:szCs w:val="20"/>
          <w:color w:val="auto"/>
        </w:rPr>
      </w:pPr>
    </w:p>
    <w:p>
      <w:pPr>
        <w:ind w:right="60"/>
        <w:spacing w:after="0" w:line="252" w:lineRule="auto"/>
        <w:rPr>
          <w:sz w:val="20"/>
          <w:szCs w:val="20"/>
          <w:color w:val="auto"/>
        </w:rPr>
      </w:pPr>
      <w:r>
        <w:rPr>
          <w:rFonts w:ascii="Arial" w:cs="Arial" w:eastAsia="Arial" w:hAnsi="Arial"/>
          <w:sz w:val="15"/>
          <w:szCs w:val="15"/>
          <w:color w:val="auto"/>
        </w:rPr>
        <w:t>The following discussion contains references to the Consolidated Financial Statements of PureTech Health plc (the "Parent") and its consolidated subsidiaries, together "the Group". These financial statements consolidate PureTech Health plc’s subsidiaries and include the Group’s interest in associates by way of equity method, as well as investments held at fair value. Subsidiaries are those entities over which the Group maintains control. Associates are those entities in which the Group does not have control for financial accounting purposes but maintains significant influence over financial and operating policies. Where the Group has neither control nor significant influence for financial accounting purposes, or when the investment in associates is not in instruments that would be considered equity for accounting purposes, we recognize our holdings in such entity as an investment at fair value with changes in fair value being recorded in the Condensed Consolidated Statement of Comprehensive Income/(Loss). For purposes of our Condensed Consolidated Financial Statements, each of our Founded Entities</w:t>
      </w:r>
      <w:r>
        <w:rPr>
          <w:rFonts w:ascii="Arial" w:cs="Arial" w:eastAsia="Arial" w:hAnsi="Arial"/>
          <w:sz w:val="19"/>
          <w:szCs w:val="19"/>
          <w:color w:val="auto"/>
          <w:vertAlign w:val="superscript"/>
        </w:rPr>
        <w:t>1</w:t>
      </w:r>
      <w:r>
        <w:rPr>
          <w:rFonts w:ascii="Arial" w:cs="Arial" w:eastAsia="Arial" w:hAnsi="Arial"/>
          <w:sz w:val="15"/>
          <w:szCs w:val="15"/>
          <w:color w:val="auto"/>
        </w:rPr>
        <w:t xml:space="preserve"> are considered to be either a “subsidiary", an “associate” or an "investment held at fair value" depending on whether the Group controls or maintains significant influence over the financial and operating policies of the respective entity at the respective period end date, and depending on the form of the investment. For additional information regarding the accounting treatment of these entities, see Note 1. Material Accounting Policies to our Consolidated Financial Statements included in our 2023 Annual Report and Accounts. For additional information regarding our operating structure, see “Basis of Presentation and Consolidation” below.</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183964"/>
        </w:rPr>
        <w:t>Business Background and Results Overview</w:t>
      </w:r>
    </w:p>
    <w:p>
      <w:pPr>
        <w:spacing w:after="0" w:line="27" w:lineRule="exact"/>
        <w:rPr>
          <w:sz w:val="20"/>
          <w:szCs w:val="20"/>
          <w:color w:val="auto"/>
        </w:rPr>
      </w:pPr>
    </w:p>
    <w:p>
      <w:pPr>
        <w:ind w:right="220"/>
        <w:spacing w:after="0" w:line="233" w:lineRule="auto"/>
        <w:rPr>
          <w:sz w:val="20"/>
          <w:szCs w:val="20"/>
          <w:color w:val="auto"/>
        </w:rPr>
      </w:pPr>
      <w:r>
        <w:rPr>
          <w:rFonts w:ascii="Arial" w:cs="Arial" w:eastAsia="Arial" w:hAnsi="Arial"/>
          <w:sz w:val="15"/>
          <w:szCs w:val="15"/>
          <w:color w:val="auto"/>
        </w:rPr>
        <w:t>The business background is discussed above in the Interim Management Report, which describes the business development of our Wholly-Owned Programs</w:t>
      </w:r>
      <w:r>
        <w:rPr>
          <w:rFonts w:ascii="Arial" w:cs="Arial" w:eastAsia="Arial" w:hAnsi="Arial"/>
          <w:sz w:val="19"/>
          <w:szCs w:val="19"/>
          <w:color w:val="auto"/>
          <w:vertAlign w:val="superscript"/>
        </w:rPr>
        <w:t>2</w:t>
      </w:r>
      <w:r>
        <w:rPr>
          <w:rFonts w:ascii="Arial" w:cs="Arial" w:eastAsia="Arial" w:hAnsi="Arial"/>
          <w:sz w:val="15"/>
          <w:szCs w:val="15"/>
          <w:color w:val="auto"/>
        </w:rPr>
        <w:t xml:space="preserve"> and Founded Entities.</w:t>
      </w:r>
    </w:p>
    <w:p>
      <w:pPr>
        <w:spacing w:after="0" w:line="71" w:lineRule="exact"/>
        <w:rPr>
          <w:sz w:val="20"/>
          <w:szCs w:val="20"/>
          <w:color w:val="auto"/>
        </w:rPr>
      </w:pPr>
    </w:p>
    <w:p>
      <w:pPr>
        <w:jc w:val="both"/>
        <w:ind w:right="200"/>
        <w:spacing w:after="0" w:line="273" w:lineRule="auto"/>
        <w:rPr>
          <w:sz w:val="20"/>
          <w:szCs w:val="20"/>
          <w:color w:val="auto"/>
        </w:rPr>
      </w:pPr>
      <w:r>
        <w:rPr>
          <w:rFonts w:ascii="Arial" w:cs="Arial" w:eastAsia="Arial" w:hAnsi="Arial"/>
          <w:sz w:val="15"/>
          <w:szCs w:val="15"/>
          <w:color w:val="auto"/>
        </w:rPr>
        <w:t>Our ability to generate product revenue sufficient to achieve profitability will depend on the successful development and eventual commercialization of one or more therapeutic candidates of our wholly-owned or Controlled Founded Entities</w:t>
      </w:r>
      <w:r>
        <w:rPr>
          <w:rFonts w:ascii="Arial" w:cs="Arial" w:eastAsia="Arial" w:hAnsi="Arial"/>
          <w:sz w:val="9"/>
          <w:szCs w:val="9"/>
          <w:color w:val="auto"/>
        </w:rPr>
        <w:t>3</w:t>
      </w:r>
      <w:r>
        <w:rPr>
          <w:rFonts w:ascii="Arial" w:cs="Arial" w:eastAsia="Arial" w:hAnsi="Arial"/>
          <w:sz w:val="15"/>
          <w:szCs w:val="15"/>
          <w:color w:val="auto"/>
        </w:rPr>
        <w:t>, which may or may not occur. Historically, certain of our Founded Entities therapeutics received marketing authorization from the FDA, but our Wholly-Owned Programs have not generated revenue from product sales to date.</w:t>
      </w:r>
    </w:p>
    <w:p>
      <w:pPr>
        <w:spacing w:after="0" w:line="46" w:lineRule="exact"/>
        <w:rPr>
          <w:sz w:val="20"/>
          <w:szCs w:val="20"/>
          <w:color w:val="auto"/>
        </w:rPr>
      </w:pPr>
    </w:p>
    <w:p>
      <w:pPr>
        <w:ind w:right="100"/>
        <w:spacing w:after="0" w:line="301" w:lineRule="auto"/>
        <w:rPr>
          <w:sz w:val="20"/>
          <w:szCs w:val="20"/>
          <w:color w:val="auto"/>
        </w:rPr>
      </w:pPr>
      <w:r>
        <w:rPr>
          <w:rFonts w:ascii="Arial" w:cs="Arial" w:eastAsia="Arial" w:hAnsi="Arial"/>
          <w:sz w:val="15"/>
          <w:szCs w:val="15"/>
          <w:color w:val="auto"/>
        </w:rPr>
        <w:t>Furthermore, our ability to achieve profitability will largely rely on successfully monetizing our investment in Founded Entities, including the sale of rights to royalties, entering into strategic partnerships, and other related business development activities.</w:t>
      </w:r>
    </w:p>
    <w:p>
      <w:pPr>
        <w:spacing w:after="0" w:line="26"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We deconsolidated a number of our Founded Entities, specifically Vedanta Biosciences, Inc. ("Vedanta") in March 2023, Sonde Health Inc. ("Sonde") in 2022, Karuna Therapeutics, Inc. ("Karuna"), Vor Biopharma Inc. ("Vor") and Gelesis in 2019, and Akili in 2018.</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Any deconsolidation affects our financials in the following manner:</w:t>
      </w:r>
    </w:p>
    <w:p>
      <w:pPr>
        <w:spacing w:after="0" w:line="98"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5"/>
          <w:szCs w:val="15"/>
          <w:color w:val="auto"/>
        </w:rPr>
      </w:pPr>
      <w:r>
        <w:rPr>
          <w:rFonts w:ascii="Arial" w:cs="Arial" w:eastAsia="Arial" w:hAnsi="Arial"/>
          <w:sz w:val="15"/>
          <w:szCs w:val="15"/>
          <w:color w:val="auto"/>
        </w:rPr>
        <w:t>our ownership interest does not provide us with a controlling financial interest;</w:t>
      </w:r>
    </w:p>
    <w:p>
      <w:pPr>
        <w:spacing w:after="0" w:line="27" w:lineRule="exact"/>
        <w:rPr>
          <w:rFonts w:ascii="Arial" w:cs="Arial" w:eastAsia="Arial" w:hAnsi="Arial"/>
          <w:sz w:val="15"/>
          <w:szCs w:val="15"/>
          <w:color w:val="auto"/>
        </w:rPr>
      </w:pPr>
    </w:p>
    <w:p>
      <w:pPr>
        <w:ind w:left="220" w:right="240" w:hanging="212"/>
        <w:spacing w:after="0" w:line="253" w:lineRule="auto"/>
        <w:tabs>
          <w:tab w:leader="none" w:pos="191" w:val="left"/>
        </w:tabs>
        <w:numPr>
          <w:ilvl w:val="0"/>
          <w:numId w:val="7"/>
        </w:numPr>
        <w:rPr>
          <w:rFonts w:ascii="Arial" w:cs="Arial" w:eastAsia="Arial" w:hAnsi="Arial"/>
          <w:sz w:val="15"/>
          <w:szCs w:val="15"/>
          <w:color w:val="auto"/>
        </w:rPr>
      </w:pPr>
      <w:r>
        <w:rPr>
          <w:rFonts w:ascii="Arial" w:cs="Arial" w:eastAsia="Arial" w:hAnsi="Arial"/>
          <w:sz w:val="15"/>
          <w:szCs w:val="15"/>
          <w:color w:val="auto"/>
        </w:rPr>
        <w:t>we no longer control the Founded Entity's assets and liabilities, and as a result, we derecognize the assets, liabilities and non-controlling interests related to the Founded Entity from our financial statements;</w:t>
      </w:r>
    </w:p>
    <w:p>
      <w:pPr>
        <w:ind w:left="180" w:hanging="172"/>
        <w:spacing w:after="0"/>
        <w:tabs>
          <w:tab w:leader="none" w:pos="180" w:val="left"/>
        </w:tabs>
        <w:numPr>
          <w:ilvl w:val="0"/>
          <w:numId w:val="7"/>
        </w:numPr>
        <w:rPr>
          <w:rFonts w:ascii="Arial" w:cs="Arial" w:eastAsia="Arial" w:hAnsi="Arial"/>
          <w:sz w:val="15"/>
          <w:szCs w:val="15"/>
          <w:color w:val="auto"/>
        </w:rPr>
      </w:pPr>
      <w:r>
        <w:rPr>
          <w:rFonts w:ascii="Arial" w:cs="Arial" w:eastAsia="Arial" w:hAnsi="Arial"/>
          <w:sz w:val="15"/>
          <w:szCs w:val="15"/>
          <w:color w:val="auto"/>
        </w:rPr>
        <w:t>we record our retained investment in the Founded Entity at fair value; and</w:t>
      </w:r>
    </w:p>
    <w:p>
      <w:pPr>
        <w:spacing w:after="0" w:line="16" w:lineRule="exact"/>
        <w:rPr>
          <w:rFonts w:ascii="Arial" w:cs="Arial" w:eastAsia="Arial" w:hAnsi="Arial"/>
          <w:sz w:val="15"/>
          <w:szCs w:val="15"/>
          <w:color w:val="auto"/>
        </w:rPr>
      </w:pPr>
    </w:p>
    <w:p>
      <w:pPr>
        <w:ind w:left="180" w:hanging="172"/>
        <w:spacing w:after="0"/>
        <w:tabs>
          <w:tab w:leader="none" w:pos="18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resulting amount of any gain or loss is recognized.</w:t>
      </w:r>
    </w:p>
    <w:p>
      <w:pPr>
        <w:spacing w:after="0" w:line="86" w:lineRule="exact"/>
        <w:rPr>
          <w:sz w:val="20"/>
          <w:szCs w:val="20"/>
          <w:color w:val="auto"/>
        </w:rPr>
      </w:pPr>
    </w:p>
    <w:p>
      <w:pPr>
        <w:ind w:right="40"/>
        <w:spacing w:after="0" w:line="273" w:lineRule="auto"/>
        <w:rPr>
          <w:sz w:val="20"/>
          <w:szCs w:val="20"/>
          <w:color w:val="auto"/>
        </w:rPr>
      </w:pPr>
      <w:r>
        <w:rPr>
          <w:rFonts w:ascii="Arial" w:cs="Arial" w:eastAsia="Arial" w:hAnsi="Arial"/>
          <w:sz w:val="15"/>
          <w:szCs w:val="15"/>
          <w:color w:val="auto"/>
        </w:rPr>
        <w:t>We anticipate our expenses to continue to increase proportionally in connection with execution of our strategy around creating and supporting Founded Entities, as well as the ongoing development activities related mostly to the advancement into late-stage studies of the clinical programs within our Wholly-Owned Programs. We also expect that our expenses and capital requirements will increase in the near to mid-term as we:</w:t>
      </w:r>
    </w:p>
    <w:p>
      <w:pPr>
        <w:spacing w:after="0" w:line="46"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5"/>
          <w:szCs w:val="15"/>
          <w:color w:val="auto"/>
        </w:rPr>
      </w:pPr>
      <w:r>
        <w:rPr>
          <w:rFonts w:ascii="Arial" w:cs="Arial" w:eastAsia="Arial" w:hAnsi="Arial"/>
          <w:sz w:val="15"/>
          <w:szCs w:val="15"/>
          <w:color w:val="auto"/>
        </w:rPr>
        <w:t>continue our research and development efforts;</w:t>
      </w:r>
    </w:p>
    <w:p>
      <w:pPr>
        <w:spacing w:after="0" w:line="27" w:lineRule="exact"/>
        <w:rPr>
          <w:rFonts w:ascii="Arial" w:cs="Arial" w:eastAsia="Arial" w:hAnsi="Arial"/>
          <w:sz w:val="15"/>
          <w:szCs w:val="15"/>
          <w:color w:val="auto"/>
        </w:rPr>
      </w:pPr>
    </w:p>
    <w:p>
      <w:pPr>
        <w:ind w:left="180" w:hanging="172"/>
        <w:spacing w:after="0"/>
        <w:tabs>
          <w:tab w:leader="none" w:pos="180" w:val="left"/>
        </w:tabs>
        <w:numPr>
          <w:ilvl w:val="0"/>
          <w:numId w:val="8"/>
        </w:numPr>
        <w:rPr>
          <w:rFonts w:ascii="Arial" w:cs="Arial" w:eastAsia="Arial" w:hAnsi="Arial"/>
          <w:sz w:val="15"/>
          <w:szCs w:val="15"/>
          <w:color w:val="auto"/>
        </w:rPr>
      </w:pPr>
      <w:r>
        <w:rPr>
          <w:rFonts w:ascii="Arial" w:cs="Arial" w:eastAsia="Arial" w:hAnsi="Arial"/>
          <w:sz w:val="15"/>
          <w:szCs w:val="15"/>
          <w:color w:val="auto"/>
        </w:rPr>
        <w:t>seek regulatory approvals for any therapeutic candidates that successfully complete clinical trials; and</w:t>
      </w:r>
    </w:p>
    <w:p>
      <w:pPr>
        <w:spacing w:after="0" w:line="16" w:lineRule="exact"/>
        <w:rPr>
          <w:rFonts w:ascii="Arial" w:cs="Arial" w:eastAsia="Arial" w:hAnsi="Arial"/>
          <w:sz w:val="15"/>
          <w:szCs w:val="15"/>
          <w:color w:val="auto"/>
        </w:rPr>
      </w:pPr>
    </w:p>
    <w:p>
      <w:pPr>
        <w:ind w:left="220" w:right="40" w:hanging="212"/>
        <w:spacing w:after="0" w:line="267" w:lineRule="auto"/>
        <w:tabs>
          <w:tab w:leader="none" w:pos="191" w:val="left"/>
        </w:tabs>
        <w:numPr>
          <w:ilvl w:val="0"/>
          <w:numId w:val="8"/>
        </w:numPr>
        <w:rPr>
          <w:rFonts w:ascii="Arial" w:cs="Arial" w:eastAsia="Arial" w:hAnsi="Arial"/>
          <w:sz w:val="15"/>
          <w:szCs w:val="15"/>
          <w:color w:val="auto"/>
        </w:rPr>
      </w:pPr>
      <w:r>
        <w:rPr>
          <w:rFonts w:ascii="Arial" w:cs="Arial" w:eastAsia="Arial" w:hAnsi="Arial"/>
          <w:sz w:val="15"/>
          <w:szCs w:val="15"/>
          <w:color w:val="auto"/>
        </w:rPr>
        <w:t>add clinical, scientific, operational, financial and management information systems and personnel, including personnel to support our therapeutic development and potential future commercialization claims.</w:t>
      </w:r>
    </w:p>
    <w:p>
      <w:pPr>
        <w:sectPr>
          <w:pgSz w:w="11900" w:h="16838" w:orient="portrait"/>
          <w:cols w:equalWidth="0" w:num="1">
            <w:col w:w="11180"/>
          </w:cols>
          <w:pgMar w:left="320" w:top="1235" w:right="399" w:bottom="1440" w:gutter="0" w:footer="0" w:header="0"/>
        </w:sectPr>
      </w:pPr>
    </w:p>
    <w:bookmarkStart w:id="12" w:name="page13"/>
    <w:bookmarkEnd w:id="12"/>
    <w:p>
      <w:pPr>
        <w:jc w:val="both"/>
        <w:ind w:right="120"/>
        <w:spacing w:after="0" w:line="273" w:lineRule="auto"/>
        <w:rPr>
          <w:sz w:val="20"/>
          <w:szCs w:val="20"/>
          <w:color w:val="auto"/>
        </w:rPr>
      </w:pPr>
      <w:r>
        <w:rPr>
          <w:rFonts w:ascii="Arial" w:cs="Arial" w:eastAsia="Arial" w:hAnsi="Arial"/>
          <w:sz w:val="15"/>
          <w:szCs w:val="15"/>
          <w:color w:val="auto"/>
        </w:rPr>
        <w:t>More specifically, we anticipate that our internal research and development spend will increase in the foreseeable future as we may initiate additional clinical studies for our existing therapeutic candidates, evaluate new therapeutic candidates for investment and further development, progress additional therapeutic candidates into the clinic, as well as advance our technology platforms.</w:t>
      </w:r>
    </w:p>
    <w:p>
      <w:pPr>
        <w:spacing w:after="0" w:line="50" w:lineRule="exact"/>
        <w:rPr>
          <w:sz w:val="20"/>
          <w:szCs w:val="20"/>
          <w:color w:val="auto"/>
        </w:rPr>
      </w:pPr>
    </w:p>
    <w:p>
      <w:pPr>
        <w:ind w:left="220" w:right="20" w:hanging="212"/>
        <w:spacing w:after="0" w:line="230" w:lineRule="auto"/>
        <w:tabs>
          <w:tab w:leader="none" w:pos="214" w:val="left"/>
        </w:tabs>
        <w:numPr>
          <w:ilvl w:val="0"/>
          <w:numId w:val="9"/>
        </w:numPr>
        <w:rPr>
          <w:rFonts w:ascii="Arial" w:cs="Arial" w:eastAsia="Arial" w:hAnsi="Arial"/>
          <w:sz w:val="11"/>
          <w:szCs w:val="11"/>
          <w:color w:val="183964"/>
        </w:rPr>
      </w:pPr>
      <w:r>
        <w:rPr>
          <w:rFonts w:ascii="Arial" w:cs="Arial" w:eastAsia="Arial" w:hAnsi="Arial"/>
          <w:sz w:val="11"/>
          <w:szCs w:val="11"/>
          <w:color w:val="183964"/>
        </w:rPr>
        <w:t>Founded Entities are comprised of the entities which the Company incorporated and announced the incorporation as a Founded Entity externally. It includes certain of the Company’s wholly-owned subsidiaries which have been announced by the Company as Founded Entities, Controlled Founded Entities</w:t>
      </w:r>
      <w:r>
        <w:rPr>
          <w:rFonts w:ascii="Arial" w:cs="Arial" w:eastAsia="Arial" w:hAnsi="Arial"/>
          <w:sz w:val="14"/>
          <w:szCs w:val="14"/>
          <w:color w:val="183964"/>
          <w:vertAlign w:val="superscript"/>
        </w:rPr>
        <w:t>3</w:t>
      </w:r>
      <w:r>
        <w:rPr>
          <w:rFonts w:ascii="Arial" w:cs="Arial" w:eastAsia="Arial" w:hAnsi="Arial"/>
          <w:sz w:val="11"/>
          <w:szCs w:val="11"/>
          <w:color w:val="183964"/>
        </w:rPr>
        <w:t xml:space="preserve"> and deconsolidated Founded Entities. As of June 30, 2024, deconsolidated Founded Entities included Akili Interactive Labs, Inc., Karuna Therapeutics, Inc., Vor Bio, Inc., Gelesis, Inc., Sonde Health, Inc., and Vedanta Biosciences, Inc.</w:t>
      </w:r>
    </w:p>
    <w:p>
      <w:pPr>
        <w:spacing w:after="0" w:line="21" w:lineRule="exact"/>
        <w:rPr>
          <w:rFonts w:ascii="Arial" w:cs="Arial" w:eastAsia="Arial" w:hAnsi="Arial"/>
          <w:sz w:val="11"/>
          <w:szCs w:val="11"/>
          <w:color w:val="183964"/>
        </w:rPr>
      </w:pPr>
    </w:p>
    <w:p>
      <w:pPr>
        <w:ind w:left="220" w:hanging="212"/>
        <w:spacing w:after="0" w:line="270" w:lineRule="auto"/>
        <w:tabs>
          <w:tab w:leader="none" w:pos="214" w:val="left"/>
        </w:tabs>
        <w:numPr>
          <w:ilvl w:val="0"/>
          <w:numId w:val="9"/>
        </w:numPr>
        <w:rPr>
          <w:rFonts w:ascii="Arial" w:cs="Arial" w:eastAsia="Arial" w:hAnsi="Arial"/>
          <w:sz w:val="11"/>
          <w:szCs w:val="11"/>
          <w:color w:val="183964"/>
        </w:rPr>
      </w:pPr>
      <w:r>
        <w:rPr>
          <w:rFonts w:ascii="Arial" w:cs="Arial" w:eastAsia="Arial" w:hAnsi="Arial"/>
          <w:sz w:val="11"/>
          <w:szCs w:val="11"/>
          <w:color w:val="183964"/>
        </w:rPr>
        <w:t>Wholly-Owned Programs are comprised of the Company’s current and future therapeutic candidates and technologies that are developed by the Company's wholly-owned subsidiaries, whether they were announced as a Founded Entity or not, and will be advanced through with either the Company's funding or non-dilutive sources of financing. As of June 30 ,2024, Wholly-Owned Programs were developed by the wholly-owned subsidiaries including PureTech LYT, Inc., PureTech LYT 100, Inc. and Gallop Oncology, Inc. and included primarily the programs LYT-100, and LYT-200.</w:t>
      </w:r>
    </w:p>
    <w:p>
      <w:pPr>
        <w:spacing w:after="0" w:line="5" w:lineRule="exact"/>
        <w:rPr>
          <w:rFonts w:ascii="Arial" w:cs="Arial" w:eastAsia="Arial" w:hAnsi="Arial"/>
          <w:sz w:val="11"/>
          <w:szCs w:val="11"/>
          <w:color w:val="183964"/>
        </w:rPr>
      </w:pPr>
    </w:p>
    <w:p>
      <w:pPr>
        <w:ind w:left="220" w:right="180" w:hanging="212"/>
        <w:spacing w:after="0" w:line="259" w:lineRule="auto"/>
        <w:tabs>
          <w:tab w:leader="none" w:pos="214" w:val="left"/>
        </w:tabs>
        <w:numPr>
          <w:ilvl w:val="0"/>
          <w:numId w:val="9"/>
        </w:numPr>
        <w:rPr>
          <w:rFonts w:ascii="Arial" w:cs="Arial" w:eastAsia="Arial" w:hAnsi="Arial"/>
          <w:sz w:val="11"/>
          <w:szCs w:val="11"/>
          <w:color w:val="183964"/>
        </w:rPr>
      </w:pPr>
      <w:r>
        <w:rPr>
          <w:rFonts w:ascii="Arial" w:cs="Arial" w:eastAsia="Arial" w:hAnsi="Arial"/>
          <w:sz w:val="11"/>
          <w:szCs w:val="11"/>
          <w:color w:val="183964"/>
        </w:rPr>
        <w:t>Controlled Founded Entities are comprised of the Company’s consolidated operational subsidiaries that currently have already raised third-party dilutive capital. As of June 30, 2024, Controlled Founded Entities included Entrega, Inc. and Seaport Therapeutics.</w:t>
      </w:r>
    </w:p>
    <w:p>
      <w:pPr>
        <w:spacing w:after="0" w:line="290" w:lineRule="exact"/>
        <w:rPr>
          <w:sz w:val="20"/>
          <w:szCs w:val="20"/>
          <w:color w:val="auto"/>
        </w:rPr>
      </w:pPr>
    </w:p>
    <w:p>
      <w:pPr>
        <w:ind w:right="440"/>
        <w:spacing w:after="0" w:line="268" w:lineRule="auto"/>
        <w:rPr>
          <w:sz w:val="20"/>
          <w:szCs w:val="20"/>
          <w:color w:val="auto"/>
        </w:rPr>
      </w:pPr>
      <w:r>
        <w:rPr>
          <w:rFonts w:ascii="Arial" w:cs="Arial" w:eastAsia="Arial" w:hAnsi="Arial"/>
          <w:sz w:val="15"/>
          <w:szCs w:val="15"/>
          <w:color w:val="auto"/>
        </w:rPr>
        <w:t>In addition, with respect to our Founded Entities’ programs, we anticipate that we will continue to fund a small portion of development costs by strategically participating in such companies’ financings when we believe participation in such financings is in the best interests of our shareholders. The form of any such participation may include investment in public or private financings, collaboration, partnership arrangements, and/or licensing arrangements, among others. Our management and strategic decision makers consider the future funding needs of our Founded Entities and evaluate the needs and opportunities for returns with respect to each of these Founded Entities routinely and on a case-by-case basis.</w:t>
      </w:r>
    </w:p>
    <w:p>
      <w:pPr>
        <w:spacing w:after="0" w:line="49" w:lineRule="exact"/>
        <w:rPr>
          <w:sz w:val="20"/>
          <w:szCs w:val="20"/>
          <w:color w:val="auto"/>
        </w:rPr>
      </w:pPr>
    </w:p>
    <w:p>
      <w:pPr>
        <w:ind w:right="60"/>
        <w:spacing w:after="0" w:line="263" w:lineRule="auto"/>
        <w:rPr>
          <w:sz w:val="20"/>
          <w:szCs w:val="20"/>
          <w:color w:val="auto"/>
        </w:rPr>
      </w:pPr>
      <w:r>
        <w:rPr>
          <w:rFonts w:ascii="Arial" w:cs="Arial" w:eastAsia="Arial" w:hAnsi="Arial"/>
          <w:sz w:val="15"/>
          <w:szCs w:val="15"/>
          <w:color w:val="auto"/>
        </w:rPr>
        <w:t>As a result, we may need substantial additional funding in the future, following the period described below in the Funding Requirement section, to support our continuing operations and pursue our growth strategy until such time as we can generate sufficient revenue from product sales to support our operations, if ever. Until such time, we expect to finance our operations through a combination of monetization of our interests in our Founded Entities, collaborations with third parties, or other sources. We may be unable to raise additional funds or enter into such other agreements or arrangements when needed on favorable terms, or at all. If we are unable to raise capital or enter into such agreements, as and when needed, we may have to delay, scale back or discontinue the development and commercialization of one or more of our wholly-owned therapeutic candidates.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183964"/>
        </w:rPr>
        <w:t>Measuring Performance</w:t>
      </w:r>
    </w:p>
    <w:p>
      <w:pPr>
        <w:spacing w:after="0" w:line="100" w:lineRule="exact"/>
        <w:rPr>
          <w:sz w:val="20"/>
          <w:szCs w:val="20"/>
          <w:color w:val="auto"/>
        </w:rPr>
      </w:pPr>
    </w:p>
    <w:p>
      <w:pPr>
        <w:ind w:right="140"/>
        <w:spacing w:after="0" w:line="301" w:lineRule="auto"/>
        <w:rPr>
          <w:sz w:val="20"/>
          <w:szCs w:val="20"/>
          <w:color w:val="auto"/>
        </w:rPr>
      </w:pPr>
      <w:r>
        <w:rPr>
          <w:rFonts w:ascii="Arial" w:cs="Arial" w:eastAsia="Arial" w:hAnsi="Arial"/>
          <w:sz w:val="15"/>
          <w:szCs w:val="15"/>
          <w:color w:val="auto"/>
        </w:rPr>
        <w:t>The Financial Review discusses our operating and financial performance, our cash flows and liquidity as well as our financial position and our resources. The results of current period are compared with the results of the comparative period in the prior year.</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183964"/>
        </w:rPr>
        <w:t>Reported Performance</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Reported performance considers all factors that have affected the results of our business, as reflected in our Condensed Consolidated Financial Statements.</w:t>
      </w: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color w:val="183964"/>
        </w:rPr>
        <w:t>Core Performance</w:t>
      </w:r>
    </w:p>
    <w:p>
      <w:pPr>
        <w:spacing w:after="0" w:line="17"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color w:val="auto"/>
        </w:rPr>
        <w:t>Core performance measures are alternative performance measures which are adjusted and non-IFRS measures. These measures cannot be derived directly from our Condensed Consolidated Financial Statements. We believe that these non-IFRS performance measures, when provided in combination with reported performance, will provide investors, analysts and other stakeholders with helpful complementary information to better understand our financial performance and our financial position from period to period. The measures are also used by management for planning and reporting purposes. The measures are not substitutable for IFRS financial information and should not be considered superior to financial information presented in accordance with IFRS.</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Cash flow and liquidity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234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160" w:type="dxa"/>
            <w:vAlign w:val="bottom"/>
          </w:tcPr>
          <w:p>
            <w:pPr>
              <w:ind w:left="20"/>
              <w:spacing w:after="0"/>
              <w:rPr>
                <w:sz w:val="20"/>
                <w:szCs w:val="20"/>
                <w:color w:val="auto"/>
              </w:rPr>
            </w:pPr>
            <w:r>
              <w:rPr>
                <w:rFonts w:ascii="Arial" w:cs="Arial" w:eastAsia="Arial" w:hAnsi="Arial"/>
                <w:sz w:val="15"/>
                <w:szCs w:val="15"/>
                <w:color w:val="auto"/>
              </w:rPr>
              <w:t>PureTech Level cash, cash</w:t>
            </w:r>
          </w:p>
        </w:tc>
        <w:tc>
          <w:tcPr>
            <w:tcW w:w="9060" w:type="dxa"/>
            <w:vAlign w:val="bottom"/>
          </w:tcPr>
          <w:p>
            <w:pPr>
              <w:ind w:left="300"/>
              <w:spacing w:after="0"/>
              <w:rPr>
                <w:sz w:val="20"/>
                <w:szCs w:val="20"/>
                <w:color w:val="auto"/>
              </w:rPr>
            </w:pPr>
            <w:r>
              <w:rPr>
                <w:rFonts w:ascii="Arial" w:cs="Arial" w:eastAsia="Arial" w:hAnsi="Arial"/>
                <w:sz w:val="15"/>
                <w:szCs w:val="15"/>
                <w:b w:val="1"/>
                <w:bCs w:val="1"/>
                <w:color w:val="auto"/>
              </w:rPr>
              <w:t xml:space="preserve">Measure type: </w:t>
            </w:r>
            <w:r>
              <w:rPr>
                <w:rFonts w:ascii="Arial" w:cs="Arial" w:eastAsia="Arial" w:hAnsi="Arial"/>
                <w:sz w:val="15"/>
                <w:szCs w:val="15"/>
                <w:color w:val="auto"/>
              </w:rPr>
              <w:t>Core performance</w:t>
            </w:r>
          </w:p>
        </w:tc>
        <w:tc>
          <w:tcPr>
            <w:tcW w:w="0" w:type="dxa"/>
            <w:vAlign w:val="bottom"/>
          </w:tcPr>
          <w:p>
            <w:pPr>
              <w:spacing w:after="0"/>
              <w:rPr>
                <w:sz w:val="1"/>
                <w:szCs w:val="1"/>
                <w:color w:val="auto"/>
              </w:rPr>
            </w:pPr>
          </w:p>
        </w:tc>
      </w:tr>
      <w:tr>
        <w:trPr>
          <w:trHeight w:val="175"/>
        </w:trPr>
        <w:tc>
          <w:tcPr>
            <w:tcW w:w="2160" w:type="dxa"/>
            <w:vAlign w:val="bottom"/>
          </w:tcPr>
          <w:p>
            <w:pPr>
              <w:ind w:left="20"/>
              <w:spacing w:after="0"/>
              <w:rPr>
                <w:sz w:val="20"/>
                <w:szCs w:val="20"/>
                <w:color w:val="auto"/>
              </w:rPr>
            </w:pPr>
            <w:r>
              <w:rPr>
                <w:rFonts w:ascii="Arial" w:cs="Arial" w:eastAsia="Arial" w:hAnsi="Arial"/>
                <w:sz w:val="15"/>
                <w:szCs w:val="15"/>
                <w:color w:val="auto"/>
              </w:rPr>
              <w:t>equivalents and short-term</w:t>
            </w:r>
          </w:p>
        </w:tc>
        <w:tc>
          <w:tcPr>
            <w:tcW w:w="906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 xml:space="preserve">Definition: </w:t>
            </w:r>
            <w:r>
              <w:rPr>
                <w:rFonts w:ascii="Arial" w:cs="Arial" w:eastAsia="Arial" w:hAnsi="Arial"/>
                <w:sz w:val="15"/>
                <w:szCs w:val="15"/>
                <w:color w:val="auto"/>
              </w:rPr>
              <w:t>Cash and cash equivalents and short-term investments held at PureTech Health plc and our wholly-owned</w:t>
            </w:r>
          </w:p>
        </w:tc>
        <w:tc>
          <w:tcPr>
            <w:tcW w:w="0" w:type="dxa"/>
            <w:vAlign w:val="bottom"/>
          </w:tcPr>
          <w:p>
            <w:pPr>
              <w:spacing w:after="0"/>
              <w:rPr>
                <w:sz w:val="1"/>
                <w:szCs w:val="1"/>
                <w:color w:val="auto"/>
              </w:rPr>
            </w:pPr>
          </w:p>
        </w:tc>
      </w:tr>
      <w:tr>
        <w:trPr>
          <w:trHeight w:val="68"/>
        </w:trPr>
        <w:tc>
          <w:tcPr>
            <w:tcW w:w="2160" w:type="dxa"/>
            <w:vAlign w:val="bottom"/>
            <w:vMerge w:val="restart"/>
          </w:tcPr>
          <w:p>
            <w:pPr>
              <w:ind w:left="20"/>
              <w:spacing w:after="0"/>
              <w:rPr>
                <w:sz w:val="20"/>
                <w:szCs w:val="20"/>
                <w:color w:val="auto"/>
              </w:rPr>
            </w:pPr>
            <w:r>
              <w:rPr>
                <w:rFonts w:ascii="Arial" w:cs="Arial" w:eastAsia="Arial" w:hAnsi="Arial"/>
                <w:sz w:val="15"/>
                <w:szCs w:val="15"/>
                <w:color w:val="auto"/>
              </w:rPr>
              <w:t>investments</w:t>
            </w:r>
          </w:p>
        </w:tc>
        <w:tc>
          <w:tcPr>
            <w:tcW w:w="9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2160" w:type="dxa"/>
            <w:vAlign w:val="bottom"/>
            <w:vMerge w:val="continue"/>
          </w:tcPr>
          <w:p>
            <w:pPr>
              <w:spacing w:after="0"/>
              <w:rPr>
                <w:sz w:val="11"/>
                <w:szCs w:val="11"/>
                <w:color w:val="auto"/>
              </w:rPr>
            </w:pPr>
          </w:p>
        </w:tc>
        <w:tc>
          <w:tcPr>
            <w:tcW w:w="9060" w:type="dxa"/>
            <w:vAlign w:val="bottom"/>
            <w:vMerge w:val="restart"/>
          </w:tcPr>
          <w:p>
            <w:pPr>
              <w:ind w:left="300"/>
              <w:spacing w:after="0"/>
              <w:rPr>
                <w:sz w:val="20"/>
                <w:szCs w:val="20"/>
                <w:color w:val="auto"/>
              </w:rPr>
            </w:pPr>
            <w:r>
              <w:rPr>
                <w:rFonts w:ascii="Arial" w:cs="Arial" w:eastAsia="Arial" w:hAnsi="Arial"/>
                <w:sz w:val="15"/>
                <w:szCs w:val="15"/>
                <w:color w:val="auto"/>
              </w:rPr>
              <w:t>subsidiaries.</w:t>
            </w:r>
          </w:p>
        </w:tc>
        <w:tc>
          <w:tcPr>
            <w:tcW w:w="0" w:type="dxa"/>
            <w:vAlign w:val="bottom"/>
          </w:tcPr>
          <w:p>
            <w:pPr>
              <w:spacing w:after="0"/>
              <w:rPr>
                <w:sz w:val="1"/>
                <w:szCs w:val="1"/>
                <w:color w:val="auto"/>
              </w:rPr>
            </w:pPr>
          </w:p>
        </w:tc>
      </w:tr>
      <w:tr>
        <w:trPr>
          <w:trHeight w:val="68"/>
        </w:trPr>
        <w:tc>
          <w:tcPr>
            <w:tcW w:w="2160" w:type="dxa"/>
            <w:vAlign w:val="bottom"/>
          </w:tcPr>
          <w:p>
            <w:pPr>
              <w:spacing w:after="0"/>
              <w:rPr>
                <w:sz w:val="5"/>
                <w:szCs w:val="5"/>
                <w:color w:val="auto"/>
              </w:rPr>
            </w:pPr>
          </w:p>
        </w:tc>
        <w:tc>
          <w:tcPr>
            <w:tcW w:w="9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2160" w:type="dxa"/>
            <w:vAlign w:val="bottom"/>
          </w:tcPr>
          <w:p>
            <w:pPr>
              <w:spacing w:after="0"/>
              <w:rPr>
                <w:sz w:val="18"/>
                <w:szCs w:val="18"/>
                <w:color w:val="auto"/>
              </w:rPr>
            </w:pPr>
          </w:p>
        </w:tc>
        <w:tc>
          <w:tcPr>
            <w:tcW w:w="9060" w:type="dxa"/>
            <w:vAlign w:val="bottom"/>
          </w:tcPr>
          <w:p>
            <w:pPr>
              <w:ind w:left="300"/>
              <w:spacing w:after="0"/>
              <w:rPr>
                <w:sz w:val="20"/>
                <w:szCs w:val="20"/>
                <w:color w:val="auto"/>
              </w:rPr>
            </w:pPr>
            <w:r>
              <w:rPr>
                <w:rFonts w:ascii="Arial" w:cs="Arial" w:eastAsia="Arial" w:hAnsi="Arial"/>
                <w:sz w:val="15"/>
                <w:szCs w:val="15"/>
                <w:b w:val="1"/>
                <w:bCs w:val="1"/>
                <w:color w:val="auto"/>
              </w:rPr>
              <w:t xml:space="preserve">Why we use it: </w:t>
            </w:r>
            <w:r>
              <w:rPr>
                <w:rFonts w:ascii="Arial" w:cs="Arial" w:eastAsia="Arial" w:hAnsi="Arial"/>
                <w:sz w:val="15"/>
                <w:szCs w:val="15"/>
                <w:color w:val="auto"/>
              </w:rPr>
              <w:t>PureTech Level cash, cash equivalents and short-term investments is a measure that provides valuable</w:t>
            </w:r>
          </w:p>
        </w:tc>
        <w:tc>
          <w:tcPr>
            <w:tcW w:w="0" w:type="dxa"/>
            <w:vAlign w:val="bottom"/>
          </w:tcPr>
          <w:p>
            <w:pPr>
              <w:spacing w:after="0"/>
              <w:rPr>
                <w:sz w:val="1"/>
                <w:szCs w:val="1"/>
                <w:color w:val="auto"/>
              </w:rPr>
            </w:pPr>
          </w:p>
        </w:tc>
      </w:tr>
      <w:tr>
        <w:trPr>
          <w:trHeight w:val="175"/>
        </w:trPr>
        <w:tc>
          <w:tcPr>
            <w:tcW w:w="2160" w:type="dxa"/>
            <w:vAlign w:val="bottom"/>
          </w:tcPr>
          <w:p>
            <w:pPr>
              <w:spacing w:after="0"/>
              <w:rPr>
                <w:sz w:val="15"/>
                <w:szCs w:val="15"/>
                <w:color w:val="auto"/>
              </w:rPr>
            </w:pPr>
          </w:p>
        </w:tc>
        <w:tc>
          <w:tcPr>
            <w:tcW w:w="9060" w:type="dxa"/>
            <w:vAlign w:val="bottom"/>
          </w:tcPr>
          <w:p>
            <w:pPr>
              <w:ind w:left="300"/>
              <w:spacing w:after="0"/>
              <w:rPr>
                <w:sz w:val="20"/>
                <w:szCs w:val="20"/>
                <w:color w:val="auto"/>
              </w:rPr>
            </w:pPr>
            <w:r>
              <w:rPr>
                <w:rFonts w:ascii="Arial" w:cs="Arial" w:eastAsia="Arial" w:hAnsi="Arial"/>
                <w:sz w:val="15"/>
                <w:szCs w:val="15"/>
                <w:color w:val="auto"/>
              </w:rPr>
              <w:t>additional information with respect to cash, cash equivalents and short-term investments available to fund the Wholly-Owned</w:t>
            </w:r>
          </w:p>
        </w:tc>
        <w:tc>
          <w:tcPr>
            <w:tcW w:w="0" w:type="dxa"/>
            <w:vAlign w:val="bottom"/>
          </w:tcPr>
          <w:p>
            <w:pPr>
              <w:spacing w:after="0"/>
              <w:rPr>
                <w:sz w:val="1"/>
                <w:szCs w:val="1"/>
                <w:color w:val="auto"/>
              </w:rPr>
            </w:pPr>
          </w:p>
        </w:tc>
      </w:tr>
      <w:tr>
        <w:trPr>
          <w:trHeight w:val="200"/>
        </w:trPr>
        <w:tc>
          <w:tcPr>
            <w:tcW w:w="2160" w:type="dxa"/>
            <w:vAlign w:val="bottom"/>
          </w:tcPr>
          <w:p>
            <w:pPr>
              <w:spacing w:after="0"/>
              <w:rPr>
                <w:sz w:val="17"/>
                <w:szCs w:val="17"/>
                <w:color w:val="auto"/>
              </w:rPr>
            </w:pPr>
          </w:p>
        </w:tc>
        <w:tc>
          <w:tcPr>
            <w:tcW w:w="9060" w:type="dxa"/>
            <w:vAlign w:val="bottom"/>
          </w:tcPr>
          <w:p>
            <w:pPr>
              <w:ind w:left="300"/>
              <w:spacing w:after="0"/>
              <w:rPr>
                <w:sz w:val="20"/>
                <w:szCs w:val="20"/>
                <w:color w:val="auto"/>
              </w:rPr>
            </w:pPr>
            <w:r>
              <w:rPr>
                <w:rFonts w:ascii="Arial" w:cs="Arial" w:eastAsia="Arial" w:hAnsi="Arial"/>
                <w:sz w:val="15"/>
                <w:szCs w:val="15"/>
                <w:color w:val="auto"/>
              </w:rPr>
              <w:t>Programs and make certain investments in Founded Entities.</w:t>
            </w:r>
          </w:p>
        </w:tc>
        <w:tc>
          <w:tcPr>
            <w:tcW w:w="0" w:type="dxa"/>
            <w:vAlign w:val="bottom"/>
          </w:tcPr>
          <w:p>
            <w:pPr>
              <w:spacing w:after="0"/>
              <w:rPr>
                <w:sz w:val="1"/>
                <w:szCs w:val="1"/>
                <w:color w:val="auto"/>
              </w:rPr>
            </w:pPr>
          </w:p>
        </w:tc>
      </w:tr>
      <w:tr>
        <w:trPr>
          <w:trHeight w:val="33"/>
        </w:trPr>
        <w:tc>
          <w:tcPr>
            <w:tcW w:w="2160" w:type="dxa"/>
            <w:vAlign w:val="bottom"/>
            <w:tcBorders>
              <w:bottom w:val="single" w:sz="8" w:color="183964"/>
            </w:tcBorders>
          </w:tcPr>
          <w:p>
            <w:pPr>
              <w:spacing w:after="0"/>
              <w:rPr>
                <w:sz w:val="2"/>
                <w:szCs w:val="2"/>
                <w:color w:val="auto"/>
              </w:rPr>
            </w:pPr>
          </w:p>
        </w:tc>
        <w:tc>
          <w:tcPr>
            <w:tcW w:w="9060" w:type="dxa"/>
            <w:vAlign w:val="bottom"/>
            <w:tcBorders>
              <w:bottom w:val="single" w:sz="8" w:color="183964"/>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5"/>
          <w:szCs w:val="15"/>
          <w:b w:val="1"/>
          <w:bCs w:val="1"/>
          <w:color w:val="183964"/>
        </w:rPr>
        <w:t>Recent Developments (subsequent to June 30, 2024)</w:t>
      </w:r>
    </w:p>
    <w:p>
      <w:pPr>
        <w:spacing w:after="0" w:line="100"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The Group has evaluated subsequent events after June 30, 2024 up to the date of issuance, August 28, 2024, of the Condensed Consolidated Financial Statements, and has not identified any recordable or disclosable events not otherwise reported in these unaudited Condensed Consolidated Financial Statements or notes thereto.</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color w:val="183964"/>
        </w:rPr>
        <w:t>Financial Highlights</w:t>
      </w:r>
    </w:p>
    <w:p>
      <w:pPr>
        <w:spacing w:after="0" w:line="100" w:lineRule="exact"/>
        <w:rPr>
          <w:sz w:val="20"/>
          <w:szCs w:val="20"/>
          <w:color w:val="auto"/>
        </w:rPr>
      </w:pPr>
    </w:p>
    <w:p>
      <w:pPr>
        <w:ind w:right="100"/>
        <w:spacing w:after="0" w:line="301" w:lineRule="auto"/>
        <w:rPr>
          <w:sz w:val="20"/>
          <w:szCs w:val="20"/>
          <w:color w:val="auto"/>
        </w:rPr>
      </w:pPr>
      <w:r>
        <w:rPr>
          <w:rFonts w:ascii="Arial" w:cs="Arial" w:eastAsia="Arial" w:hAnsi="Arial"/>
          <w:sz w:val="15"/>
          <w:szCs w:val="15"/>
          <w:color w:val="auto"/>
        </w:rPr>
        <w:t>The following is the reconciliation of the amounts appearing in our Condensed Consolidated Statement of Financial Position to the non-IFRS alternative performance measure described above:</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960" w:type="dxa"/>
            <w:vAlign w:val="bottom"/>
          </w:tcPr>
          <w:p>
            <w:pPr>
              <w:ind w:left="20"/>
              <w:spacing w:after="0"/>
              <w:rPr>
                <w:sz w:val="20"/>
                <w:szCs w:val="20"/>
                <w:color w:val="auto"/>
              </w:rPr>
            </w:pPr>
            <w:r>
              <w:rPr>
                <w:rFonts w:ascii="Arial" w:cs="Arial" w:eastAsia="Arial" w:hAnsi="Arial"/>
                <w:sz w:val="13"/>
                <w:szCs w:val="13"/>
                <w:color w:val="auto"/>
              </w:rPr>
              <w:t>(in thousands)</w:t>
            </w:r>
          </w:p>
        </w:tc>
        <w:tc>
          <w:tcPr>
            <w:tcW w:w="1980" w:type="dxa"/>
            <w:vAlign w:val="bottom"/>
          </w:tcPr>
          <w:p>
            <w:pPr>
              <w:spacing w:after="0"/>
              <w:rPr>
                <w:sz w:val="14"/>
                <w:szCs w:val="14"/>
                <w:color w:val="auto"/>
              </w:rPr>
            </w:pPr>
          </w:p>
        </w:tc>
        <w:tc>
          <w:tcPr>
            <w:tcW w:w="2280" w:type="dxa"/>
            <w:vAlign w:val="bottom"/>
            <w:gridSpan w:val="3"/>
          </w:tcPr>
          <w:p>
            <w:pPr>
              <w:jc w:val="right"/>
              <w:spacing w:after="0"/>
              <w:rPr>
                <w:sz w:val="20"/>
                <w:szCs w:val="20"/>
                <w:color w:val="auto"/>
              </w:rPr>
            </w:pPr>
            <w:r>
              <w:rPr>
                <w:rFonts w:ascii="Arial" w:cs="Arial" w:eastAsia="Arial" w:hAnsi="Arial"/>
                <w:sz w:val="13"/>
                <w:szCs w:val="13"/>
                <w:b w:val="1"/>
                <w:bCs w:val="1"/>
                <w:color w:val="auto"/>
              </w:rPr>
              <w:t xml:space="preserve">June 30 2024   </w:t>
            </w:r>
            <w:r>
              <w:rPr>
                <w:rFonts w:ascii="Arial" w:cs="Arial" w:eastAsia="Arial" w:hAnsi="Arial"/>
                <w:sz w:val="13"/>
                <w:szCs w:val="13"/>
                <w:color w:val="183964"/>
              </w:rPr>
              <w:t>December 31, 2023</w:t>
            </w:r>
          </w:p>
        </w:tc>
      </w:tr>
      <w:tr>
        <w:trPr>
          <w:trHeight w:val="22"/>
        </w:trPr>
        <w:tc>
          <w:tcPr>
            <w:tcW w:w="6960" w:type="dxa"/>
            <w:vAlign w:val="bottom"/>
            <w:tcBorders>
              <w:bottom w:val="single" w:sz="8" w:color="183964"/>
            </w:tcBorders>
          </w:tcPr>
          <w:p>
            <w:pPr>
              <w:spacing w:after="0" w:line="20" w:lineRule="exact"/>
              <w:rPr>
                <w:sz w:val="1"/>
                <w:szCs w:val="1"/>
                <w:color w:val="auto"/>
              </w:rPr>
            </w:pPr>
          </w:p>
        </w:tc>
        <w:tc>
          <w:tcPr>
            <w:tcW w:w="1980" w:type="dxa"/>
            <w:vAlign w:val="bottom"/>
            <w:tcBorders>
              <w:bottom w:val="single" w:sz="8" w:color="183964"/>
            </w:tcBorders>
          </w:tcPr>
          <w:p>
            <w:pPr>
              <w:spacing w:after="0" w:line="20" w:lineRule="exact"/>
              <w:rPr>
                <w:sz w:val="1"/>
                <w:szCs w:val="1"/>
                <w:color w:val="auto"/>
              </w:rPr>
            </w:pPr>
          </w:p>
        </w:tc>
        <w:tc>
          <w:tcPr>
            <w:tcW w:w="980" w:type="dxa"/>
            <w:vAlign w:val="bottom"/>
            <w:tcBorders>
              <w:bottom w:val="single" w:sz="8" w:color="183964"/>
            </w:tcBorders>
          </w:tcPr>
          <w:p>
            <w:pPr>
              <w:spacing w:after="0" w:line="20" w:lineRule="exact"/>
              <w:rPr>
                <w:sz w:val="1"/>
                <w:szCs w:val="1"/>
                <w:color w:val="auto"/>
              </w:rPr>
            </w:pPr>
          </w:p>
        </w:tc>
        <w:tc>
          <w:tcPr>
            <w:tcW w:w="400" w:type="dxa"/>
            <w:vAlign w:val="bottom"/>
            <w:tcBorders>
              <w:bottom w:val="single" w:sz="8" w:color="183964"/>
            </w:tcBorders>
          </w:tcPr>
          <w:p>
            <w:pPr>
              <w:spacing w:after="0" w:line="20" w:lineRule="exact"/>
              <w:rPr>
                <w:sz w:val="1"/>
                <w:szCs w:val="1"/>
                <w:color w:val="auto"/>
              </w:rPr>
            </w:pPr>
          </w:p>
        </w:tc>
        <w:tc>
          <w:tcPr>
            <w:tcW w:w="900" w:type="dxa"/>
            <w:vAlign w:val="bottom"/>
            <w:tcBorders>
              <w:bottom w:val="single" w:sz="8" w:color="183964"/>
            </w:tcBorders>
          </w:tcPr>
          <w:p>
            <w:pPr>
              <w:spacing w:after="0" w:line="20" w:lineRule="exact"/>
              <w:rPr>
                <w:sz w:val="1"/>
                <w:szCs w:val="1"/>
                <w:color w:val="auto"/>
              </w:rPr>
            </w:pPr>
          </w:p>
        </w:tc>
      </w:tr>
      <w:tr>
        <w:trPr>
          <w:trHeight w:val="211"/>
        </w:trPr>
        <w:tc>
          <w:tcPr>
            <w:tcW w:w="6960" w:type="dxa"/>
            <w:vAlign w:val="bottom"/>
          </w:tcPr>
          <w:p>
            <w:pPr>
              <w:ind w:left="20"/>
              <w:spacing w:after="0"/>
              <w:rPr>
                <w:sz w:val="20"/>
                <w:szCs w:val="20"/>
                <w:color w:val="auto"/>
              </w:rPr>
            </w:pPr>
            <w:r>
              <w:rPr>
                <w:rFonts w:ascii="Arial" w:cs="Arial" w:eastAsia="Arial" w:hAnsi="Arial"/>
                <w:sz w:val="15"/>
                <w:szCs w:val="15"/>
                <w:color w:val="auto"/>
              </w:rPr>
              <w:t>Cash and cash equivalents</w:t>
            </w:r>
          </w:p>
        </w:tc>
        <w:tc>
          <w:tcPr>
            <w:tcW w:w="19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308,478</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183964"/>
              </w:rPr>
              <w:t>191,081</w:t>
            </w:r>
          </w:p>
        </w:tc>
      </w:tr>
      <w:tr>
        <w:trPr>
          <w:trHeight w:val="243"/>
        </w:trPr>
        <w:tc>
          <w:tcPr>
            <w:tcW w:w="6960" w:type="dxa"/>
            <w:vAlign w:val="bottom"/>
          </w:tcPr>
          <w:p>
            <w:pPr>
              <w:ind w:left="20"/>
              <w:spacing w:after="0"/>
              <w:rPr>
                <w:sz w:val="20"/>
                <w:szCs w:val="20"/>
                <w:color w:val="auto"/>
              </w:rPr>
            </w:pPr>
            <w:r>
              <w:rPr>
                <w:rFonts w:ascii="Arial" w:cs="Arial" w:eastAsia="Arial" w:hAnsi="Arial"/>
                <w:sz w:val="15"/>
                <w:szCs w:val="15"/>
                <w:b w:val="1"/>
                <w:bCs w:val="1"/>
                <w:color w:val="auto"/>
              </w:rPr>
              <w:t>Short-term investments</w:t>
            </w:r>
          </w:p>
        </w:tc>
        <w:tc>
          <w:tcPr>
            <w:tcW w:w="19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191,938</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183964"/>
              </w:rPr>
              <w:t>136,062</w:t>
            </w:r>
          </w:p>
        </w:tc>
      </w:tr>
      <w:tr>
        <w:trPr>
          <w:trHeight w:val="25"/>
        </w:trPr>
        <w:tc>
          <w:tcPr>
            <w:tcW w:w="6960" w:type="dxa"/>
            <w:vAlign w:val="bottom"/>
            <w:tcBorders>
              <w:bottom w:val="single" w:sz="8" w:color="183964"/>
            </w:tcBorders>
          </w:tcPr>
          <w:p>
            <w:pPr>
              <w:spacing w:after="0"/>
              <w:rPr>
                <w:sz w:val="2"/>
                <w:szCs w:val="2"/>
                <w:color w:val="auto"/>
              </w:rPr>
            </w:pPr>
          </w:p>
        </w:tc>
        <w:tc>
          <w:tcPr>
            <w:tcW w:w="1980" w:type="dxa"/>
            <w:vAlign w:val="bottom"/>
            <w:tcBorders>
              <w:bottom w:val="single" w:sz="8" w:color="183964"/>
            </w:tcBorders>
          </w:tcPr>
          <w:p>
            <w:pPr>
              <w:spacing w:after="0"/>
              <w:rPr>
                <w:sz w:val="2"/>
                <w:szCs w:val="2"/>
                <w:color w:val="auto"/>
              </w:rPr>
            </w:pPr>
          </w:p>
        </w:tc>
        <w:tc>
          <w:tcPr>
            <w:tcW w:w="980" w:type="dxa"/>
            <w:vAlign w:val="bottom"/>
            <w:tcBorders>
              <w:bottom w:val="single" w:sz="8" w:color="183964"/>
            </w:tcBorders>
          </w:tcPr>
          <w:p>
            <w:pPr>
              <w:spacing w:after="0"/>
              <w:rPr>
                <w:sz w:val="2"/>
                <w:szCs w:val="2"/>
                <w:color w:val="auto"/>
              </w:rPr>
            </w:pPr>
          </w:p>
        </w:tc>
        <w:tc>
          <w:tcPr>
            <w:tcW w:w="400" w:type="dxa"/>
            <w:vAlign w:val="bottom"/>
            <w:tcBorders>
              <w:bottom w:val="single" w:sz="8" w:color="183964"/>
            </w:tcBorders>
          </w:tcPr>
          <w:p>
            <w:pPr>
              <w:spacing w:after="0"/>
              <w:rPr>
                <w:sz w:val="2"/>
                <w:szCs w:val="2"/>
                <w:color w:val="auto"/>
              </w:rPr>
            </w:pPr>
          </w:p>
        </w:tc>
        <w:tc>
          <w:tcPr>
            <w:tcW w:w="900" w:type="dxa"/>
            <w:vAlign w:val="bottom"/>
            <w:tcBorders>
              <w:bottom w:val="single" w:sz="8" w:color="183964"/>
            </w:tcBorders>
          </w:tcPr>
          <w:p>
            <w:pPr>
              <w:spacing w:after="0"/>
              <w:rPr>
                <w:sz w:val="2"/>
                <w:szCs w:val="2"/>
                <w:color w:val="auto"/>
              </w:rPr>
            </w:pPr>
          </w:p>
        </w:tc>
      </w:tr>
      <w:tr>
        <w:trPr>
          <w:trHeight w:val="212"/>
        </w:trPr>
        <w:tc>
          <w:tcPr>
            <w:tcW w:w="6960" w:type="dxa"/>
            <w:vAlign w:val="bottom"/>
          </w:tcPr>
          <w:p>
            <w:pPr>
              <w:ind w:left="20"/>
              <w:spacing w:after="0"/>
              <w:rPr>
                <w:sz w:val="20"/>
                <w:szCs w:val="20"/>
                <w:color w:val="auto"/>
              </w:rPr>
            </w:pPr>
            <w:r>
              <w:rPr>
                <w:rFonts w:ascii="Arial" w:cs="Arial" w:eastAsia="Arial" w:hAnsi="Arial"/>
                <w:sz w:val="15"/>
                <w:szCs w:val="15"/>
                <w:b w:val="1"/>
                <w:bCs w:val="1"/>
                <w:color w:val="auto"/>
              </w:rPr>
              <w:t>Consolidated cash, cash equivalents and short-term investments</w:t>
            </w:r>
          </w:p>
        </w:tc>
        <w:tc>
          <w:tcPr>
            <w:tcW w:w="19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500,416</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183964"/>
              </w:rPr>
              <w:t>327,143</w:t>
            </w:r>
          </w:p>
        </w:tc>
      </w:tr>
      <w:tr>
        <w:trPr>
          <w:trHeight w:val="243"/>
        </w:trPr>
        <w:tc>
          <w:tcPr>
            <w:tcW w:w="6960" w:type="dxa"/>
            <w:vAlign w:val="bottom"/>
          </w:tcPr>
          <w:p>
            <w:pPr>
              <w:ind w:left="20"/>
              <w:spacing w:after="0"/>
              <w:rPr>
                <w:sz w:val="20"/>
                <w:szCs w:val="20"/>
                <w:color w:val="auto"/>
              </w:rPr>
            </w:pPr>
            <w:r>
              <w:rPr>
                <w:rFonts w:ascii="Arial" w:cs="Arial" w:eastAsia="Arial" w:hAnsi="Arial"/>
                <w:sz w:val="15"/>
                <w:szCs w:val="15"/>
                <w:b w:val="1"/>
                <w:bCs w:val="1"/>
                <w:color w:val="auto"/>
              </w:rPr>
              <w:t>Less: cash and cash equivalents held at non-wholly owned subsidiaries</w:t>
            </w:r>
          </w:p>
        </w:tc>
        <w:tc>
          <w:tcPr>
            <w:tcW w:w="19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(99,778)</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183964"/>
              </w:rPr>
              <w:t>(1,097)</w:t>
            </w:r>
          </w:p>
        </w:tc>
      </w:tr>
      <w:tr>
        <w:trPr>
          <w:trHeight w:val="25"/>
        </w:trPr>
        <w:tc>
          <w:tcPr>
            <w:tcW w:w="6960" w:type="dxa"/>
            <w:vAlign w:val="bottom"/>
            <w:tcBorders>
              <w:bottom w:val="single" w:sz="8" w:color="183964"/>
            </w:tcBorders>
          </w:tcPr>
          <w:p>
            <w:pPr>
              <w:spacing w:after="0"/>
              <w:rPr>
                <w:sz w:val="2"/>
                <w:szCs w:val="2"/>
                <w:color w:val="auto"/>
              </w:rPr>
            </w:pPr>
          </w:p>
        </w:tc>
        <w:tc>
          <w:tcPr>
            <w:tcW w:w="1980" w:type="dxa"/>
            <w:vAlign w:val="bottom"/>
            <w:tcBorders>
              <w:bottom w:val="single" w:sz="8" w:color="183964"/>
            </w:tcBorders>
          </w:tcPr>
          <w:p>
            <w:pPr>
              <w:spacing w:after="0"/>
              <w:rPr>
                <w:sz w:val="2"/>
                <w:szCs w:val="2"/>
                <w:color w:val="auto"/>
              </w:rPr>
            </w:pPr>
          </w:p>
        </w:tc>
        <w:tc>
          <w:tcPr>
            <w:tcW w:w="980" w:type="dxa"/>
            <w:vAlign w:val="bottom"/>
            <w:tcBorders>
              <w:bottom w:val="single" w:sz="8" w:color="183964"/>
            </w:tcBorders>
          </w:tcPr>
          <w:p>
            <w:pPr>
              <w:spacing w:after="0"/>
              <w:rPr>
                <w:sz w:val="2"/>
                <w:szCs w:val="2"/>
                <w:color w:val="auto"/>
              </w:rPr>
            </w:pPr>
          </w:p>
        </w:tc>
        <w:tc>
          <w:tcPr>
            <w:tcW w:w="400" w:type="dxa"/>
            <w:vAlign w:val="bottom"/>
            <w:tcBorders>
              <w:bottom w:val="single" w:sz="8" w:color="183964"/>
            </w:tcBorders>
          </w:tcPr>
          <w:p>
            <w:pPr>
              <w:spacing w:after="0"/>
              <w:rPr>
                <w:sz w:val="2"/>
                <w:szCs w:val="2"/>
                <w:color w:val="auto"/>
              </w:rPr>
            </w:pPr>
          </w:p>
        </w:tc>
        <w:tc>
          <w:tcPr>
            <w:tcW w:w="900" w:type="dxa"/>
            <w:vAlign w:val="bottom"/>
            <w:tcBorders>
              <w:bottom w:val="single" w:sz="8" w:color="183964"/>
            </w:tcBorders>
          </w:tcPr>
          <w:p>
            <w:pPr>
              <w:spacing w:after="0"/>
              <w:rPr>
                <w:sz w:val="2"/>
                <w:szCs w:val="2"/>
                <w:color w:val="auto"/>
              </w:rPr>
            </w:pPr>
          </w:p>
        </w:tc>
      </w:tr>
      <w:tr>
        <w:trPr>
          <w:trHeight w:val="211"/>
        </w:trPr>
        <w:tc>
          <w:tcPr>
            <w:tcW w:w="6960" w:type="dxa"/>
            <w:vAlign w:val="bottom"/>
          </w:tcPr>
          <w:p>
            <w:pPr>
              <w:ind w:left="20"/>
              <w:spacing w:after="0"/>
              <w:rPr>
                <w:sz w:val="20"/>
                <w:szCs w:val="20"/>
                <w:color w:val="auto"/>
              </w:rPr>
            </w:pPr>
            <w:r>
              <w:rPr>
                <w:rFonts w:ascii="Arial" w:cs="Arial" w:eastAsia="Arial" w:hAnsi="Arial"/>
                <w:sz w:val="15"/>
                <w:szCs w:val="15"/>
                <w:b w:val="1"/>
                <w:bCs w:val="1"/>
                <w:color w:val="auto"/>
              </w:rPr>
              <w:t>PureTech Level cash, cash equivalents and short-term investments</w:t>
            </w:r>
          </w:p>
        </w:tc>
        <w:tc>
          <w:tcPr>
            <w:tcW w:w="1980" w:type="dxa"/>
            <w:vAlign w:val="bottom"/>
          </w:tcPr>
          <w:p>
            <w:pPr>
              <w:jc w:val="right"/>
              <w:ind w:right="124"/>
              <w:spacing w:after="0"/>
              <w:rPr>
                <w:sz w:val="20"/>
                <w:szCs w:val="20"/>
                <w:color w:val="auto"/>
              </w:rPr>
            </w:pPr>
            <w:r>
              <w:rPr>
                <w:rFonts w:ascii="Arial" w:cs="Arial" w:eastAsia="Arial" w:hAnsi="Arial"/>
                <w:sz w:val="15"/>
                <w:szCs w:val="15"/>
                <w:b w:val="1"/>
                <w:bCs w:val="1"/>
                <w:color w:val="auto"/>
              </w:rPr>
              <w:t>$</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400,638</w:t>
            </w:r>
          </w:p>
        </w:tc>
        <w:tc>
          <w:tcPr>
            <w:tcW w:w="400" w:type="dxa"/>
            <w:vAlign w:val="bottom"/>
          </w:tcPr>
          <w:p>
            <w:pPr>
              <w:jc w:val="right"/>
              <w:ind w:right="204"/>
              <w:spacing w:after="0"/>
              <w:rPr>
                <w:sz w:val="20"/>
                <w:szCs w:val="20"/>
                <w:color w:val="auto"/>
              </w:rPr>
            </w:pPr>
            <w:r>
              <w:rPr>
                <w:rFonts w:ascii="Arial" w:cs="Arial" w:eastAsia="Arial" w:hAnsi="Arial"/>
                <w:sz w:val="15"/>
                <w:szCs w:val="15"/>
                <w:color w:val="183964"/>
              </w:rPr>
              <w:t>$</w:t>
            </w:r>
          </w:p>
        </w:tc>
        <w:tc>
          <w:tcPr>
            <w:tcW w:w="900" w:type="dxa"/>
            <w:vAlign w:val="bottom"/>
          </w:tcPr>
          <w:p>
            <w:pPr>
              <w:jc w:val="right"/>
              <w:spacing w:after="0"/>
              <w:rPr>
                <w:sz w:val="20"/>
                <w:szCs w:val="20"/>
                <w:color w:val="auto"/>
              </w:rPr>
            </w:pPr>
            <w:r>
              <w:rPr>
                <w:rFonts w:ascii="Arial" w:cs="Arial" w:eastAsia="Arial" w:hAnsi="Arial"/>
                <w:sz w:val="15"/>
                <w:szCs w:val="15"/>
                <w:color w:val="183964"/>
              </w:rPr>
              <w:t>326,046</w:t>
            </w:r>
          </w:p>
        </w:tc>
      </w:tr>
      <w:tr>
        <w:trPr>
          <w:trHeight w:val="25"/>
        </w:trPr>
        <w:tc>
          <w:tcPr>
            <w:tcW w:w="6960" w:type="dxa"/>
            <w:vAlign w:val="bottom"/>
            <w:tcBorders>
              <w:bottom w:val="single" w:sz="8" w:color="183964"/>
            </w:tcBorders>
          </w:tcPr>
          <w:p>
            <w:pPr>
              <w:spacing w:after="0"/>
              <w:rPr>
                <w:sz w:val="2"/>
                <w:szCs w:val="2"/>
                <w:color w:val="auto"/>
              </w:rPr>
            </w:pPr>
          </w:p>
        </w:tc>
        <w:tc>
          <w:tcPr>
            <w:tcW w:w="1980" w:type="dxa"/>
            <w:vAlign w:val="bottom"/>
            <w:tcBorders>
              <w:bottom w:val="single" w:sz="8" w:color="183964"/>
            </w:tcBorders>
          </w:tcPr>
          <w:p>
            <w:pPr>
              <w:spacing w:after="0"/>
              <w:rPr>
                <w:sz w:val="2"/>
                <w:szCs w:val="2"/>
                <w:color w:val="auto"/>
              </w:rPr>
            </w:pPr>
          </w:p>
        </w:tc>
        <w:tc>
          <w:tcPr>
            <w:tcW w:w="980" w:type="dxa"/>
            <w:vAlign w:val="bottom"/>
            <w:tcBorders>
              <w:bottom w:val="single" w:sz="8" w:color="183964"/>
            </w:tcBorders>
          </w:tcPr>
          <w:p>
            <w:pPr>
              <w:spacing w:after="0"/>
              <w:rPr>
                <w:sz w:val="2"/>
                <w:szCs w:val="2"/>
                <w:color w:val="auto"/>
              </w:rPr>
            </w:pPr>
          </w:p>
        </w:tc>
        <w:tc>
          <w:tcPr>
            <w:tcW w:w="400" w:type="dxa"/>
            <w:vAlign w:val="bottom"/>
            <w:tcBorders>
              <w:bottom w:val="single" w:sz="8" w:color="183964"/>
            </w:tcBorders>
          </w:tcPr>
          <w:p>
            <w:pPr>
              <w:spacing w:after="0"/>
              <w:rPr>
                <w:sz w:val="2"/>
                <w:szCs w:val="2"/>
                <w:color w:val="auto"/>
              </w:rPr>
            </w:pPr>
          </w:p>
        </w:tc>
        <w:tc>
          <w:tcPr>
            <w:tcW w:w="900" w:type="dxa"/>
            <w:vAlign w:val="bottom"/>
            <w:tcBorders>
              <w:bottom w:val="single" w:sz="8" w:color="183964"/>
            </w:tcBorders>
          </w:tcPr>
          <w:p>
            <w:pPr>
              <w:spacing w:after="0"/>
              <w:rPr>
                <w:sz w:val="2"/>
                <w:szCs w:val="2"/>
                <w:color w:val="auto"/>
              </w:rPr>
            </w:pPr>
          </w:p>
        </w:tc>
      </w:tr>
    </w:tbl>
    <w:p>
      <w:pPr>
        <w:sectPr>
          <w:pgSz w:w="11900" w:h="16838" w:orient="portrait"/>
          <w:cols w:equalWidth="0" w:num="1">
            <w:col w:w="11240"/>
          </w:cols>
          <w:pgMar w:left="320" w:top="1243" w:right="339" w:bottom="1440" w:gutter="0" w:footer="0" w:header="0"/>
        </w:sectPr>
      </w:pPr>
    </w:p>
    <w:bookmarkStart w:id="13" w:name="page14"/>
    <w:bookmarkEnd w:id="13"/>
    <w:p>
      <w:pPr>
        <w:spacing w:after="0"/>
        <w:rPr>
          <w:sz w:val="20"/>
          <w:szCs w:val="20"/>
          <w:color w:val="auto"/>
        </w:rPr>
      </w:pPr>
      <w:r>
        <w:rPr>
          <w:rFonts w:ascii="Arial" w:cs="Arial" w:eastAsia="Arial" w:hAnsi="Arial"/>
          <w:sz w:val="15"/>
          <w:szCs w:val="15"/>
          <w:b w:val="1"/>
          <w:bCs w:val="1"/>
          <w:color w:val="183964"/>
        </w:rPr>
        <w:t>Basis of Presentation and Consolidation</w:t>
      </w:r>
    </w:p>
    <w:p>
      <w:pPr>
        <w:spacing w:after="0" w:line="100" w:lineRule="exact"/>
        <w:rPr>
          <w:sz w:val="20"/>
          <w:szCs w:val="20"/>
          <w:color w:val="auto"/>
        </w:rPr>
      </w:pPr>
    </w:p>
    <w:p>
      <w:pPr>
        <w:ind w:right="60"/>
        <w:spacing w:after="0" w:line="301" w:lineRule="auto"/>
        <w:rPr>
          <w:sz w:val="20"/>
          <w:szCs w:val="20"/>
          <w:color w:val="auto"/>
        </w:rPr>
      </w:pPr>
      <w:r>
        <w:rPr>
          <w:rFonts w:ascii="Arial" w:cs="Arial" w:eastAsia="Arial" w:hAnsi="Arial"/>
          <w:sz w:val="15"/>
          <w:szCs w:val="15"/>
          <w:color w:val="auto"/>
        </w:rPr>
        <w:t>Our Condensed Consolidated Financial Statements consolidate the financial information of PureTech Health plc, as well as its subsidiaries, and include our interest in associates and investments held at fair value, and are reported in reportable segments as described below.</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color w:val="183964"/>
        </w:rPr>
        <w:t>Basis for Segmentation</w:t>
      </w:r>
    </w:p>
    <w:p>
      <w:pPr>
        <w:spacing w:after="0" w:line="100" w:lineRule="exact"/>
        <w:rPr>
          <w:sz w:val="20"/>
          <w:szCs w:val="20"/>
          <w:color w:val="auto"/>
        </w:rPr>
      </w:pPr>
    </w:p>
    <w:p>
      <w:pPr>
        <w:ind w:right="80"/>
        <w:spacing w:after="0" w:line="260" w:lineRule="auto"/>
        <w:rPr>
          <w:sz w:val="20"/>
          <w:szCs w:val="20"/>
          <w:color w:val="auto"/>
        </w:rPr>
      </w:pPr>
      <w:r>
        <w:rPr>
          <w:rFonts w:ascii="Arial" w:cs="Arial" w:eastAsia="Arial" w:hAnsi="Arial"/>
          <w:sz w:val="15"/>
          <w:szCs w:val="15"/>
          <w:color w:val="auto"/>
        </w:rPr>
        <w:t>Our Directors are our strategic decision-makers. Our operating segments are determined based on the financial information provided to our Directors periodically for the purposes of allocating resources and assessing performance. We have determined each of our Wholly-Owned Programs represents an operating segment, and we have aggregated each of these operating segments into one reportable segment, the Wholly-Owned Programs segment. Each of our Controlled Founded Entities represents an operating segment. We aggregate each Controlled Founded Entity operating segment into one reportable segment, the Controlled Founded Entities segment. The aggregation is based on the high level of operational and financial similarities of the operating segments. For our entities that do not meet the definition of an operating segment, we present this information in the Parent Company and Other column in our segment footnote to reconcile the information in the segment discussion to our Condensed Consolidated Financial Statements. Substantially all of our revenue and profit generating activities are generated within the United States and, accordingly, no geographical disclosures are provided.</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There was no change to the reportable segments in 2024, except for the changes to the composition of the reportable segments as described below.</w:t>
      </w:r>
    </w:p>
    <w:p>
      <w:pPr>
        <w:spacing w:after="0" w:line="111" w:lineRule="exact"/>
        <w:rPr>
          <w:sz w:val="20"/>
          <w:szCs w:val="20"/>
          <w:color w:val="auto"/>
        </w:rPr>
      </w:pPr>
    </w:p>
    <w:p>
      <w:pPr>
        <w:ind w:right="60"/>
        <w:spacing w:after="0" w:line="260" w:lineRule="auto"/>
        <w:rPr>
          <w:sz w:val="20"/>
          <w:szCs w:val="20"/>
          <w:color w:val="auto"/>
        </w:rPr>
      </w:pPr>
      <w:r>
        <w:rPr>
          <w:rFonts w:ascii="Arial" w:cs="Arial" w:eastAsia="Arial" w:hAnsi="Arial"/>
          <w:sz w:val="15"/>
          <w:szCs w:val="15"/>
          <w:color w:val="auto"/>
        </w:rPr>
        <w:t>In January 2024, we launched two new Founded Entities (Seaport Therapeutics "Seaport" and Gallop Oncology "Gallop") to advance certain programs within the Wholly-Owned Programs segment. The financial results of these programs were included in the Wholly-Owned Programs segment as of and for the year ended December 31, 2023. Upon raising dilutive third-party financing in April 2024, the financial results of Seaport are included within the Controlled Founded Entities segment as the Group still maintains control over this entity. As of June 30, 2024, Alivio became dormant and did not meet the definition of operating segment. The financial results of this entity were removed from the Wholly-Owned Programs segment and are included in the Parent Company and Other column. The corresponding information for 2023 has been restated to include Alivio in the Parent Company and Other column, so that the segment disclosures are presented on a comparable basis.</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color w:val="183964"/>
        </w:rPr>
        <w:t>Results of Operations</w:t>
      </w:r>
    </w:p>
    <w:p>
      <w:pPr>
        <w:spacing w:after="0" w:line="113" w:lineRule="exact"/>
        <w:rPr>
          <w:sz w:val="20"/>
          <w:szCs w:val="20"/>
          <w:color w:val="auto"/>
        </w:rPr>
      </w:pPr>
    </w:p>
    <w:p>
      <w:pPr>
        <w:ind w:right="100"/>
        <w:spacing w:after="0" w:line="283" w:lineRule="auto"/>
        <w:rPr>
          <w:sz w:val="20"/>
          <w:szCs w:val="20"/>
          <w:color w:val="auto"/>
        </w:rPr>
      </w:pPr>
      <w:r>
        <w:rPr>
          <w:rFonts w:ascii="Arial" w:cs="Arial" w:eastAsia="Arial" w:hAnsi="Arial"/>
          <w:sz w:val="15"/>
          <w:szCs w:val="15"/>
          <w:color w:val="auto"/>
        </w:rPr>
        <w:t>The following table, which has been derived from our unaudited financial statements for the six months ended June 30, 2024 and 2023, included herein, summarizes our results of operations for the periods indicated, together with the changes in those items: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80" w:type="dxa"/>
            <w:vAlign w:val="bottom"/>
            <w:gridSpan w:val="4"/>
          </w:tcPr>
          <w:p>
            <w:pPr>
              <w:jc w:val="right"/>
              <w:ind w:right="104"/>
              <w:spacing w:after="0"/>
              <w:rPr>
                <w:sz w:val="20"/>
                <w:szCs w:val="20"/>
                <w:color w:val="auto"/>
              </w:rPr>
            </w:pPr>
            <w:r>
              <w:rPr>
                <w:rFonts w:ascii="Arial" w:cs="Arial" w:eastAsia="Arial" w:hAnsi="Arial"/>
                <w:sz w:val="13"/>
                <w:szCs w:val="13"/>
                <w:color w:val="183964"/>
              </w:rPr>
              <w:t>Six Months Ended June 30,</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7360" w:type="dxa"/>
            <w:vAlign w:val="bottom"/>
          </w:tcPr>
          <w:p>
            <w:pPr>
              <w:spacing w:after="0"/>
              <w:rPr>
                <w:sz w:val="2"/>
                <w:szCs w:val="2"/>
                <w:color w:val="auto"/>
              </w:rPr>
            </w:pPr>
          </w:p>
        </w:tc>
        <w:tc>
          <w:tcPr>
            <w:tcW w:w="400" w:type="dxa"/>
            <w:vAlign w:val="bottom"/>
            <w:tcBorders>
              <w:bottom w:val="single" w:sz="8" w:color="183964"/>
            </w:tcBorders>
          </w:tcPr>
          <w:p>
            <w:pPr>
              <w:spacing w:after="0"/>
              <w:rPr>
                <w:sz w:val="2"/>
                <w:szCs w:val="2"/>
                <w:color w:val="auto"/>
              </w:rPr>
            </w:pPr>
          </w:p>
        </w:tc>
        <w:tc>
          <w:tcPr>
            <w:tcW w:w="880" w:type="dxa"/>
            <w:vAlign w:val="bottom"/>
            <w:tcBorders>
              <w:bottom w:val="single" w:sz="8" w:color="183964"/>
            </w:tcBorders>
          </w:tcPr>
          <w:p>
            <w:pPr>
              <w:spacing w:after="0"/>
              <w:rPr>
                <w:sz w:val="2"/>
                <w:szCs w:val="2"/>
                <w:color w:val="auto"/>
              </w:rPr>
            </w:pPr>
          </w:p>
        </w:tc>
        <w:tc>
          <w:tcPr>
            <w:tcW w:w="400" w:type="dxa"/>
            <w:vAlign w:val="bottom"/>
            <w:tcBorders>
              <w:bottom w:val="single" w:sz="8" w:color="183964"/>
            </w:tcBorders>
          </w:tcPr>
          <w:p>
            <w:pPr>
              <w:spacing w:after="0"/>
              <w:rPr>
                <w:sz w:val="2"/>
                <w:szCs w:val="2"/>
                <w:color w:val="auto"/>
              </w:rPr>
            </w:pPr>
          </w:p>
        </w:tc>
        <w:tc>
          <w:tcPr>
            <w:tcW w:w="900" w:type="dxa"/>
            <w:vAlign w:val="bottom"/>
            <w:tcBorders>
              <w:bottom w:val="single" w:sz="8" w:color="183964"/>
            </w:tcBorders>
          </w:tcPr>
          <w:p>
            <w:pPr>
              <w:spacing w:after="0"/>
              <w:rPr>
                <w:sz w:val="2"/>
                <w:szCs w:val="2"/>
                <w:color w:val="auto"/>
              </w:rPr>
            </w:pPr>
          </w:p>
        </w:tc>
        <w:tc>
          <w:tcPr>
            <w:tcW w:w="300" w:type="dxa"/>
            <w:vAlign w:val="bottom"/>
            <w:tcBorders>
              <w:bottom w:val="single" w:sz="8" w:color="183964"/>
            </w:tcBorders>
          </w:tcPr>
          <w:p>
            <w:pPr>
              <w:spacing w:after="0"/>
              <w:rPr>
                <w:sz w:val="2"/>
                <w:szCs w:val="2"/>
                <w:color w:val="auto"/>
              </w:rPr>
            </w:pPr>
          </w:p>
        </w:tc>
        <w:tc>
          <w:tcPr>
            <w:tcW w:w="1000" w:type="dxa"/>
            <w:vAlign w:val="bottom"/>
            <w:tcBorders>
              <w:bottom w:val="single" w:sz="8" w:color="183964"/>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7360" w:type="dxa"/>
            <w:vAlign w:val="bottom"/>
            <w:vMerge w:val="restart"/>
          </w:tcPr>
          <w:p>
            <w:pPr>
              <w:ind w:left="20"/>
              <w:spacing w:after="0"/>
              <w:rPr>
                <w:sz w:val="20"/>
                <w:szCs w:val="20"/>
                <w:color w:val="auto"/>
              </w:rPr>
            </w:pPr>
            <w:r>
              <w:rPr>
                <w:rFonts w:ascii="Arial" w:cs="Arial" w:eastAsia="Arial" w:hAnsi="Arial"/>
                <w:sz w:val="13"/>
                <w:szCs w:val="13"/>
                <w:color w:val="auto"/>
              </w:rPr>
              <w:t>(in thousands)</w:t>
            </w:r>
          </w:p>
        </w:tc>
        <w:tc>
          <w:tcPr>
            <w:tcW w:w="4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2024</w:t>
            </w:r>
          </w:p>
        </w:tc>
        <w:tc>
          <w:tcPr>
            <w:tcW w:w="4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183964"/>
              </w:rPr>
              <w:t>2023</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183964"/>
              </w:rPr>
              <w:t>Change</w:t>
            </w:r>
          </w:p>
        </w:tc>
        <w:tc>
          <w:tcPr>
            <w:tcW w:w="0" w:type="dxa"/>
            <w:vAlign w:val="bottom"/>
          </w:tcPr>
          <w:p>
            <w:pPr>
              <w:spacing w:after="0"/>
              <w:rPr>
                <w:sz w:val="1"/>
                <w:szCs w:val="1"/>
                <w:color w:val="auto"/>
              </w:rPr>
            </w:pPr>
          </w:p>
        </w:tc>
      </w:tr>
      <w:tr>
        <w:trPr>
          <w:trHeight w:val="173"/>
        </w:trPr>
        <w:tc>
          <w:tcPr>
            <w:tcW w:w="7360" w:type="dxa"/>
            <w:vAlign w:val="bottom"/>
            <w:tcBorders>
              <w:bottom w:val="single" w:sz="8" w:color="183964"/>
            </w:tcBorders>
            <w:vMerge w:val="continue"/>
          </w:tcPr>
          <w:p>
            <w:pPr>
              <w:spacing w:after="0"/>
              <w:rPr>
                <w:sz w:val="15"/>
                <w:szCs w:val="15"/>
                <w:color w:val="auto"/>
              </w:rPr>
            </w:pPr>
          </w:p>
        </w:tc>
        <w:tc>
          <w:tcPr>
            <w:tcW w:w="400" w:type="dxa"/>
            <w:vAlign w:val="bottom"/>
            <w:tcBorders>
              <w:bottom w:val="single" w:sz="8" w:color="183964"/>
            </w:tcBorders>
          </w:tcPr>
          <w:p>
            <w:pPr>
              <w:spacing w:after="0"/>
              <w:rPr>
                <w:sz w:val="15"/>
                <w:szCs w:val="15"/>
                <w:color w:val="auto"/>
              </w:rPr>
            </w:pPr>
          </w:p>
        </w:tc>
        <w:tc>
          <w:tcPr>
            <w:tcW w:w="880" w:type="dxa"/>
            <w:vAlign w:val="bottom"/>
            <w:tcBorders>
              <w:bottom w:val="single" w:sz="8" w:color="183964"/>
            </w:tcBorders>
            <w:vMerge w:val="continue"/>
          </w:tcPr>
          <w:p>
            <w:pPr>
              <w:spacing w:after="0"/>
              <w:rPr>
                <w:sz w:val="15"/>
                <w:szCs w:val="15"/>
                <w:color w:val="auto"/>
              </w:rPr>
            </w:pPr>
          </w:p>
        </w:tc>
        <w:tc>
          <w:tcPr>
            <w:tcW w:w="400" w:type="dxa"/>
            <w:vAlign w:val="bottom"/>
            <w:tcBorders>
              <w:bottom w:val="single" w:sz="8" w:color="183964"/>
            </w:tcBorders>
          </w:tcPr>
          <w:p>
            <w:pPr>
              <w:spacing w:after="0"/>
              <w:rPr>
                <w:sz w:val="15"/>
                <w:szCs w:val="15"/>
                <w:color w:val="auto"/>
              </w:rPr>
            </w:pPr>
          </w:p>
        </w:tc>
        <w:tc>
          <w:tcPr>
            <w:tcW w:w="900" w:type="dxa"/>
            <w:vAlign w:val="bottom"/>
            <w:tcBorders>
              <w:bottom w:val="single" w:sz="8" w:color="183964"/>
            </w:tcBorders>
            <w:vMerge w:val="continue"/>
          </w:tcPr>
          <w:p>
            <w:pPr>
              <w:spacing w:after="0"/>
              <w:rPr>
                <w:sz w:val="15"/>
                <w:szCs w:val="15"/>
                <w:color w:val="auto"/>
              </w:rPr>
            </w:pPr>
          </w:p>
        </w:tc>
        <w:tc>
          <w:tcPr>
            <w:tcW w:w="300" w:type="dxa"/>
            <w:vAlign w:val="bottom"/>
            <w:tcBorders>
              <w:bottom w:val="single" w:sz="8" w:color="183964"/>
            </w:tcBorders>
          </w:tcPr>
          <w:p>
            <w:pPr>
              <w:spacing w:after="0"/>
              <w:rPr>
                <w:sz w:val="15"/>
                <w:szCs w:val="15"/>
                <w:color w:val="auto"/>
              </w:rPr>
            </w:pPr>
          </w:p>
        </w:tc>
        <w:tc>
          <w:tcPr>
            <w:tcW w:w="1000" w:type="dxa"/>
            <w:vAlign w:val="bottom"/>
            <w:tcBorders>
              <w:bottom w:val="single" w:sz="8" w:color="183964"/>
            </w:tcBorders>
          </w:tcPr>
          <w:p>
            <w:pPr>
              <w:jc w:val="right"/>
              <w:spacing w:after="0"/>
              <w:rPr>
                <w:sz w:val="20"/>
                <w:szCs w:val="20"/>
                <w:color w:val="auto"/>
              </w:rPr>
            </w:pPr>
            <w:r>
              <w:rPr>
                <w:rFonts w:ascii="Arial" w:cs="Arial" w:eastAsia="Arial" w:hAnsi="Arial"/>
                <w:sz w:val="13"/>
                <w:szCs w:val="13"/>
                <w:color w:val="183964"/>
              </w:rPr>
              <w:t>(2023 to 2024)</w:t>
            </w:r>
          </w:p>
        </w:tc>
        <w:tc>
          <w:tcPr>
            <w:tcW w:w="0" w:type="dxa"/>
            <w:vAlign w:val="bottom"/>
          </w:tcPr>
          <w:p>
            <w:pPr>
              <w:spacing w:after="0"/>
              <w:rPr>
                <w:sz w:val="1"/>
                <w:szCs w:val="1"/>
                <w:color w:val="auto"/>
              </w:rPr>
            </w:pPr>
          </w:p>
        </w:tc>
      </w:tr>
      <w:tr>
        <w:trPr>
          <w:trHeight w:val="218"/>
        </w:trPr>
        <w:tc>
          <w:tcPr>
            <w:tcW w:w="7360" w:type="dxa"/>
            <w:vAlign w:val="bottom"/>
          </w:tcPr>
          <w:p>
            <w:pPr>
              <w:ind w:left="20"/>
              <w:spacing w:after="0"/>
              <w:rPr>
                <w:sz w:val="20"/>
                <w:szCs w:val="20"/>
                <w:color w:val="auto"/>
              </w:rPr>
            </w:pPr>
            <w:r>
              <w:rPr>
                <w:rFonts w:ascii="Arial" w:cs="Arial" w:eastAsia="Arial" w:hAnsi="Arial"/>
                <w:sz w:val="15"/>
                <w:szCs w:val="15"/>
                <w:color w:val="auto"/>
              </w:rPr>
              <w:t>Contract revenue</w:t>
            </w:r>
          </w:p>
        </w:tc>
        <w:tc>
          <w:tcPr>
            <w:tcW w:w="400" w:type="dxa"/>
            <w:vAlign w:val="bottom"/>
          </w:tcPr>
          <w:p>
            <w:pPr>
              <w:jc w:val="right"/>
              <w:ind w:right="224"/>
              <w:spacing w:after="0"/>
              <w:rPr>
                <w:sz w:val="20"/>
                <w:szCs w:val="20"/>
                <w:color w:val="auto"/>
              </w:rPr>
            </w:pPr>
            <w:r>
              <w:rPr>
                <w:rFonts w:ascii="Arial" w:cs="Arial" w:eastAsia="Arial" w:hAnsi="Arial"/>
                <w:sz w:val="15"/>
                <w:szCs w:val="15"/>
                <w:b w:val="1"/>
                <w:bCs w:val="1"/>
                <w:color w:val="auto"/>
                <w:w w:val="95"/>
              </w:rPr>
              <w:t>$</w:t>
            </w:r>
          </w:p>
        </w:tc>
        <w:tc>
          <w:tcPr>
            <w:tcW w:w="1280" w:type="dxa"/>
            <w:vAlign w:val="bottom"/>
            <w:gridSpan w:val="2"/>
          </w:tcPr>
          <w:p>
            <w:pPr>
              <w:jc w:val="right"/>
              <w:ind w:right="204"/>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color w:val="183964"/>
              </w:rPr>
              <w:t>$</w:t>
            </w:r>
          </w:p>
        </w:tc>
        <w:tc>
          <w:tcPr>
            <w:tcW w:w="900" w:type="dxa"/>
            <w:vAlign w:val="bottom"/>
          </w:tcPr>
          <w:p>
            <w:pPr>
              <w:jc w:val="right"/>
              <w:spacing w:after="0"/>
              <w:rPr>
                <w:sz w:val="20"/>
                <w:szCs w:val="20"/>
                <w:color w:val="auto"/>
              </w:rPr>
            </w:pPr>
            <w:r>
              <w:rPr>
                <w:rFonts w:ascii="Arial" w:cs="Arial" w:eastAsia="Arial" w:hAnsi="Arial"/>
                <w:sz w:val="15"/>
                <w:szCs w:val="15"/>
                <w:color w:val="183964"/>
              </w:rPr>
              <w:t>750</w:t>
            </w:r>
          </w:p>
        </w:tc>
        <w:tc>
          <w:tcPr>
            <w:tcW w:w="300" w:type="dxa"/>
            <w:vAlign w:val="bottom"/>
          </w:tcPr>
          <w:p>
            <w:pPr>
              <w:jc w:val="right"/>
              <w:ind w:right="124"/>
              <w:spacing w:after="0"/>
              <w:rPr>
                <w:sz w:val="20"/>
                <w:szCs w:val="20"/>
                <w:color w:val="auto"/>
              </w:rPr>
            </w:pPr>
            <w:r>
              <w:rPr>
                <w:rFonts w:ascii="Arial" w:cs="Arial" w:eastAsia="Arial" w:hAnsi="Arial"/>
                <w:sz w:val="15"/>
                <w:szCs w:val="15"/>
                <w:color w:val="183964"/>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183964"/>
              </w:rPr>
              <w:t>(750)</w:t>
            </w:r>
          </w:p>
        </w:tc>
        <w:tc>
          <w:tcPr>
            <w:tcW w:w="0" w:type="dxa"/>
            <w:vAlign w:val="bottom"/>
          </w:tcPr>
          <w:p>
            <w:pPr>
              <w:spacing w:after="0"/>
              <w:rPr>
                <w:sz w:val="1"/>
                <w:szCs w:val="1"/>
                <w:color w:val="auto"/>
              </w:rPr>
            </w:pPr>
          </w:p>
        </w:tc>
      </w:tr>
      <w:tr>
        <w:trPr>
          <w:trHeight w:val="243"/>
        </w:trPr>
        <w:tc>
          <w:tcPr>
            <w:tcW w:w="7360" w:type="dxa"/>
            <w:vAlign w:val="bottom"/>
          </w:tcPr>
          <w:p>
            <w:pPr>
              <w:ind w:left="20"/>
              <w:spacing w:after="0"/>
              <w:rPr>
                <w:sz w:val="20"/>
                <w:szCs w:val="20"/>
                <w:color w:val="auto"/>
              </w:rPr>
            </w:pPr>
            <w:r>
              <w:rPr>
                <w:rFonts w:ascii="Arial" w:cs="Arial" w:eastAsia="Arial" w:hAnsi="Arial"/>
                <w:sz w:val="15"/>
                <w:szCs w:val="15"/>
                <w:color w:val="auto"/>
              </w:rPr>
              <w:t>Grant revenue</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288</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183964"/>
              </w:rPr>
              <w:t>2,400</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183964"/>
              </w:rPr>
              <w:t>(2,112)</w:t>
            </w:r>
          </w:p>
        </w:tc>
        <w:tc>
          <w:tcPr>
            <w:tcW w:w="0" w:type="dxa"/>
            <w:vAlign w:val="bottom"/>
          </w:tcPr>
          <w:p>
            <w:pPr>
              <w:spacing w:after="0"/>
              <w:rPr>
                <w:sz w:val="1"/>
                <w:szCs w:val="1"/>
                <w:color w:val="auto"/>
              </w:rPr>
            </w:pPr>
          </w:p>
        </w:tc>
      </w:tr>
      <w:tr>
        <w:trPr>
          <w:trHeight w:val="25"/>
        </w:trPr>
        <w:tc>
          <w:tcPr>
            <w:tcW w:w="7360" w:type="dxa"/>
            <w:vAlign w:val="bottom"/>
            <w:tcBorders>
              <w:bottom w:val="single" w:sz="8" w:color="183964"/>
            </w:tcBorders>
          </w:tcPr>
          <w:p>
            <w:pPr>
              <w:spacing w:after="0"/>
              <w:rPr>
                <w:sz w:val="2"/>
                <w:szCs w:val="2"/>
                <w:color w:val="auto"/>
              </w:rPr>
            </w:pPr>
          </w:p>
        </w:tc>
        <w:tc>
          <w:tcPr>
            <w:tcW w:w="400" w:type="dxa"/>
            <w:vAlign w:val="bottom"/>
            <w:tcBorders>
              <w:bottom w:val="single" w:sz="8" w:color="183964"/>
            </w:tcBorders>
          </w:tcPr>
          <w:p>
            <w:pPr>
              <w:spacing w:after="0"/>
              <w:rPr>
                <w:sz w:val="2"/>
                <w:szCs w:val="2"/>
                <w:color w:val="auto"/>
              </w:rPr>
            </w:pPr>
          </w:p>
        </w:tc>
        <w:tc>
          <w:tcPr>
            <w:tcW w:w="880" w:type="dxa"/>
            <w:vAlign w:val="bottom"/>
            <w:tcBorders>
              <w:bottom w:val="single" w:sz="8" w:color="183964"/>
            </w:tcBorders>
          </w:tcPr>
          <w:p>
            <w:pPr>
              <w:spacing w:after="0"/>
              <w:rPr>
                <w:sz w:val="2"/>
                <w:szCs w:val="2"/>
                <w:color w:val="auto"/>
              </w:rPr>
            </w:pPr>
          </w:p>
        </w:tc>
        <w:tc>
          <w:tcPr>
            <w:tcW w:w="400" w:type="dxa"/>
            <w:vAlign w:val="bottom"/>
            <w:tcBorders>
              <w:bottom w:val="single" w:sz="8" w:color="183964"/>
            </w:tcBorders>
          </w:tcPr>
          <w:p>
            <w:pPr>
              <w:spacing w:after="0"/>
              <w:rPr>
                <w:sz w:val="2"/>
                <w:szCs w:val="2"/>
                <w:color w:val="auto"/>
              </w:rPr>
            </w:pPr>
          </w:p>
        </w:tc>
        <w:tc>
          <w:tcPr>
            <w:tcW w:w="900" w:type="dxa"/>
            <w:vAlign w:val="bottom"/>
            <w:tcBorders>
              <w:bottom w:val="single" w:sz="8" w:color="183964"/>
            </w:tcBorders>
          </w:tcPr>
          <w:p>
            <w:pPr>
              <w:spacing w:after="0"/>
              <w:rPr>
                <w:sz w:val="2"/>
                <w:szCs w:val="2"/>
                <w:color w:val="auto"/>
              </w:rPr>
            </w:pPr>
          </w:p>
        </w:tc>
        <w:tc>
          <w:tcPr>
            <w:tcW w:w="300" w:type="dxa"/>
            <w:vAlign w:val="bottom"/>
            <w:tcBorders>
              <w:bottom w:val="single" w:sz="8" w:color="183964"/>
            </w:tcBorders>
          </w:tcPr>
          <w:p>
            <w:pPr>
              <w:spacing w:after="0"/>
              <w:rPr>
                <w:sz w:val="2"/>
                <w:szCs w:val="2"/>
                <w:color w:val="auto"/>
              </w:rPr>
            </w:pPr>
          </w:p>
        </w:tc>
        <w:tc>
          <w:tcPr>
            <w:tcW w:w="1000" w:type="dxa"/>
            <w:vAlign w:val="bottom"/>
            <w:tcBorders>
              <w:bottom w:val="single" w:sz="8" w:color="183964"/>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7360" w:type="dxa"/>
            <w:vAlign w:val="bottom"/>
          </w:tcPr>
          <w:p>
            <w:pPr>
              <w:ind w:left="20"/>
              <w:spacing w:after="0"/>
              <w:rPr>
                <w:sz w:val="20"/>
                <w:szCs w:val="20"/>
                <w:color w:val="auto"/>
              </w:rPr>
            </w:pPr>
            <w:r>
              <w:rPr>
                <w:rFonts w:ascii="Arial" w:cs="Arial" w:eastAsia="Arial" w:hAnsi="Arial"/>
                <w:sz w:val="15"/>
                <w:szCs w:val="15"/>
                <w:b w:val="1"/>
                <w:bCs w:val="1"/>
                <w:color w:val="auto"/>
              </w:rPr>
              <w:t>Total revenue</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288</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183964"/>
              </w:rPr>
              <w:t>3,150</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183964"/>
              </w:rPr>
              <w:t>(2,862)</w:t>
            </w:r>
          </w:p>
        </w:tc>
        <w:tc>
          <w:tcPr>
            <w:tcW w:w="0" w:type="dxa"/>
            <w:vAlign w:val="bottom"/>
          </w:tcPr>
          <w:p>
            <w:pPr>
              <w:spacing w:after="0"/>
              <w:rPr>
                <w:sz w:val="1"/>
                <w:szCs w:val="1"/>
                <w:color w:val="auto"/>
              </w:rPr>
            </w:pPr>
          </w:p>
        </w:tc>
      </w:tr>
      <w:tr>
        <w:trPr>
          <w:trHeight w:val="25"/>
        </w:trPr>
        <w:tc>
          <w:tcPr>
            <w:tcW w:w="7360" w:type="dxa"/>
            <w:vAlign w:val="bottom"/>
            <w:tcBorders>
              <w:bottom w:val="single" w:sz="8" w:color="183964"/>
            </w:tcBorders>
          </w:tcPr>
          <w:p>
            <w:pPr>
              <w:spacing w:after="0"/>
              <w:rPr>
                <w:sz w:val="2"/>
                <w:szCs w:val="2"/>
                <w:color w:val="auto"/>
              </w:rPr>
            </w:pPr>
          </w:p>
        </w:tc>
        <w:tc>
          <w:tcPr>
            <w:tcW w:w="400" w:type="dxa"/>
            <w:vAlign w:val="bottom"/>
            <w:tcBorders>
              <w:bottom w:val="single" w:sz="8" w:color="183964"/>
            </w:tcBorders>
          </w:tcPr>
          <w:p>
            <w:pPr>
              <w:spacing w:after="0"/>
              <w:rPr>
                <w:sz w:val="2"/>
                <w:szCs w:val="2"/>
                <w:color w:val="auto"/>
              </w:rPr>
            </w:pPr>
          </w:p>
        </w:tc>
        <w:tc>
          <w:tcPr>
            <w:tcW w:w="880" w:type="dxa"/>
            <w:vAlign w:val="bottom"/>
            <w:tcBorders>
              <w:bottom w:val="single" w:sz="8" w:color="183964"/>
            </w:tcBorders>
          </w:tcPr>
          <w:p>
            <w:pPr>
              <w:spacing w:after="0"/>
              <w:rPr>
                <w:sz w:val="2"/>
                <w:szCs w:val="2"/>
                <w:color w:val="auto"/>
              </w:rPr>
            </w:pPr>
          </w:p>
        </w:tc>
        <w:tc>
          <w:tcPr>
            <w:tcW w:w="400" w:type="dxa"/>
            <w:vAlign w:val="bottom"/>
            <w:tcBorders>
              <w:bottom w:val="single" w:sz="8" w:color="183964"/>
            </w:tcBorders>
          </w:tcPr>
          <w:p>
            <w:pPr>
              <w:spacing w:after="0"/>
              <w:rPr>
                <w:sz w:val="2"/>
                <w:szCs w:val="2"/>
                <w:color w:val="auto"/>
              </w:rPr>
            </w:pPr>
          </w:p>
        </w:tc>
        <w:tc>
          <w:tcPr>
            <w:tcW w:w="900" w:type="dxa"/>
            <w:vAlign w:val="bottom"/>
            <w:tcBorders>
              <w:bottom w:val="single" w:sz="8" w:color="183964"/>
            </w:tcBorders>
          </w:tcPr>
          <w:p>
            <w:pPr>
              <w:spacing w:after="0"/>
              <w:rPr>
                <w:sz w:val="2"/>
                <w:szCs w:val="2"/>
                <w:color w:val="auto"/>
              </w:rPr>
            </w:pPr>
          </w:p>
        </w:tc>
        <w:tc>
          <w:tcPr>
            <w:tcW w:w="300" w:type="dxa"/>
            <w:vAlign w:val="bottom"/>
            <w:tcBorders>
              <w:bottom w:val="single" w:sz="8" w:color="183964"/>
            </w:tcBorders>
          </w:tcPr>
          <w:p>
            <w:pPr>
              <w:spacing w:after="0"/>
              <w:rPr>
                <w:sz w:val="2"/>
                <w:szCs w:val="2"/>
                <w:color w:val="auto"/>
              </w:rPr>
            </w:pPr>
          </w:p>
        </w:tc>
        <w:tc>
          <w:tcPr>
            <w:tcW w:w="1000" w:type="dxa"/>
            <w:vAlign w:val="bottom"/>
            <w:tcBorders>
              <w:bottom w:val="single" w:sz="8" w:color="183964"/>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
              <w:spacing w:after="0"/>
              <w:rPr>
                <w:sz w:val="20"/>
                <w:szCs w:val="20"/>
                <w:color w:val="auto"/>
              </w:rPr>
            </w:pPr>
            <w:r>
              <w:rPr>
                <w:rFonts w:ascii="Arial" w:cs="Arial" w:eastAsia="Arial" w:hAnsi="Arial"/>
                <w:sz w:val="15"/>
                <w:szCs w:val="15"/>
                <w:color w:val="auto"/>
              </w:rPr>
              <w:t>Operating expenses:</w:t>
            </w: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7360" w:type="dxa"/>
            <w:vAlign w:val="bottom"/>
          </w:tcPr>
          <w:p>
            <w:pPr>
              <w:ind w:left="120"/>
              <w:spacing w:after="0"/>
              <w:rPr>
                <w:sz w:val="20"/>
                <w:szCs w:val="20"/>
                <w:color w:val="auto"/>
              </w:rPr>
            </w:pPr>
            <w:r>
              <w:rPr>
                <w:rFonts w:ascii="Arial" w:cs="Arial" w:eastAsia="Arial" w:hAnsi="Arial"/>
                <w:sz w:val="15"/>
                <w:szCs w:val="15"/>
                <w:color w:val="auto"/>
              </w:rPr>
              <w:t>General and administrative expenses</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(27,758)</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183964"/>
              </w:rPr>
              <w:t>(26,166)</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183964"/>
              </w:rPr>
              <w:t>(1,592)</w:t>
            </w:r>
          </w:p>
        </w:tc>
        <w:tc>
          <w:tcPr>
            <w:tcW w:w="0" w:type="dxa"/>
            <w:vAlign w:val="bottom"/>
          </w:tcPr>
          <w:p>
            <w:pPr>
              <w:spacing w:after="0"/>
              <w:rPr>
                <w:sz w:val="1"/>
                <w:szCs w:val="1"/>
                <w:color w:val="auto"/>
              </w:rPr>
            </w:pPr>
          </w:p>
        </w:tc>
      </w:tr>
      <w:tr>
        <w:trPr>
          <w:trHeight w:val="243"/>
        </w:trPr>
        <w:tc>
          <w:tcPr>
            <w:tcW w:w="7360" w:type="dxa"/>
            <w:vAlign w:val="bottom"/>
          </w:tcPr>
          <w:p>
            <w:pPr>
              <w:ind w:left="120"/>
              <w:spacing w:after="0"/>
              <w:rPr>
                <w:sz w:val="20"/>
                <w:szCs w:val="20"/>
                <w:color w:val="auto"/>
              </w:rPr>
            </w:pPr>
            <w:r>
              <w:rPr>
                <w:rFonts w:ascii="Arial" w:cs="Arial" w:eastAsia="Arial" w:hAnsi="Arial"/>
                <w:sz w:val="15"/>
                <w:szCs w:val="15"/>
                <w:color w:val="auto"/>
              </w:rPr>
              <w:t>Research and development expenses</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(38,928)</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183964"/>
              </w:rPr>
              <w:t>(53,146)</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183964"/>
              </w:rPr>
              <w:t>14,218</w:t>
            </w:r>
          </w:p>
        </w:tc>
        <w:tc>
          <w:tcPr>
            <w:tcW w:w="0" w:type="dxa"/>
            <w:vAlign w:val="bottom"/>
          </w:tcPr>
          <w:p>
            <w:pPr>
              <w:spacing w:after="0"/>
              <w:rPr>
                <w:sz w:val="1"/>
                <w:szCs w:val="1"/>
                <w:color w:val="auto"/>
              </w:rPr>
            </w:pPr>
          </w:p>
        </w:tc>
      </w:tr>
      <w:tr>
        <w:trPr>
          <w:trHeight w:val="25"/>
        </w:trPr>
        <w:tc>
          <w:tcPr>
            <w:tcW w:w="7360" w:type="dxa"/>
            <w:vAlign w:val="bottom"/>
            <w:tcBorders>
              <w:bottom w:val="single" w:sz="8" w:color="183964"/>
            </w:tcBorders>
          </w:tcPr>
          <w:p>
            <w:pPr>
              <w:spacing w:after="0"/>
              <w:rPr>
                <w:sz w:val="2"/>
                <w:szCs w:val="2"/>
                <w:color w:val="auto"/>
              </w:rPr>
            </w:pPr>
          </w:p>
        </w:tc>
        <w:tc>
          <w:tcPr>
            <w:tcW w:w="400" w:type="dxa"/>
            <w:vAlign w:val="bottom"/>
            <w:tcBorders>
              <w:bottom w:val="single" w:sz="8" w:color="183964"/>
            </w:tcBorders>
          </w:tcPr>
          <w:p>
            <w:pPr>
              <w:spacing w:after="0"/>
              <w:rPr>
                <w:sz w:val="2"/>
                <w:szCs w:val="2"/>
                <w:color w:val="auto"/>
              </w:rPr>
            </w:pPr>
          </w:p>
        </w:tc>
        <w:tc>
          <w:tcPr>
            <w:tcW w:w="880" w:type="dxa"/>
            <w:vAlign w:val="bottom"/>
            <w:tcBorders>
              <w:bottom w:val="single" w:sz="8" w:color="183964"/>
            </w:tcBorders>
          </w:tcPr>
          <w:p>
            <w:pPr>
              <w:spacing w:after="0"/>
              <w:rPr>
                <w:sz w:val="2"/>
                <w:szCs w:val="2"/>
                <w:color w:val="auto"/>
              </w:rPr>
            </w:pPr>
          </w:p>
        </w:tc>
        <w:tc>
          <w:tcPr>
            <w:tcW w:w="400" w:type="dxa"/>
            <w:vAlign w:val="bottom"/>
            <w:tcBorders>
              <w:bottom w:val="single" w:sz="8" w:color="183964"/>
            </w:tcBorders>
          </w:tcPr>
          <w:p>
            <w:pPr>
              <w:spacing w:after="0"/>
              <w:rPr>
                <w:sz w:val="2"/>
                <w:szCs w:val="2"/>
                <w:color w:val="auto"/>
              </w:rPr>
            </w:pPr>
          </w:p>
        </w:tc>
        <w:tc>
          <w:tcPr>
            <w:tcW w:w="900" w:type="dxa"/>
            <w:vAlign w:val="bottom"/>
            <w:tcBorders>
              <w:bottom w:val="single" w:sz="8" w:color="183964"/>
            </w:tcBorders>
          </w:tcPr>
          <w:p>
            <w:pPr>
              <w:spacing w:after="0"/>
              <w:rPr>
                <w:sz w:val="2"/>
                <w:szCs w:val="2"/>
                <w:color w:val="auto"/>
              </w:rPr>
            </w:pPr>
          </w:p>
        </w:tc>
        <w:tc>
          <w:tcPr>
            <w:tcW w:w="300" w:type="dxa"/>
            <w:vAlign w:val="bottom"/>
            <w:tcBorders>
              <w:bottom w:val="single" w:sz="8" w:color="183964"/>
            </w:tcBorders>
          </w:tcPr>
          <w:p>
            <w:pPr>
              <w:spacing w:after="0"/>
              <w:rPr>
                <w:sz w:val="2"/>
                <w:szCs w:val="2"/>
                <w:color w:val="auto"/>
              </w:rPr>
            </w:pPr>
          </w:p>
        </w:tc>
        <w:tc>
          <w:tcPr>
            <w:tcW w:w="1000" w:type="dxa"/>
            <w:vAlign w:val="bottom"/>
            <w:tcBorders>
              <w:bottom w:val="single" w:sz="8" w:color="183964"/>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7360" w:type="dxa"/>
            <w:vAlign w:val="bottom"/>
          </w:tcPr>
          <w:p>
            <w:pPr>
              <w:ind w:left="20"/>
              <w:spacing w:after="0"/>
              <w:rPr>
                <w:sz w:val="20"/>
                <w:szCs w:val="20"/>
                <w:color w:val="auto"/>
              </w:rPr>
            </w:pPr>
            <w:r>
              <w:rPr>
                <w:rFonts w:ascii="Arial" w:cs="Arial" w:eastAsia="Arial" w:hAnsi="Arial"/>
                <w:sz w:val="15"/>
                <w:szCs w:val="15"/>
                <w:b w:val="1"/>
                <w:bCs w:val="1"/>
                <w:color w:val="auto"/>
              </w:rPr>
              <w:t>Operating income/(loss)</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(66,398)</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183964"/>
              </w:rPr>
              <w:t>(76,163)</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183964"/>
              </w:rPr>
              <w:t>9,765</w:t>
            </w:r>
          </w:p>
        </w:tc>
        <w:tc>
          <w:tcPr>
            <w:tcW w:w="0" w:type="dxa"/>
            <w:vAlign w:val="bottom"/>
          </w:tcPr>
          <w:p>
            <w:pPr>
              <w:spacing w:after="0"/>
              <w:rPr>
                <w:sz w:val="1"/>
                <w:szCs w:val="1"/>
                <w:color w:val="auto"/>
              </w:rPr>
            </w:pPr>
          </w:p>
        </w:tc>
      </w:tr>
      <w:tr>
        <w:trPr>
          <w:trHeight w:val="25"/>
        </w:trPr>
        <w:tc>
          <w:tcPr>
            <w:tcW w:w="7360" w:type="dxa"/>
            <w:vAlign w:val="bottom"/>
            <w:tcBorders>
              <w:bottom w:val="single" w:sz="8" w:color="183964"/>
            </w:tcBorders>
          </w:tcPr>
          <w:p>
            <w:pPr>
              <w:spacing w:after="0"/>
              <w:rPr>
                <w:sz w:val="2"/>
                <w:szCs w:val="2"/>
                <w:color w:val="auto"/>
              </w:rPr>
            </w:pPr>
          </w:p>
        </w:tc>
        <w:tc>
          <w:tcPr>
            <w:tcW w:w="400" w:type="dxa"/>
            <w:vAlign w:val="bottom"/>
            <w:tcBorders>
              <w:bottom w:val="single" w:sz="8" w:color="183964"/>
            </w:tcBorders>
          </w:tcPr>
          <w:p>
            <w:pPr>
              <w:spacing w:after="0"/>
              <w:rPr>
                <w:sz w:val="2"/>
                <w:szCs w:val="2"/>
                <w:color w:val="auto"/>
              </w:rPr>
            </w:pPr>
          </w:p>
        </w:tc>
        <w:tc>
          <w:tcPr>
            <w:tcW w:w="880" w:type="dxa"/>
            <w:vAlign w:val="bottom"/>
            <w:tcBorders>
              <w:bottom w:val="single" w:sz="8" w:color="183964"/>
            </w:tcBorders>
          </w:tcPr>
          <w:p>
            <w:pPr>
              <w:spacing w:after="0"/>
              <w:rPr>
                <w:sz w:val="2"/>
                <w:szCs w:val="2"/>
                <w:color w:val="auto"/>
              </w:rPr>
            </w:pPr>
          </w:p>
        </w:tc>
        <w:tc>
          <w:tcPr>
            <w:tcW w:w="400" w:type="dxa"/>
            <w:vAlign w:val="bottom"/>
            <w:tcBorders>
              <w:bottom w:val="single" w:sz="8" w:color="183964"/>
            </w:tcBorders>
          </w:tcPr>
          <w:p>
            <w:pPr>
              <w:spacing w:after="0"/>
              <w:rPr>
                <w:sz w:val="2"/>
                <w:szCs w:val="2"/>
                <w:color w:val="auto"/>
              </w:rPr>
            </w:pPr>
          </w:p>
        </w:tc>
        <w:tc>
          <w:tcPr>
            <w:tcW w:w="900" w:type="dxa"/>
            <w:vAlign w:val="bottom"/>
            <w:tcBorders>
              <w:bottom w:val="single" w:sz="8" w:color="183964"/>
            </w:tcBorders>
          </w:tcPr>
          <w:p>
            <w:pPr>
              <w:spacing w:after="0"/>
              <w:rPr>
                <w:sz w:val="2"/>
                <w:szCs w:val="2"/>
                <w:color w:val="auto"/>
              </w:rPr>
            </w:pPr>
          </w:p>
        </w:tc>
        <w:tc>
          <w:tcPr>
            <w:tcW w:w="300" w:type="dxa"/>
            <w:vAlign w:val="bottom"/>
            <w:tcBorders>
              <w:bottom w:val="single" w:sz="8" w:color="183964"/>
            </w:tcBorders>
          </w:tcPr>
          <w:p>
            <w:pPr>
              <w:spacing w:after="0"/>
              <w:rPr>
                <w:sz w:val="2"/>
                <w:szCs w:val="2"/>
                <w:color w:val="auto"/>
              </w:rPr>
            </w:pPr>
          </w:p>
        </w:tc>
        <w:tc>
          <w:tcPr>
            <w:tcW w:w="1000" w:type="dxa"/>
            <w:vAlign w:val="bottom"/>
            <w:tcBorders>
              <w:bottom w:val="single" w:sz="8" w:color="183964"/>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360" w:type="dxa"/>
            <w:vAlign w:val="bottom"/>
          </w:tcPr>
          <w:p>
            <w:pPr>
              <w:ind w:left="20"/>
              <w:spacing w:after="0"/>
              <w:rPr>
                <w:sz w:val="20"/>
                <w:szCs w:val="20"/>
                <w:color w:val="auto"/>
              </w:rPr>
            </w:pPr>
            <w:r>
              <w:rPr>
                <w:rFonts w:ascii="Arial" w:cs="Arial" w:eastAsia="Arial" w:hAnsi="Arial"/>
                <w:sz w:val="15"/>
                <w:szCs w:val="15"/>
                <w:color w:val="auto"/>
              </w:rPr>
              <w:t>Other income/(expense):</w:t>
            </w: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7360" w:type="dxa"/>
            <w:vAlign w:val="bottom"/>
          </w:tcPr>
          <w:p>
            <w:pPr>
              <w:ind w:left="120"/>
              <w:spacing w:after="0"/>
              <w:rPr>
                <w:sz w:val="20"/>
                <w:szCs w:val="20"/>
                <w:color w:val="auto"/>
              </w:rPr>
            </w:pPr>
            <w:r>
              <w:rPr>
                <w:rFonts w:ascii="Arial" w:cs="Arial" w:eastAsia="Arial" w:hAnsi="Arial"/>
                <w:sz w:val="15"/>
                <w:szCs w:val="15"/>
                <w:color w:val="auto"/>
              </w:rPr>
              <w:t>Gain/(loss) on deconsolidation of subsidiary</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183964"/>
              </w:rPr>
              <w:t>61,787</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183964"/>
              </w:rPr>
              <w:t>(61,787)</w:t>
            </w:r>
          </w:p>
        </w:tc>
        <w:tc>
          <w:tcPr>
            <w:tcW w:w="0" w:type="dxa"/>
            <w:vAlign w:val="bottom"/>
          </w:tcPr>
          <w:p>
            <w:pPr>
              <w:spacing w:after="0"/>
              <w:rPr>
                <w:sz w:val="1"/>
                <w:szCs w:val="1"/>
                <w:color w:val="auto"/>
              </w:rPr>
            </w:pPr>
          </w:p>
        </w:tc>
      </w:tr>
      <w:tr>
        <w:trPr>
          <w:trHeight w:val="243"/>
        </w:trPr>
        <w:tc>
          <w:tcPr>
            <w:tcW w:w="7360" w:type="dxa"/>
            <w:vAlign w:val="bottom"/>
          </w:tcPr>
          <w:p>
            <w:pPr>
              <w:ind w:left="120"/>
              <w:spacing w:after="0"/>
              <w:rPr>
                <w:sz w:val="20"/>
                <w:szCs w:val="20"/>
                <w:color w:val="auto"/>
              </w:rPr>
            </w:pPr>
            <w:r>
              <w:rPr>
                <w:rFonts w:ascii="Arial" w:cs="Arial" w:eastAsia="Arial" w:hAnsi="Arial"/>
                <w:sz w:val="15"/>
                <w:szCs w:val="15"/>
                <w:color w:val="auto"/>
              </w:rPr>
              <w:t>Gain/(loss) on investments held at fair value</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3,882</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183964"/>
              </w:rPr>
              <w:t>7,818</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183964"/>
              </w:rPr>
              <w:t>(3,936)</w:t>
            </w:r>
          </w:p>
        </w:tc>
        <w:tc>
          <w:tcPr>
            <w:tcW w:w="0" w:type="dxa"/>
            <w:vAlign w:val="bottom"/>
          </w:tcPr>
          <w:p>
            <w:pPr>
              <w:spacing w:after="0"/>
              <w:rPr>
                <w:sz w:val="1"/>
                <w:szCs w:val="1"/>
                <w:color w:val="auto"/>
              </w:rPr>
            </w:pPr>
          </w:p>
        </w:tc>
      </w:tr>
      <w:tr>
        <w:trPr>
          <w:trHeight w:val="243"/>
        </w:trPr>
        <w:tc>
          <w:tcPr>
            <w:tcW w:w="7360" w:type="dxa"/>
            <w:vAlign w:val="bottom"/>
          </w:tcPr>
          <w:p>
            <w:pPr>
              <w:ind w:left="120"/>
              <w:spacing w:after="0"/>
              <w:rPr>
                <w:sz w:val="20"/>
                <w:szCs w:val="20"/>
                <w:color w:val="auto"/>
              </w:rPr>
            </w:pPr>
            <w:r>
              <w:rPr>
                <w:rFonts w:ascii="Arial" w:cs="Arial" w:eastAsia="Arial" w:hAnsi="Arial"/>
                <w:sz w:val="15"/>
                <w:szCs w:val="15"/>
                <w:color w:val="auto"/>
              </w:rPr>
              <w:t>Realized gain/(loss) on sale of investments</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151</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183964"/>
              </w:rPr>
              <w: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183964"/>
              </w:rPr>
              <w:t>151</w:t>
            </w:r>
          </w:p>
        </w:tc>
        <w:tc>
          <w:tcPr>
            <w:tcW w:w="0" w:type="dxa"/>
            <w:vAlign w:val="bottom"/>
          </w:tcPr>
          <w:p>
            <w:pPr>
              <w:spacing w:after="0"/>
              <w:rPr>
                <w:sz w:val="1"/>
                <w:szCs w:val="1"/>
                <w:color w:val="auto"/>
              </w:rPr>
            </w:pPr>
          </w:p>
        </w:tc>
      </w:tr>
      <w:tr>
        <w:trPr>
          <w:trHeight w:val="243"/>
        </w:trPr>
        <w:tc>
          <w:tcPr>
            <w:tcW w:w="7360" w:type="dxa"/>
            <w:vAlign w:val="bottom"/>
          </w:tcPr>
          <w:p>
            <w:pPr>
              <w:ind w:left="120"/>
              <w:spacing w:after="0"/>
              <w:rPr>
                <w:sz w:val="20"/>
                <w:szCs w:val="20"/>
                <w:color w:val="auto"/>
              </w:rPr>
            </w:pPr>
            <w:r>
              <w:rPr>
                <w:rFonts w:ascii="Arial" w:cs="Arial" w:eastAsia="Arial" w:hAnsi="Arial"/>
                <w:sz w:val="15"/>
                <w:szCs w:val="15"/>
                <w:color w:val="auto"/>
              </w:rPr>
              <w:t>Gain/(loss) on investments in notes from associates</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11,612</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183964"/>
              </w:rPr>
              <w:t>(6,045)</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183964"/>
              </w:rPr>
              <w:t>17,657</w:t>
            </w:r>
          </w:p>
        </w:tc>
        <w:tc>
          <w:tcPr>
            <w:tcW w:w="0" w:type="dxa"/>
            <w:vAlign w:val="bottom"/>
          </w:tcPr>
          <w:p>
            <w:pPr>
              <w:spacing w:after="0"/>
              <w:rPr>
                <w:sz w:val="1"/>
                <w:szCs w:val="1"/>
                <w:color w:val="auto"/>
              </w:rPr>
            </w:pPr>
          </w:p>
        </w:tc>
      </w:tr>
      <w:tr>
        <w:trPr>
          <w:trHeight w:val="243"/>
        </w:trPr>
        <w:tc>
          <w:tcPr>
            <w:tcW w:w="7360" w:type="dxa"/>
            <w:vAlign w:val="bottom"/>
          </w:tcPr>
          <w:p>
            <w:pPr>
              <w:ind w:left="120"/>
              <w:spacing w:after="0"/>
              <w:rPr>
                <w:sz w:val="20"/>
                <w:szCs w:val="20"/>
                <w:color w:val="auto"/>
              </w:rPr>
            </w:pPr>
            <w:r>
              <w:rPr>
                <w:rFonts w:ascii="Arial" w:cs="Arial" w:eastAsia="Arial" w:hAnsi="Arial"/>
                <w:sz w:val="15"/>
                <w:szCs w:val="15"/>
                <w:color w:val="auto"/>
              </w:rPr>
              <w:t>Other income/(expense)</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548</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183964"/>
              </w:rPr>
              <w:t>(1,134)</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183964"/>
              </w:rPr>
              <w:t>1,682</w:t>
            </w:r>
          </w:p>
        </w:tc>
        <w:tc>
          <w:tcPr>
            <w:tcW w:w="0" w:type="dxa"/>
            <w:vAlign w:val="bottom"/>
          </w:tcPr>
          <w:p>
            <w:pPr>
              <w:spacing w:after="0"/>
              <w:rPr>
                <w:sz w:val="1"/>
                <w:szCs w:val="1"/>
                <w:color w:val="auto"/>
              </w:rPr>
            </w:pPr>
          </w:p>
        </w:tc>
      </w:tr>
      <w:tr>
        <w:trPr>
          <w:trHeight w:val="25"/>
        </w:trPr>
        <w:tc>
          <w:tcPr>
            <w:tcW w:w="7360" w:type="dxa"/>
            <w:vAlign w:val="bottom"/>
            <w:tcBorders>
              <w:bottom w:val="single" w:sz="8" w:color="183964"/>
            </w:tcBorders>
          </w:tcPr>
          <w:p>
            <w:pPr>
              <w:spacing w:after="0"/>
              <w:rPr>
                <w:sz w:val="2"/>
                <w:szCs w:val="2"/>
                <w:color w:val="auto"/>
              </w:rPr>
            </w:pPr>
          </w:p>
        </w:tc>
        <w:tc>
          <w:tcPr>
            <w:tcW w:w="400" w:type="dxa"/>
            <w:vAlign w:val="bottom"/>
            <w:tcBorders>
              <w:bottom w:val="single" w:sz="8" w:color="183964"/>
            </w:tcBorders>
          </w:tcPr>
          <w:p>
            <w:pPr>
              <w:spacing w:after="0"/>
              <w:rPr>
                <w:sz w:val="2"/>
                <w:szCs w:val="2"/>
                <w:color w:val="auto"/>
              </w:rPr>
            </w:pPr>
          </w:p>
        </w:tc>
        <w:tc>
          <w:tcPr>
            <w:tcW w:w="880" w:type="dxa"/>
            <w:vAlign w:val="bottom"/>
            <w:tcBorders>
              <w:bottom w:val="single" w:sz="8" w:color="183964"/>
            </w:tcBorders>
          </w:tcPr>
          <w:p>
            <w:pPr>
              <w:spacing w:after="0"/>
              <w:rPr>
                <w:sz w:val="2"/>
                <w:szCs w:val="2"/>
                <w:color w:val="auto"/>
              </w:rPr>
            </w:pPr>
          </w:p>
        </w:tc>
        <w:tc>
          <w:tcPr>
            <w:tcW w:w="400" w:type="dxa"/>
            <w:vAlign w:val="bottom"/>
            <w:tcBorders>
              <w:bottom w:val="single" w:sz="8" w:color="183964"/>
            </w:tcBorders>
          </w:tcPr>
          <w:p>
            <w:pPr>
              <w:spacing w:after="0"/>
              <w:rPr>
                <w:sz w:val="2"/>
                <w:szCs w:val="2"/>
                <w:color w:val="auto"/>
              </w:rPr>
            </w:pPr>
          </w:p>
        </w:tc>
        <w:tc>
          <w:tcPr>
            <w:tcW w:w="900" w:type="dxa"/>
            <w:vAlign w:val="bottom"/>
            <w:tcBorders>
              <w:bottom w:val="single" w:sz="8" w:color="183964"/>
            </w:tcBorders>
          </w:tcPr>
          <w:p>
            <w:pPr>
              <w:spacing w:after="0"/>
              <w:rPr>
                <w:sz w:val="2"/>
                <w:szCs w:val="2"/>
                <w:color w:val="auto"/>
              </w:rPr>
            </w:pPr>
          </w:p>
        </w:tc>
        <w:tc>
          <w:tcPr>
            <w:tcW w:w="300" w:type="dxa"/>
            <w:vAlign w:val="bottom"/>
            <w:tcBorders>
              <w:bottom w:val="single" w:sz="8" w:color="183964"/>
            </w:tcBorders>
          </w:tcPr>
          <w:p>
            <w:pPr>
              <w:spacing w:after="0"/>
              <w:rPr>
                <w:sz w:val="2"/>
                <w:szCs w:val="2"/>
                <w:color w:val="auto"/>
              </w:rPr>
            </w:pPr>
          </w:p>
        </w:tc>
        <w:tc>
          <w:tcPr>
            <w:tcW w:w="1000" w:type="dxa"/>
            <w:vAlign w:val="bottom"/>
            <w:tcBorders>
              <w:bottom w:val="single" w:sz="8" w:color="183964"/>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7360" w:type="dxa"/>
            <w:vAlign w:val="bottom"/>
          </w:tcPr>
          <w:p>
            <w:pPr>
              <w:ind w:left="20"/>
              <w:spacing w:after="0"/>
              <w:rPr>
                <w:sz w:val="20"/>
                <w:szCs w:val="20"/>
                <w:color w:val="auto"/>
              </w:rPr>
            </w:pPr>
            <w:r>
              <w:rPr>
                <w:rFonts w:ascii="Arial" w:cs="Arial" w:eastAsia="Arial" w:hAnsi="Arial"/>
                <w:sz w:val="15"/>
                <w:szCs w:val="15"/>
                <w:b w:val="1"/>
                <w:bCs w:val="1"/>
                <w:color w:val="auto"/>
              </w:rPr>
              <w:t>Other income/(expense)</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16,193</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183964"/>
              </w:rPr>
              <w:t>62,426</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183964"/>
              </w:rPr>
              <w:t>(46,233)</w:t>
            </w:r>
          </w:p>
        </w:tc>
        <w:tc>
          <w:tcPr>
            <w:tcW w:w="0" w:type="dxa"/>
            <w:vAlign w:val="bottom"/>
          </w:tcPr>
          <w:p>
            <w:pPr>
              <w:spacing w:after="0"/>
              <w:rPr>
                <w:sz w:val="1"/>
                <w:szCs w:val="1"/>
                <w:color w:val="auto"/>
              </w:rPr>
            </w:pPr>
          </w:p>
        </w:tc>
      </w:tr>
      <w:tr>
        <w:trPr>
          <w:trHeight w:val="25"/>
        </w:trPr>
        <w:tc>
          <w:tcPr>
            <w:tcW w:w="7360" w:type="dxa"/>
            <w:vAlign w:val="bottom"/>
            <w:tcBorders>
              <w:bottom w:val="single" w:sz="8" w:color="183964"/>
            </w:tcBorders>
          </w:tcPr>
          <w:p>
            <w:pPr>
              <w:spacing w:after="0"/>
              <w:rPr>
                <w:sz w:val="2"/>
                <w:szCs w:val="2"/>
                <w:color w:val="auto"/>
              </w:rPr>
            </w:pPr>
          </w:p>
        </w:tc>
        <w:tc>
          <w:tcPr>
            <w:tcW w:w="400" w:type="dxa"/>
            <w:vAlign w:val="bottom"/>
            <w:tcBorders>
              <w:bottom w:val="single" w:sz="8" w:color="183964"/>
            </w:tcBorders>
          </w:tcPr>
          <w:p>
            <w:pPr>
              <w:spacing w:after="0"/>
              <w:rPr>
                <w:sz w:val="2"/>
                <w:szCs w:val="2"/>
                <w:color w:val="auto"/>
              </w:rPr>
            </w:pPr>
          </w:p>
        </w:tc>
        <w:tc>
          <w:tcPr>
            <w:tcW w:w="880" w:type="dxa"/>
            <w:vAlign w:val="bottom"/>
            <w:tcBorders>
              <w:bottom w:val="single" w:sz="8" w:color="183964"/>
            </w:tcBorders>
          </w:tcPr>
          <w:p>
            <w:pPr>
              <w:spacing w:after="0"/>
              <w:rPr>
                <w:sz w:val="2"/>
                <w:szCs w:val="2"/>
                <w:color w:val="auto"/>
              </w:rPr>
            </w:pPr>
          </w:p>
        </w:tc>
        <w:tc>
          <w:tcPr>
            <w:tcW w:w="400" w:type="dxa"/>
            <w:vAlign w:val="bottom"/>
            <w:tcBorders>
              <w:bottom w:val="single" w:sz="8" w:color="183964"/>
            </w:tcBorders>
          </w:tcPr>
          <w:p>
            <w:pPr>
              <w:spacing w:after="0"/>
              <w:rPr>
                <w:sz w:val="2"/>
                <w:szCs w:val="2"/>
                <w:color w:val="auto"/>
              </w:rPr>
            </w:pPr>
          </w:p>
        </w:tc>
        <w:tc>
          <w:tcPr>
            <w:tcW w:w="900" w:type="dxa"/>
            <w:vAlign w:val="bottom"/>
            <w:tcBorders>
              <w:bottom w:val="single" w:sz="8" w:color="183964"/>
            </w:tcBorders>
          </w:tcPr>
          <w:p>
            <w:pPr>
              <w:spacing w:after="0"/>
              <w:rPr>
                <w:sz w:val="2"/>
                <w:szCs w:val="2"/>
                <w:color w:val="auto"/>
              </w:rPr>
            </w:pPr>
          </w:p>
        </w:tc>
        <w:tc>
          <w:tcPr>
            <w:tcW w:w="300" w:type="dxa"/>
            <w:vAlign w:val="bottom"/>
            <w:tcBorders>
              <w:bottom w:val="single" w:sz="8" w:color="183964"/>
            </w:tcBorders>
          </w:tcPr>
          <w:p>
            <w:pPr>
              <w:spacing w:after="0"/>
              <w:rPr>
                <w:sz w:val="2"/>
                <w:szCs w:val="2"/>
                <w:color w:val="auto"/>
              </w:rPr>
            </w:pPr>
          </w:p>
        </w:tc>
        <w:tc>
          <w:tcPr>
            <w:tcW w:w="1000" w:type="dxa"/>
            <w:vAlign w:val="bottom"/>
            <w:tcBorders>
              <w:bottom w:val="single" w:sz="8" w:color="183964"/>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7360" w:type="dxa"/>
            <w:vAlign w:val="bottom"/>
          </w:tcPr>
          <w:p>
            <w:pPr>
              <w:ind w:left="20"/>
              <w:spacing w:after="0"/>
              <w:rPr>
                <w:sz w:val="20"/>
                <w:szCs w:val="20"/>
                <w:color w:val="auto"/>
              </w:rPr>
            </w:pPr>
            <w:r>
              <w:rPr>
                <w:rFonts w:ascii="Arial" w:cs="Arial" w:eastAsia="Arial" w:hAnsi="Arial"/>
                <w:sz w:val="15"/>
                <w:szCs w:val="15"/>
                <w:b w:val="1"/>
                <w:bCs w:val="1"/>
                <w:color w:val="auto"/>
              </w:rPr>
              <w:t>Net finance income/(costs)</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(1,468)</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183964"/>
              </w:rPr>
              <w:t>5,316</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183964"/>
              </w:rPr>
              <w:t>(6,784)</w:t>
            </w:r>
          </w:p>
        </w:tc>
        <w:tc>
          <w:tcPr>
            <w:tcW w:w="0" w:type="dxa"/>
            <w:vAlign w:val="bottom"/>
          </w:tcPr>
          <w:p>
            <w:pPr>
              <w:spacing w:after="0"/>
              <w:rPr>
                <w:sz w:val="1"/>
                <w:szCs w:val="1"/>
                <w:color w:val="auto"/>
              </w:rPr>
            </w:pPr>
          </w:p>
        </w:tc>
      </w:tr>
      <w:tr>
        <w:trPr>
          <w:trHeight w:val="25"/>
        </w:trPr>
        <w:tc>
          <w:tcPr>
            <w:tcW w:w="7360" w:type="dxa"/>
            <w:vAlign w:val="bottom"/>
            <w:tcBorders>
              <w:bottom w:val="single" w:sz="8" w:color="183964"/>
            </w:tcBorders>
          </w:tcPr>
          <w:p>
            <w:pPr>
              <w:spacing w:after="0"/>
              <w:rPr>
                <w:sz w:val="2"/>
                <w:szCs w:val="2"/>
                <w:color w:val="auto"/>
              </w:rPr>
            </w:pPr>
          </w:p>
        </w:tc>
        <w:tc>
          <w:tcPr>
            <w:tcW w:w="400" w:type="dxa"/>
            <w:vAlign w:val="bottom"/>
            <w:tcBorders>
              <w:bottom w:val="single" w:sz="8" w:color="183964"/>
            </w:tcBorders>
          </w:tcPr>
          <w:p>
            <w:pPr>
              <w:spacing w:after="0"/>
              <w:rPr>
                <w:sz w:val="2"/>
                <w:szCs w:val="2"/>
                <w:color w:val="auto"/>
              </w:rPr>
            </w:pPr>
          </w:p>
        </w:tc>
        <w:tc>
          <w:tcPr>
            <w:tcW w:w="880" w:type="dxa"/>
            <w:vAlign w:val="bottom"/>
            <w:tcBorders>
              <w:bottom w:val="single" w:sz="8" w:color="183964"/>
            </w:tcBorders>
          </w:tcPr>
          <w:p>
            <w:pPr>
              <w:spacing w:after="0"/>
              <w:rPr>
                <w:sz w:val="2"/>
                <w:szCs w:val="2"/>
                <w:color w:val="auto"/>
              </w:rPr>
            </w:pPr>
          </w:p>
        </w:tc>
        <w:tc>
          <w:tcPr>
            <w:tcW w:w="400" w:type="dxa"/>
            <w:vAlign w:val="bottom"/>
            <w:tcBorders>
              <w:bottom w:val="single" w:sz="8" w:color="183964"/>
            </w:tcBorders>
          </w:tcPr>
          <w:p>
            <w:pPr>
              <w:spacing w:after="0"/>
              <w:rPr>
                <w:sz w:val="2"/>
                <w:szCs w:val="2"/>
                <w:color w:val="auto"/>
              </w:rPr>
            </w:pPr>
          </w:p>
        </w:tc>
        <w:tc>
          <w:tcPr>
            <w:tcW w:w="900" w:type="dxa"/>
            <w:vAlign w:val="bottom"/>
            <w:tcBorders>
              <w:bottom w:val="single" w:sz="8" w:color="183964"/>
            </w:tcBorders>
          </w:tcPr>
          <w:p>
            <w:pPr>
              <w:spacing w:after="0"/>
              <w:rPr>
                <w:sz w:val="2"/>
                <w:szCs w:val="2"/>
                <w:color w:val="auto"/>
              </w:rPr>
            </w:pPr>
          </w:p>
        </w:tc>
        <w:tc>
          <w:tcPr>
            <w:tcW w:w="300" w:type="dxa"/>
            <w:vAlign w:val="bottom"/>
            <w:tcBorders>
              <w:bottom w:val="single" w:sz="8" w:color="183964"/>
            </w:tcBorders>
          </w:tcPr>
          <w:p>
            <w:pPr>
              <w:spacing w:after="0"/>
              <w:rPr>
                <w:sz w:val="2"/>
                <w:szCs w:val="2"/>
                <w:color w:val="auto"/>
              </w:rPr>
            </w:pPr>
          </w:p>
        </w:tc>
        <w:tc>
          <w:tcPr>
            <w:tcW w:w="1000" w:type="dxa"/>
            <w:vAlign w:val="bottom"/>
            <w:tcBorders>
              <w:bottom w:val="single" w:sz="8" w:color="183964"/>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7360" w:type="dxa"/>
            <w:vAlign w:val="bottom"/>
          </w:tcPr>
          <w:p>
            <w:pPr>
              <w:ind w:left="20"/>
              <w:spacing w:after="0"/>
              <w:rPr>
                <w:sz w:val="20"/>
                <w:szCs w:val="20"/>
                <w:color w:val="auto"/>
              </w:rPr>
            </w:pPr>
            <w:r>
              <w:rPr>
                <w:rFonts w:ascii="Arial" w:cs="Arial" w:eastAsia="Arial" w:hAnsi="Arial"/>
                <w:sz w:val="15"/>
                <w:szCs w:val="15"/>
                <w:color w:val="auto"/>
              </w:rPr>
              <w:t>Share of net income/(loss) of associates accounted for using the equity method</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(3,357)</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183964"/>
              </w:rPr>
              <w:t>(5,324)</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183964"/>
              </w:rPr>
              <w:t>1,967</w:t>
            </w:r>
          </w:p>
        </w:tc>
        <w:tc>
          <w:tcPr>
            <w:tcW w:w="0" w:type="dxa"/>
            <w:vAlign w:val="bottom"/>
          </w:tcPr>
          <w:p>
            <w:pPr>
              <w:spacing w:after="0"/>
              <w:rPr>
                <w:sz w:val="1"/>
                <w:szCs w:val="1"/>
                <w:color w:val="auto"/>
              </w:rPr>
            </w:pPr>
          </w:p>
        </w:tc>
      </w:tr>
      <w:tr>
        <w:trPr>
          <w:trHeight w:val="243"/>
        </w:trPr>
        <w:tc>
          <w:tcPr>
            <w:tcW w:w="7360" w:type="dxa"/>
            <w:vAlign w:val="bottom"/>
          </w:tcPr>
          <w:p>
            <w:pPr>
              <w:ind w:left="20"/>
              <w:spacing w:after="0"/>
              <w:rPr>
                <w:sz w:val="20"/>
                <w:szCs w:val="20"/>
                <w:color w:val="auto"/>
              </w:rPr>
            </w:pPr>
            <w:r>
              <w:rPr>
                <w:rFonts w:ascii="Arial" w:cs="Arial" w:eastAsia="Arial" w:hAnsi="Arial"/>
                <w:sz w:val="15"/>
                <w:szCs w:val="15"/>
                <w:b w:val="1"/>
                <w:bCs w:val="1"/>
                <w:color w:val="auto"/>
              </w:rPr>
              <w:t>Income/(loss) before income taxes</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(55,030)</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183964"/>
              </w:rPr>
              <w:t>(13,744)</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183964"/>
              </w:rPr>
              <w:t>(41,286)</w:t>
            </w:r>
          </w:p>
        </w:tc>
        <w:tc>
          <w:tcPr>
            <w:tcW w:w="0" w:type="dxa"/>
            <w:vAlign w:val="bottom"/>
          </w:tcPr>
          <w:p>
            <w:pPr>
              <w:spacing w:after="0"/>
              <w:rPr>
                <w:sz w:val="1"/>
                <w:szCs w:val="1"/>
                <w:color w:val="auto"/>
              </w:rPr>
            </w:pPr>
          </w:p>
        </w:tc>
      </w:tr>
      <w:tr>
        <w:trPr>
          <w:trHeight w:val="243"/>
        </w:trPr>
        <w:tc>
          <w:tcPr>
            <w:tcW w:w="7360" w:type="dxa"/>
            <w:vAlign w:val="bottom"/>
          </w:tcPr>
          <w:p>
            <w:pPr>
              <w:ind w:left="20"/>
              <w:spacing w:after="0"/>
              <w:rPr>
                <w:sz w:val="20"/>
                <w:szCs w:val="20"/>
                <w:color w:val="auto"/>
              </w:rPr>
            </w:pPr>
            <w:r>
              <w:rPr>
                <w:rFonts w:ascii="Arial" w:cs="Arial" w:eastAsia="Arial" w:hAnsi="Arial"/>
                <w:sz w:val="15"/>
                <w:szCs w:val="15"/>
                <w:color w:val="auto"/>
              </w:rPr>
              <w:t>Tax benefit/(expense)</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6,147</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183964"/>
              </w:rPr>
              <w:t>(11,807)</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183964"/>
              </w:rPr>
              <w:t>17,953</w:t>
            </w:r>
          </w:p>
        </w:tc>
        <w:tc>
          <w:tcPr>
            <w:tcW w:w="0" w:type="dxa"/>
            <w:vAlign w:val="bottom"/>
          </w:tcPr>
          <w:p>
            <w:pPr>
              <w:spacing w:after="0"/>
              <w:rPr>
                <w:sz w:val="1"/>
                <w:szCs w:val="1"/>
                <w:color w:val="auto"/>
              </w:rPr>
            </w:pPr>
          </w:p>
        </w:tc>
      </w:tr>
      <w:tr>
        <w:trPr>
          <w:trHeight w:val="25"/>
        </w:trPr>
        <w:tc>
          <w:tcPr>
            <w:tcW w:w="7360" w:type="dxa"/>
            <w:vAlign w:val="bottom"/>
            <w:tcBorders>
              <w:bottom w:val="single" w:sz="8" w:color="auto"/>
            </w:tcBorders>
          </w:tcPr>
          <w:p>
            <w:pPr>
              <w:spacing w:after="0"/>
              <w:rPr>
                <w:sz w:val="2"/>
                <w:szCs w:val="2"/>
                <w:color w:val="auto"/>
              </w:rPr>
            </w:pPr>
          </w:p>
        </w:tc>
        <w:tc>
          <w:tcPr>
            <w:tcW w:w="400" w:type="dxa"/>
            <w:vAlign w:val="bottom"/>
            <w:tcBorders>
              <w:bottom w:val="single" w:sz="8" w:color="183964"/>
            </w:tcBorders>
          </w:tcPr>
          <w:p>
            <w:pPr>
              <w:spacing w:after="0"/>
              <w:rPr>
                <w:sz w:val="2"/>
                <w:szCs w:val="2"/>
                <w:color w:val="auto"/>
              </w:rPr>
            </w:pPr>
          </w:p>
        </w:tc>
        <w:tc>
          <w:tcPr>
            <w:tcW w:w="880" w:type="dxa"/>
            <w:vAlign w:val="bottom"/>
            <w:tcBorders>
              <w:bottom w:val="single" w:sz="8" w:color="183964"/>
            </w:tcBorders>
          </w:tcPr>
          <w:p>
            <w:pPr>
              <w:spacing w:after="0"/>
              <w:rPr>
                <w:sz w:val="2"/>
                <w:szCs w:val="2"/>
                <w:color w:val="auto"/>
              </w:rPr>
            </w:pPr>
          </w:p>
        </w:tc>
        <w:tc>
          <w:tcPr>
            <w:tcW w:w="400" w:type="dxa"/>
            <w:vAlign w:val="bottom"/>
            <w:tcBorders>
              <w:bottom w:val="single" w:sz="8" w:color="183964"/>
            </w:tcBorders>
          </w:tcPr>
          <w:p>
            <w:pPr>
              <w:spacing w:after="0"/>
              <w:rPr>
                <w:sz w:val="2"/>
                <w:szCs w:val="2"/>
                <w:color w:val="auto"/>
              </w:rPr>
            </w:pPr>
          </w:p>
        </w:tc>
        <w:tc>
          <w:tcPr>
            <w:tcW w:w="900" w:type="dxa"/>
            <w:vAlign w:val="bottom"/>
            <w:tcBorders>
              <w:bottom w:val="single" w:sz="8" w:color="183964"/>
            </w:tcBorders>
          </w:tcPr>
          <w:p>
            <w:pPr>
              <w:spacing w:after="0"/>
              <w:rPr>
                <w:sz w:val="2"/>
                <w:szCs w:val="2"/>
                <w:color w:val="auto"/>
              </w:rPr>
            </w:pPr>
          </w:p>
        </w:tc>
        <w:tc>
          <w:tcPr>
            <w:tcW w:w="300" w:type="dxa"/>
            <w:vAlign w:val="bottom"/>
            <w:tcBorders>
              <w:bottom w:val="single" w:sz="8" w:color="183964"/>
            </w:tcBorders>
          </w:tcPr>
          <w:p>
            <w:pPr>
              <w:spacing w:after="0"/>
              <w:rPr>
                <w:sz w:val="2"/>
                <w:szCs w:val="2"/>
                <w:color w:val="auto"/>
              </w:rPr>
            </w:pPr>
          </w:p>
        </w:tc>
        <w:tc>
          <w:tcPr>
            <w:tcW w:w="1000" w:type="dxa"/>
            <w:vAlign w:val="bottom"/>
            <w:tcBorders>
              <w:bottom w:val="single" w:sz="8" w:color="183964"/>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7360" w:type="dxa"/>
            <w:vAlign w:val="bottom"/>
          </w:tcPr>
          <w:p>
            <w:pPr>
              <w:ind w:left="20"/>
              <w:spacing w:after="0"/>
              <w:rPr>
                <w:sz w:val="20"/>
                <w:szCs w:val="20"/>
                <w:color w:val="auto"/>
              </w:rPr>
            </w:pPr>
            <w:r>
              <w:rPr>
                <w:rFonts w:ascii="Arial" w:cs="Arial" w:eastAsia="Arial" w:hAnsi="Arial"/>
                <w:sz w:val="15"/>
                <w:szCs w:val="15"/>
                <w:b w:val="1"/>
                <w:bCs w:val="1"/>
                <w:color w:val="auto"/>
              </w:rPr>
              <w:t>Net income/(loss) including non-controlling interest</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(48,883)</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183964"/>
              </w:rPr>
              <w:t>(25,551)</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183964"/>
              </w:rPr>
              <w:t>(23,333)</w:t>
            </w:r>
          </w:p>
        </w:tc>
        <w:tc>
          <w:tcPr>
            <w:tcW w:w="0" w:type="dxa"/>
            <w:vAlign w:val="bottom"/>
          </w:tcPr>
          <w:p>
            <w:pPr>
              <w:spacing w:after="0"/>
              <w:rPr>
                <w:sz w:val="1"/>
                <w:szCs w:val="1"/>
                <w:color w:val="auto"/>
              </w:rPr>
            </w:pPr>
          </w:p>
        </w:tc>
      </w:tr>
      <w:tr>
        <w:trPr>
          <w:trHeight w:val="25"/>
        </w:trPr>
        <w:tc>
          <w:tcPr>
            <w:tcW w:w="7360" w:type="dxa"/>
            <w:vAlign w:val="bottom"/>
            <w:tcBorders>
              <w:bottom w:val="single" w:sz="8" w:color="183964"/>
            </w:tcBorders>
          </w:tcPr>
          <w:p>
            <w:pPr>
              <w:spacing w:after="0"/>
              <w:rPr>
                <w:sz w:val="2"/>
                <w:szCs w:val="2"/>
                <w:color w:val="auto"/>
              </w:rPr>
            </w:pPr>
          </w:p>
        </w:tc>
        <w:tc>
          <w:tcPr>
            <w:tcW w:w="400" w:type="dxa"/>
            <w:vAlign w:val="bottom"/>
            <w:tcBorders>
              <w:bottom w:val="single" w:sz="8" w:color="183964"/>
            </w:tcBorders>
          </w:tcPr>
          <w:p>
            <w:pPr>
              <w:spacing w:after="0"/>
              <w:rPr>
                <w:sz w:val="2"/>
                <w:szCs w:val="2"/>
                <w:color w:val="auto"/>
              </w:rPr>
            </w:pPr>
          </w:p>
        </w:tc>
        <w:tc>
          <w:tcPr>
            <w:tcW w:w="880" w:type="dxa"/>
            <w:vAlign w:val="bottom"/>
            <w:tcBorders>
              <w:bottom w:val="single" w:sz="8" w:color="183964"/>
            </w:tcBorders>
          </w:tcPr>
          <w:p>
            <w:pPr>
              <w:spacing w:after="0"/>
              <w:rPr>
                <w:sz w:val="2"/>
                <w:szCs w:val="2"/>
                <w:color w:val="auto"/>
              </w:rPr>
            </w:pPr>
          </w:p>
        </w:tc>
        <w:tc>
          <w:tcPr>
            <w:tcW w:w="400" w:type="dxa"/>
            <w:vAlign w:val="bottom"/>
            <w:tcBorders>
              <w:bottom w:val="single" w:sz="8" w:color="183964"/>
            </w:tcBorders>
          </w:tcPr>
          <w:p>
            <w:pPr>
              <w:spacing w:after="0"/>
              <w:rPr>
                <w:sz w:val="2"/>
                <w:szCs w:val="2"/>
                <w:color w:val="auto"/>
              </w:rPr>
            </w:pPr>
          </w:p>
        </w:tc>
        <w:tc>
          <w:tcPr>
            <w:tcW w:w="900" w:type="dxa"/>
            <w:vAlign w:val="bottom"/>
            <w:tcBorders>
              <w:bottom w:val="single" w:sz="8" w:color="183964"/>
            </w:tcBorders>
          </w:tcPr>
          <w:p>
            <w:pPr>
              <w:spacing w:after="0"/>
              <w:rPr>
                <w:sz w:val="2"/>
                <w:szCs w:val="2"/>
                <w:color w:val="auto"/>
              </w:rPr>
            </w:pPr>
          </w:p>
        </w:tc>
        <w:tc>
          <w:tcPr>
            <w:tcW w:w="300" w:type="dxa"/>
            <w:vAlign w:val="bottom"/>
            <w:tcBorders>
              <w:bottom w:val="single" w:sz="8" w:color="183964"/>
            </w:tcBorders>
          </w:tcPr>
          <w:p>
            <w:pPr>
              <w:spacing w:after="0"/>
              <w:rPr>
                <w:sz w:val="2"/>
                <w:szCs w:val="2"/>
                <w:color w:val="auto"/>
              </w:rPr>
            </w:pPr>
          </w:p>
        </w:tc>
        <w:tc>
          <w:tcPr>
            <w:tcW w:w="1000" w:type="dxa"/>
            <w:vAlign w:val="bottom"/>
            <w:tcBorders>
              <w:bottom w:val="single" w:sz="8" w:color="183964"/>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7360" w:type="dxa"/>
            <w:vAlign w:val="bottom"/>
          </w:tcPr>
          <w:p>
            <w:pPr>
              <w:ind w:left="20"/>
              <w:spacing w:after="0"/>
              <w:rPr>
                <w:sz w:val="20"/>
                <w:szCs w:val="20"/>
                <w:color w:val="auto"/>
              </w:rPr>
            </w:pPr>
            <w:r>
              <w:rPr>
                <w:rFonts w:ascii="Arial" w:cs="Arial" w:eastAsia="Arial" w:hAnsi="Arial"/>
                <w:sz w:val="15"/>
                <w:szCs w:val="15"/>
                <w:b w:val="1"/>
                <w:bCs w:val="1"/>
                <w:color w:val="auto"/>
              </w:rPr>
              <w:t>Net income/(loss) attributable to the Owners of the Group</w:t>
            </w:r>
          </w:p>
        </w:tc>
        <w:tc>
          <w:tcPr>
            <w:tcW w:w="400" w:type="dxa"/>
            <w:vAlign w:val="bottom"/>
          </w:tcPr>
          <w:p>
            <w:pPr>
              <w:jc w:val="right"/>
              <w:ind w:right="224"/>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(41,773)</w:t>
            </w:r>
          </w:p>
        </w:tc>
        <w:tc>
          <w:tcPr>
            <w:tcW w:w="400" w:type="dxa"/>
            <w:vAlign w:val="bottom"/>
          </w:tcPr>
          <w:p>
            <w:pPr>
              <w:jc w:val="right"/>
              <w:ind w:right="204"/>
              <w:spacing w:after="0"/>
              <w:rPr>
                <w:sz w:val="20"/>
                <w:szCs w:val="20"/>
                <w:color w:val="auto"/>
              </w:rPr>
            </w:pPr>
            <w:r>
              <w:rPr>
                <w:rFonts w:ascii="Arial" w:cs="Arial" w:eastAsia="Arial" w:hAnsi="Arial"/>
                <w:sz w:val="15"/>
                <w:szCs w:val="15"/>
                <w:color w:val="183964"/>
              </w:rPr>
              <w:t>$</w:t>
            </w:r>
          </w:p>
        </w:tc>
        <w:tc>
          <w:tcPr>
            <w:tcW w:w="900" w:type="dxa"/>
            <w:vAlign w:val="bottom"/>
          </w:tcPr>
          <w:p>
            <w:pPr>
              <w:jc w:val="right"/>
              <w:spacing w:after="0"/>
              <w:rPr>
                <w:sz w:val="20"/>
                <w:szCs w:val="20"/>
                <w:color w:val="auto"/>
              </w:rPr>
            </w:pPr>
            <w:r>
              <w:rPr>
                <w:rFonts w:ascii="Arial" w:cs="Arial" w:eastAsia="Arial" w:hAnsi="Arial"/>
                <w:sz w:val="15"/>
                <w:szCs w:val="15"/>
                <w:color w:val="183964"/>
              </w:rPr>
              <w:t>(25,004)</w:t>
            </w:r>
          </w:p>
        </w:tc>
        <w:tc>
          <w:tcPr>
            <w:tcW w:w="300" w:type="dxa"/>
            <w:vAlign w:val="bottom"/>
          </w:tcPr>
          <w:p>
            <w:pPr>
              <w:jc w:val="right"/>
              <w:ind w:right="124"/>
              <w:spacing w:after="0"/>
              <w:rPr>
                <w:sz w:val="20"/>
                <w:szCs w:val="20"/>
                <w:color w:val="auto"/>
              </w:rPr>
            </w:pPr>
            <w:r>
              <w:rPr>
                <w:rFonts w:ascii="Arial" w:cs="Arial" w:eastAsia="Arial" w:hAnsi="Arial"/>
                <w:sz w:val="15"/>
                <w:szCs w:val="15"/>
                <w:color w:val="183964"/>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183964"/>
              </w:rPr>
              <w:t>(16,768)</w:t>
            </w:r>
          </w:p>
        </w:tc>
        <w:tc>
          <w:tcPr>
            <w:tcW w:w="0" w:type="dxa"/>
            <w:vAlign w:val="bottom"/>
          </w:tcPr>
          <w:p>
            <w:pPr>
              <w:spacing w:after="0"/>
              <w:rPr>
                <w:sz w:val="1"/>
                <w:szCs w:val="1"/>
                <w:color w:val="auto"/>
              </w:rPr>
            </w:pPr>
          </w:p>
        </w:tc>
      </w:tr>
      <w:tr>
        <w:trPr>
          <w:trHeight w:val="25"/>
        </w:trPr>
        <w:tc>
          <w:tcPr>
            <w:tcW w:w="7360" w:type="dxa"/>
            <w:vAlign w:val="bottom"/>
            <w:tcBorders>
              <w:bottom w:val="single" w:sz="8" w:color="183964"/>
            </w:tcBorders>
          </w:tcPr>
          <w:p>
            <w:pPr>
              <w:spacing w:after="0"/>
              <w:rPr>
                <w:sz w:val="2"/>
                <w:szCs w:val="2"/>
                <w:color w:val="auto"/>
              </w:rPr>
            </w:pPr>
          </w:p>
        </w:tc>
        <w:tc>
          <w:tcPr>
            <w:tcW w:w="400" w:type="dxa"/>
            <w:vAlign w:val="bottom"/>
            <w:tcBorders>
              <w:bottom w:val="single" w:sz="8" w:color="183964"/>
            </w:tcBorders>
          </w:tcPr>
          <w:p>
            <w:pPr>
              <w:spacing w:after="0"/>
              <w:rPr>
                <w:sz w:val="2"/>
                <w:szCs w:val="2"/>
                <w:color w:val="auto"/>
              </w:rPr>
            </w:pPr>
          </w:p>
        </w:tc>
        <w:tc>
          <w:tcPr>
            <w:tcW w:w="880" w:type="dxa"/>
            <w:vAlign w:val="bottom"/>
            <w:tcBorders>
              <w:bottom w:val="single" w:sz="8" w:color="183964"/>
            </w:tcBorders>
          </w:tcPr>
          <w:p>
            <w:pPr>
              <w:spacing w:after="0"/>
              <w:rPr>
                <w:sz w:val="2"/>
                <w:szCs w:val="2"/>
                <w:color w:val="auto"/>
              </w:rPr>
            </w:pPr>
          </w:p>
        </w:tc>
        <w:tc>
          <w:tcPr>
            <w:tcW w:w="400" w:type="dxa"/>
            <w:vAlign w:val="bottom"/>
            <w:tcBorders>
              <w:bottom w:val="single" w:sz="8" w:color="183964"/>
            </w:tcBorders>
          </w:tcPr>
          <w:p>
            <w:pPr>
              <w:spacing w:after="0"/>
              <w:rPr>
                <w:sz w:val="2"/>
                <w:szCs w:val="2"/>
                <w:color w:val="auto"/>
              </w:rPr>
            </w:pPr>
          </w:p>
        </w:tc>
        <w:tc>
          <w:tcPr>
            <w:tcW w:w="900" w:type="dxa"/>
            <w:vAlign w:val="bottom"/>
            <w:tcBorders>
              <w:bottom w:val="single" w:sz="8" w:color="183964"/>
            </w:tcBorders>
          </w:tcPr>
          <w:p>
            <w:pPr>
              <w:spacing w:after="0"/>
              <w:rPr>
                <w:sz w:val="2"/>
                <w:szCs w:val="2"/>
                <w:color w:val="auto"/>
              </w:rPr>
            </w:pPr>
          </w:p>
        </w:tc>
        <w:tc>
          <w:tcPr>
            <w:tcW w:w="300" w:type="dxa"/>
            <w:vAlign w:val="bottom"/>
            <w:tcBorders>
              <w:bottom w:val="single" w:sz="8" w:color="183964"/>
            </w:tcBorders>
          </w:tcPr>
          <w:p>
            <w:pPr>
              <w:spacing w:after="0"/>
              <w:rPr>
                <w:sz w:val="2"/>
                <w:szCs w:val="2"/>
                <w:color w:val="auto"/>
              </w:rPr>
            </w:pPr>
          </w:p>
        </w:tc>
        <w:tc>
          <w:tcPr>
            <w:tcW w:w="1000" w:type="dxa"/>
            <w:vAlign w:val="bottom"/>
            <w:tcBorders>
              <w:bottom w:val="single" w:sz="8" w:color="183964"/>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22" w:right="339" w:bottom="1440" w:gutter="0" w:footer="0" w:header="0"/>
        </w:sectPr>
      </w:pPr>
    </w:p>
    <w:bookmarkStart w:id="14" w:name="page15"/>
    <w:bookmarkEnd w:id="14"/>
    <w:p>
      <w:pPr>
        <w:spacing w:after="0"/>
        <w:rPr>
          <w:sz w:val="20"/>
          <w:szCs w:val="20"/>
          <w:color w:val="auto"/>
        </w:rPr>
      </w:pPr>
      <w:r>
        <w:rPr>
          <w:rFonts w:ascii="Arial" w:cs="Arial" w:eastAsia="Arial" w:hAnsi="Arial"/>
          <w:sz w:val="15"/>
          <w:szCs w:val="15"/>
          <w:b w:val="1"/>
          <w:bCs w:val="1"/>
          <w:color w:val="183964"/>
        </w:rPr>
        <w:t>Comparison of the Six Months Ended June 30, 2024 and 2023</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color w:val="183964"/>
        </w:rPr>
        <w:t>Total Revenue</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500" w:type="dxa"/>
            <w:vAlign w:val="bottom"/>
            <w:gridSpan w:val="4"/>
          </w:tcPr>
          <w:p>
            <w:pPr>
              <w:jc w:val="right"/>
              <w:ind w:right="244"/>
              <w:spacing w:after="0"/>
              <w:rPr>
                <w:sz w:val="20"/>
                <w:szCs w:val="20"/>
                <w:color w:val="auto"/>
              </w:rPr>
            </w:pPr>
            <w:r>
              <w:rPr>
                <w:rFonts w:ascii="Arial" w:cs="Arial" w:eastAsia="Arial" w:hAnsi="Arial"/>
                <w:sz w:val="13"/>
                <w:szCs w:val="13"/>
                <w:color w:val="183964"/>
              </w:rPr>
              <w:t>Six Months Ended June 30,</w:t>
            </w:r>
          </w:p>
        </w:tc>
        <w:tc>
          <w:tcPr>
            <w:tcW w:w="840" w:type="dxa"/>
            <w:vAlign w:val="bottom"/>
          </w:tcPr>
          <w:p>
            <w:pPr>
              <w:spacing w:after="0"/>
              <w:rPr>
                <w:sz w:val="14"/>
                <w:szCs w:val="14"/>
                <w:color w:val="auto"/>
              </w:rPr>
            </w:pPr>
          </w:p>
        </w:tc>
      </w:tr>
      <w:tr>
        <w:trPr>
          <w:trHeight w:val="28"/>
        </w:trPr>
        <w:tc>
          <w:tcPr>
            <w:tcW w:w="7340" w:type="dxa"/>
            <w:vAlign w:val="bottom"/>
          </w:tcPr>
          <w:p>
            <w:pPr>
              <w:spacing w:after="0"/>
              <w:rPr>
                <w:sz w:val="2"/>
                <w:szCs w:val="2"/>
                <w:color w:val="auto"/>
              </w:rPr>
            </w:pPr>
          </w:p>
        </w:tc>
        <w:tc>
          <w:tcPr>
            <w:tcW w:w="540" w:type="dxa"/>
            <w:vAlign w:val="bottom"/>
            <w:tcBorders>
              <w:bottom w:val="single" w:sz="8" w:color="183964"/>
            </w:tcBorders>
          </w:tcPr>
          <w:p>
            <w:pPr>
              <w:spacing w:after="0"/>
              <w:rPr>
                <w:sz w:val="2"/>
                <w:szCs w:val="2"/>
                <w:color w:val="auto"/>
              </w:rPr>
            </w:pPr>
          </w:p>
        </w:tc>
        <w:tc>
          <w:tcPr>
            <w:tcW w:w="760" w:type="dxa"/>
            <w:vAlign w:val="bottom"/>
            <w:tcBorders>
              <w:bottom w:val="single" w:sz="8" w:color="183964"/>
            </w:tcBorders>
          </w:tcPr>
          <w:p>
            <w:pPr>
              <w:spacing w:after="0"/>
              <w:rPr>
                <w:sz w:val="2"/>
                <w:szCs w:val="2"/>
                <w:color w:val="auto"/>
              </w:rPr>
            </w:pPr>
          </w:p>
        </w:tc>
        <w:tc>
          <w:tcPr>
            <w:tcW w:w="460" w:type="dxa"/>
            <w:vAlign w:val="bottom"/>
            <w:tcBorders>
              <w:bottom w:val="single" w:sz="8" w:color="183964"/>
            </w:tcBorders>
          </w:tcPr>
          <w:p>
            <w:pPr>
              <w:spacing w:after="0"/>
              <w:rPr>
                <w:sz w:val="2"/>
                <w:szCs w:val="2"/>
                <w:color w:val="auto"/>
              </w:rPr>
            </w:pPr>
          </w:p>
        </w:tc>
        <w:tc>
          <w:tcPr>
            <w:tcW w:w="840" w:type="dxa"/>
            <w:vAlign w:val="bottom"/>
            <w:tcBorders>
              <w:bottom w:val="single" w:sz="8" w:color="183964"/>
            </w:tcBorders>
          </w:tcPr>
          <w:p>
            <w:pPr>
              <w:spacing w:after="0"/>
              <w:rPr>
                <w:sz w:val="2"/>
                <w:szCs w:val="2"/>
                <w:color w:val="auto"/>
              </w:rPr>
            </w:pPr>
          </w:p>
        </w:tc>
        <w:tc>
          <w:tcPr>
            <w:tcW w:w="440" w:type="dxa"/>
            <w:vAlign w:val="bottom"/>
            <w:tcBorders>
              <w:bottom w:val="single" w:sz="8" w:color="183964"/>
            </w:tcBorders>
          </w:tcPr>
          <w:p>
            <w:pPr>
              <w:spacing w:after="0"/>
              <w:rPr>
                <w:sz w:val="2"/>
                <w:szCs w:val="2"/>
                <w:color w:val="auto"/>
              </w:rPr>
            </w:pPr>
          </w:p>
        </w:tc>
        <w:tc>
          <w:tcPr>
            <w:tcW w:w="840" w:type="dxa"/>
            <w:vAlign w:val="bottom"/>
            <w:tcBorders>
              <w:bottom w:val="single" w:sz="8" w:color="183964"/>
            </w:tcBorders>
          </w:tcPr>
          <w:p>
            <w:pPr>
              <w:spacing w:after="0"/>
              <w:rPr>
                <w:sz w:val="2"/>
                <w:szCs w:val="2"/>
                <w:color w:val="auto"/>
              </w:rPr>
            </w:pPr>
          </w:p>
        </w:tc>
      </w:tr>
      <w:tr>
        <w:trPr>
          <w:trHeight w:val="174"/>
        </w:trPr>
        <w:tc>
          <w:tcPr>
            <w:tcW w:w="7340" w:type="dxa"/>
            <w:vAlign w:val="bottom"/>
          </w:tcPr>
          <w:p>
            <w:pPr>
              <w:ind w:left="20"/>
              <w:spacing w:after="0"/>
              <w:rPr>
                <w:sz w:val="20"/>
                <w:szCs w:val="20"/>
                <w:color w:val="auto"/>
              </w:rPr>
            </w:pPr>
            <w:r>
              <w:rPr>
                <w:rFonts w:ascii="Arial" w:cs="Arial" w:eastAsia="Arial" w:hAnsi="Arial"/>
                <w:sz w:val="13"/>
                <w:szCs w:val="13"/>
                <w:color w:val="auto"/>
              </w:rPr>
              <w:t>(in thousands)</w:t>
            </w:r>
          </w:p>
        </w:tc>
        <w:tc>
          <w:tcPr>
            <w:tcW w:w="5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4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83964"/>
              </w:rPr>
              <w:t>2023</w:t>
            </w:r>
          </w:p>
        </w:tc>
        <w:tc>
          <w:tcPr>
            <w:tcW w:w="4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83964"/>
              </w:rPr>
              <w:t>Change</w:t>
            </w:r>
          </w:p>
        </w:tc>
      </w:tr>
      <w:tr>
        <w:trPr>
          <w:trHeight w:val="22"/>
        </w:trPr>
        <w:tc>
          <w:tcPr>
            <w:tcW w:w="7340" w:type="dxa"/>
            <w:vAlign w:val="bottom"/>
            <w:tcBorders>
              <w:bottom w:val="single" w:sz="8" w:color="183964"/>
            </w:tcBorders>
          </w:tcPr>
          <w:p>
            <w:pPr>
              <w:spacing w:after="0" w:line="20" w:lineRule="exact"/>
              <w:rPr>
                <w:sz w:val="1"/>
                <w:szCs w:val="1"/>
                <w:color w:val="auto"/>
              </w:rPr>
            </w:pPr>
          </w:p>
        </w:tc>
        <w:tc>
          <w:tcPr>
            <w:tcW w:w="540" w:type="dxa"/>
            <w:vAlign w:val="bottom"/>
            <w:tcBorders>
              <w:bottom w:val="single" w:sz="8" w:color="183964"/>
            </w:tcBorders>
          </w:tcPr>
          <w:p>
            <w:pPr>
              <w:spacing w:after="0" w:line="20" w:lineRule="exact"/>
              <w:rPr>
                <w:sz w:val="1"/>
                <w:szCs w:val="1"/>
                <w:color w:val="auto"/>
              </w:rPr>
            </w:pPr>
          </w:p>
        </w:tc>
        <w:tc>
          <w:tcPr>
            <w:tcW w:w="760" w:type="dxa"/>
            <w:vAlign w:val="bottom"/>
            <w:tcBorders>
              <w:bottom w:val="single" w:sz="8" w:color="183964"/>
            </w:tcBorders>
          </w:tcPr>
          <w:p>
            <w:pPr>
              <w:spacing w:after="0" w:line="20" w:lineRule="exact"/>
              <w:rPr>
                <w:sz w:val="1"/>
                <w:szCs w:val="1"/>
                <w:color w:val="auto"/>
              </w:rPr>
            </w:pPr>
          </w:p>
        </w:tc>
        <w:tc>
          <w:tcPr>
            <w:tcW w:w="460" w:type="dxa"/>
            <w:vAlign w:val="bottom"/>
            <w:tcBorders>
              <w:bottom w:val="single" w:sz="8" w:color="183964"/>
            </w:tcBorders>
          </w:tcPr>
          <w:p>
            <w:pPr>
              <w:spacing w:after="0" w:line="20" w:lineRule="exact"/>
              <w:rPr>
                <w:sz w:val="1"/>
                <w:szCs w:val="1"/>
                <w:color w:val="auto"/>
              </w:rPr>
            </w:pPr>
          </w:p>
        </w:tc>
        <w:tc>
          <w:tcPr>
            <w:tcW w:w="840" w:type="dxa"/>
            <w:vAlign w:val="bottom"/>
            <w:tcBorders>
              <w:bottom w:val="single" w:sz="8" w:color="183964"/>
            </w:tcBorders>
          </w:tcPr>
          <w:p>
            <w:pPr>
              <w:spacing w:after="0" w:line="20" w:lineRule="exact"/>
              <w:rPr>
                <w:sz w:val="1"/>
                <w:szCs w:val="1"/>
                <w:color w:val="auto"/>
              </w:rPr>
            </w:pPr>
          </w:p>
        </w:tc>
        <w:tc>
          <w:tcPr>
            <w:tcW w:w="440" w:type="dxa"/>
            <w:vAlign w:val="bottom"/>
            <w:tcBorders>
              <w:bottom w:val="single" w:sz="8" w:color="183964"/>
            </w:tcBorders>
          </w:tcPr>
          <w:p>
            <w:pPr>
              <w:spacing w:after="0" w:line="20" w:lineRule="exact"/>
              <w:rPr>
                <w:sz w:val="1"/>
                <w:szCs w:val="1"/>
                <w:color w:val="auto"/>
              </w:rPr>
            </w:pPr>
          </w:p>
        </w:tc>
        <w:tc>
          <w:tcPr>
            <w:tcW w:w="840" w:type="dxa"/>
            <w:vAlign w:val="bottom"/>
            <w:tcBorders>
              <w:bottom w:val="single" w:sz="8" w:color="183964"/>
            </w:tcBorders>
          </w:tcPr>
          <w:p>
            <w:pPr>
              <w:spacing w:after="0" w:line="20" w:lineRule="exact"/>
              <w:rPr>
                <w:sz w:val="1"/>
                <w:szCs w:val="1"/>
                <w:color w:val="auto"/>
              </w:rPr>
            </w:pPr>
          </w:p>
        </w:tc>
      </w:tr>
      <w:tr>
        <w:trPr>
          <w:trHeight w:val="204"/>
        </w:trPr>
        <w:tc>
          <w:tcPr>
            <w:tcW w:w="7340" w:type="dxa"/>
            <w:vAlign w:val="bottom"/>
          </w:tcPr>
          <w:p>
            <w:pPr>
              <w:ind w:left="20"/>
              <w:spacing w:after="0"/>
              <w:rPr>
                <w:sz w:val="20"/>
                <w:szCs w:val="20"/>
                <w:color w:val="auto"/>
              </w:rPr>
            </w:pPr>
            <w:r>
              <w:rPr>
                <w:rFonts w:ascii="Arial" w:cs="Arial" w:eastAsia="Arial" w:hAnsi="Arial"/>
                <w:sz w:val="15"/>
                <w:szCs w:val="15"/>
                <w:color w:val="auto"/>
              </w:rPr>
              <w:t>Contract Revenue:</w:t>
            </w:r>
          </w:p>
        </w:tc>
        <w:tc>
          <w:tcPr>
            <w:tcW w:w="5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51"/>
        </w:trPr>
        <w:tc>
          <w:tcPr>
            <w:tcW w:w="7340" w:type="dxa"/>
            <w:vAlign w:val="bottom"/>
          </w:tcPr>
          <w:p>
            <w:pPr>
              <w:ind w:left="120"/>
              <w:spacing w:after="0"/>
              <w:rPr>
                <w:sz w:val="20"/>
                <w:szCs w:val="20"/>
                <w:color w:val="auto"/>
              </w:rPr>
            </w:pPr>
            <w:r>
              <w:rPr>
                <w:rFonts w:ascii="Arial" w:cs="Arial" w:eastAsia="Arial" w:hAnsi="Arial"/>
                <w:sz w:val="15"/>
                <w:szCs w:val="15"/>
                <w:color w:val="auto"/>
              </w:rPr>
              <w:t>Controlled Founded Entities</w:t>
            </w:r>
          </w:p>
        </w:tc>
        <w:tc>
          <w:tcPr>
            <w:tcW w:w="540" w:type="dxa"/>
            <w:vAlign w:val="bottom"/>
          </w:tcPr>
          <w:p>
            <w:pPr>
              <w:jc w:val="right"/>
              <w:ind w:right="364"/>
              <w:spacing w:after="0"/>
              <w:rPr>
                <w:sz w:val="20"/>
                <w:szCs w:val="20"/>
                <w:color w:val="auto"/>
              </w:rPr>
            </w:pPr>
            <w:r>
              <w:rPr>
                <w:rFonts w:ascii="Arial" w:cs="Arial" w:eastAsia="Arial" w:hAnsi="Arial"/>
                <w:sz w:val="15"/>
                <w:szCs w:val="15"/>
                <w:b w:val="1"/>
                <w:bCs w:val="1"/>
                <w:color w:val="auto"/>
                <w:w w:val="95"/>
              </w:rPr>
              <w:t>$</w:t>
            </w:r>
          </w:p>
        </w:tc>
        <w:tc>
          <w:tcPr>
            <w:tcW w:w="1220" w:type="dxa"/>
            <w:vAlign w:val="bottom"/>
            <w:gridSpan w:val="2"/>
          </w:tcPr>
          <w:p>
            <w:pPr>
              <w:jc w:val="right"/>
              <w:ind w:right="284"/>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color w:val="183964"/>
              </w:rPr>
              <w:t>$</w:t>
            </w:r>
          </w:p>
        </w:tc>
        <w:tc>
          <w:tcPr>
            <w:tcW w:w="840" w:type="dxa"/>
            <w:vAlign w:val="bottom"/>
          </w:tcPr>
          <w:p>
            <w:pPr>
              <w:jc w:val="right"/>
              <w:ind w:right="5"/>
              <w:spacing w:after="0"/>
              <w:rPr>
                <w:sz w:val="20"/>
                <w:szCs w:val="20"/>
                <w:color w:val="auto"/>
              </w:rPr>
            </w:pPr>
            <w:r>
              <w:rPr>
                <w:rFonts w:ascii="Arial" w:cs="Arial" w:eastAsia="Arial" w:hAnsi="Arial"/>
                <w:sz w:val="15"/>
                <w:szCs w:val="15"/>
                <w:color w:val="183964"/>
              </w:rPr>
              <w:t>750</w:t>
            </w:r>
          </w:p>
        </w:tc>
        <w:tc>
          <w:tcPr>
            <w:tcW w:w="440" w:type="dxa"/>
            <w:vAlign w:val="bottom"/>
          </w:tcPr>
          <w:p>
            <w:pPr>
              <w:jc w:val="right"/>
              <w:ind w:right="264"/>
              <w:spacing w:after="0"/>
              <w:rPr>
                <w:sz w:val="20"/>
                <w:szCs w:val="20"/>
                <w:color w:val="auto"/>
              </w:rPr>
            </w:pPr>
            <w:r>
              <w:rPr>
                <w:rFonts w:ascii="Arial" w:cs="Arial" w:eastAsia="Arial" w:hAnsi="Arial"/>
                <w:sz w:val="15"/>
                <w:szCs w:val="15"/>
                <w:color w:val="183964"/>
                <w:w w:val="95"/>
              </w:rPr>
              <w:t>$</w:t>
            </w:r>
          </w:p>
        </w:tc>
        <w:tc>
          <w:tcPr>
            <w:tcW w:w="840" w:type="dxa"/>
            <w:vAlign w:val="bottom"/>
          </w:tcPr>
          <w:p>
            <w:pPr>
              <w:jc w:val="right"/>
              <w:spacing w:after="0"/>
              <w:rPr>
                <w:sz w:val="20"/>
                <w:szCs w:val="20"/>
                <w:color w:val="auto"/>
              </w:rPr>
            </w:pPr>
            <w:r>
              <w:rPr>
                <w:rFonts w:ascii="Arial" w:cs="Arial" w:eastAsia="Arial" w:hAnsi="Arial"/>
                <w:sz w:val="15"/>
                <w:szCs w:val="15"/>
                <w:color w:val="183964"/>
              </w:rPr>
              <w:t>(750)</w:t>
            </w:r>
          </w:p>
        </w:tc>
      </w:tr>
      <w:tr>
        <w:trPr>
          <w:trHeight w:val="25"/>
        </w:trPr>
        <w:tc>
          <w:tcPr>
            <w:tcW w:w="7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2"/>
        </w:trPr>
        <w:tc>
          <w:tcPr>
            <w:tcW w:w="7340" w:type="dxa"/>
            <w:vAlign w:val="bottom"/>
          </w:tcPr>
          <w:p>
            <w:pPr>
              <w:ind w:left="20"/>
              <w:spacing w:after="0"/>
              <w:rPr>
                <w:sz w:val="20"/>
                <w:szCs w:val="20"/>
                <w:color w:val="auto"/>
              </w:rPr>
            </w:pPr>
            <w:r>
              <w:rPr>
                <w:rFonts w:ascii="Arial" w:cs="Arial" w:eastAsia="Arial" w:hAnsi="Arial"/>
                <w:sz w:val="15"/>
                <w:szCs w:val="15"/>
                <w:b w:val="1"/>
                <w:bCs w:val="1"/>
                <w:color w:val="auto"/>
              </w:rPr>
              <w:t>Total Contract Revenue</w:t>
            </w:r>
          </w:p>
        </w:tc>
        <w:tc>
          <w:tcPr>
            <w:tcW w:w="540" w:type="dxa"/>
            <w:vAlign w:val="bottom"/>
          </w:tcPr>
          <w:p>
            <w:pPr>
              <w:spacing w:after="0"/>
              <w:rPr>
                <w:sz w:val="18"/>
                <w:szCs w:val="18"/>
                <w:color w:val="auto"/>
              </w:rPr>
            </w:pPr>
          </w:p>
        </w:tc>
        <w:tc>
          <w:tcPr>
            <w:tcW w:w="760" w:type="dxa"/>
            <w:vAlign w:val="bottom"/>
          </w:tcPr>
          <w:p>
            <w:pPr>
              <w:jc w:val="right"/>
              <w:ind w:right="7"/>
              <w:spacing w:after="0"/>
              <w:rPr>
                <w:sz w:val="20"/>
                <w:szCs w:val="20"/>
                <w:color w:val="auto"/>
              </w:rPr>
            </w:pPr>
            <w:r>
              <w:rPr>
                <w:rFonts w:ascii="Arial" w:cs="Arial" w:eastAsia="Arial" w:hAnsi="Arial"/>
                <w:sz w:val="15"/>
                <w:szCs w:val="15"/>
                <w:b w:val="1"/>
                <w:bCs w:val="1"/>
                <w:color w:val="auto"/>
              </w:rPr>
              <w:t>—</w:t>
            </w:r>
          </w:p>
        </w:tc>
        <w:tc>
          <w:tcPr>
            <w:tcW w:w="460" w:type="dxa"/>
            <w:vAlign w:val="bottom"/>
          </w:tcPr>
          <w:p>
            <w:pPr>
              <w:spacing w:after="0"/>
              <w:rPr>
                <w:sz w:val="18"/>
                <w:szCs w:val="18"/>
                <w:color w:val="auto"/>
              </w:rPr>
            </w:pPr>
          </w:p>
        </w:tc>
        <w:tc>
          <w:tcPr>
            <w:tcW w:w="840" w:type="dxa"/>
            <w:vAlign w:val="bottom"/>
          </w:tcPr>
          <w:p>
            <w:pPr>
              <w:jc w:val="right"/>
              <w:ind w:right="5"/>
              <w:spacing w:after="0"/>
              <w:rPr>
                <w:sz w:val="20"/>
                <w:szCs w:val="20"/>
                <w:color w:val="auto"/>
              </w:rPr>
            </w:pPr>
            <w:r>
              <w:rPr>
                <w:rFonts w:ascii="Arial" w:cs="Arial" w:eastAsia="Arial" w:hAnsi="Arial"/>
                <w:sz w:val="15"/>
                <w:szCs w:val="15"/>
                <w:color w:val="183964"/>
              </w:rPr>
              <w:t>750</w:t>
            </w: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183964"/>
              </w:rPr>
              <w:t>(750)</w:t>
            </w:r>
          </w:p>
        </w:tc>
      </w:tr>
      <w:tr>
        <w:trPr>
          <w:trHeight w:val="25"/>
        </w:trPr>
        <w:tc>
          <w:tcPr>
            <w:tcW w:w="7340" w:type="dxa"/>
            <w:vAlign w:val="bottom"/>
            <w:tcBorders>
              <w:bottom w:val="single" w:sz="8" w:color="183964"/>
            </w:tcBorders>
          </w:tcPr>
          <w:p>
            <w:pPr>
              <w:spacing w:after="0"/>
              <w:rPr>
                <w:sz w:val="2"/>
                <w:szCs w:val="2"/>
                <w:color w:val="auto"/>
              </w:rPr>
            </w:pPr>
          </w:p>
        </w:tc>
        <w:tc>
          <w:tcPr>
            <w:tcW w:w="540" w:type="dxa"/>
            <w:vAlign w:val="bottom"/>
            <w:tcBorders>
              <w:bottom w:val="single" w:sz="8" w:color="183964"/>
            </w:tcBorders>
          </w:tcPr>
          <w:p>
            <w:pPr>
              <w:spacing w:after="0"/>
              <w:rPr>
                <w:sz w:val="2"/>
                <w:szCs w:val="2"/>
                <w:color w:val="auto"/>
              </w:rPr>
            </w:pPr>
          </w:p>
        </w:tc>
        <w:tc>
          <w:tcPr>
            <w:tcW w:w="760" w:type="dxa"/>
            <w:vAlign w:val="bottom"/>
            <w:tcBorders>
              <w:bottom w:val="single" w:sz="8" w:color="183964"/>
            </w:tcBorders>
          </w:tcPr>
          <w:p>
            <w:pPr>
              <w:spacing w:after="0"/>
              <w:rPr>
                <w:sz w:val="2"/>
                <w:szCs w:val="2"/>
                <w:color w:val="auto"/>
              </w:rPr>
            </w:pPr>
          </w:p>
        </w:tc>
        <w:tc>
          <w:tcPr>
            <w:tcW w:w="460" w:type="dxa"/>
            <w:vAlign w:val="bottom"/>
            <w:tcBorders>
              <w:bottom w:val="single" w:sz="8" w:color="183964"/>
            </w:tcBorders>
          </w:tcPr>
          <w:p>
            <w:pPr>
              <w:spacing w:after="0"/>
              <w:rPr>
                <w:sz w:val="2"/>
                <w:szCs w:val="2"/>
                <w:color w:val="auto"/>
              </w:rPr>
            </w:pPr>
          </w:p>
        </w:tc>
        <w:tc>
          <w:tcPr>
            <w:tcW w:w="840" w:type="dxa"/>
            <w:vAlign w:val="bottom"/>
            <w:tcBorders>
              <w:bottom w:val="single" w:sz="8" w:color="183964"/>
            </w:tcBorders>
          </w:tcPr>
          <w:p>
            <w:pPr>
              <w:spacing w:after="0"/>
              <w:rPr>
                <w:sz w:val="2"/>
                <w:szCs w:val="2"/>
                <w:color w:val="auto"/>
              </w:rPr>
            </w:pPr>
          </w:p>
        </w:tc>
        <w:tc>
          <w:tcPr>
            <w:tcW w:w="440" w:type="dxa"/>
            <w:vAlign w:val="bottom"/>
            <w:tcBorders>
              <w:bottom w:val="single" w:sz="8" w:color="183964"/>
            </w:tcBorders>
          </w:tcPr>
          <w:p>
            <w:pPr>
              <w:spacing w:after="0"/>
              <w:rPr>
                <w:sz w:val="2"/>
                <w:szCs w:val="2"/>
                <w:color w:val="auto"/>
              </w:rPr>
            </w:pPr>
          </w:p>
        </w:tc>
        <w:tc>
          <w:tcPr>
            <w:tcW w:w="840" w:type="dxa"/>
            <w:vAlign w:val="bottom"/>
            <w:tcBorders>
              <w:bottom w:val="single" w:sz="8" w:color="183964"/>
            </w:tcBorders>
          </w:tcPr>
          <w:p>
            <w:pPr>
              <w:spacing w:after="0"/>
              <w:rPr>
                <w:sz w:val="2"/>
                <w:szCs w:val="2"/>
                <w:color w:val="auto"/>
              </w:rPr>
            </w:pPr>
          </w:p>
        </w:tc>
      </w:tr>
      <w:tr>
        <w:trPr>
          <w:trHeight w:val="204"/>
        </w:trPr>
        <w:tc>
          <w:tcPr>
            <w:tcW w:w="7340" w:type="dxa"/>
            <w:vAlign w:val="bottom"/>
          </w:tcPr>
          <w:p>
            <w:pPr>
              <w:ind w:left="20"/>
              <w:spacing w:after="0"/>
              <w:rPr>
                <w:sz w:val="20"/>
                <w:szCs w:val="20"/>
                <w:color w:val="auto"/>
              </w:rPr>
            </w:pPr>
            <w:r>
              <w:rPr>
                <w:rFonts w:ascii="Arial" w:cs="Arial" w:eastAsia="Arial" w:hAnsi="Arial"/>
                <w:sz w:val="15"/>
                <w:szCs w:val="15"/>
                <w:color w:val="auto"/>
              </w:rPr>
              <w:t>Grant Revenue:</w:t>
            </w:r>
          </w:p>
        </w:tc>
        <w:tc>
          <w:tcPr>
            <w:tcW w:w="5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51"/>
        </w:trPr>
        <w:tc>
          <w:tcPr>
            <w:tcW w:w="7340" w:type="dxa"/>
            <w:vAlign w:val="bottom"/>
          </w:tcPr>
          <w:p>
            <w:pPr>
              <w:ind w:left="120"/>
              <w:spacing w:after="0"/>
              <w:rPr>
                <w:sz w:val="20"/>
                <w:szCs w:val="20"/>
                <w:color w:val="auto"/>
              </w:rPr>
            </w:pPr>
            <w:r>
              <w:rPr>
                <w:rFonts w:ascii="Arial" w:cs="Arial" w:eastAsia="Arial" w:hAnsi="Arial"/>
                <w:sz w:val="15"/>
                <w:szCs w:val="15"/>
                <w:color w:val="auto"/>
              </w:rPr>
              <w:t>Wholly-Owned Programs</w:t>
            </w:r>
          </w:p>
        </w:tc>
        <w:tc>
          <w:tcPr>
            <w:tcW w:w="540" w:type="dxa"/>
            <w:vAlign w:val="bottom"/>
          </w:tcPr>
          <w:p>
            <w:pPr>
              <w:spacing w:after="0"/>
              <w:rPr>
                <w:sz w:val="21"/>
                <w:szCs w:val="21"/>
                <w:color w:val="auto"/>
              </w:rPr>
            </w:pPr>
          </w:p>
        </w:tc>
        <w:tc>
          <w:tcPr>
            <w:tcW w:w="760" w:type="dxa"/>
            <w:vAlign w:val="bottom"/>
          </w:tcPr>
          <w:p>
            <w:pPr>
              <w:jc w:val="right"/>
              <w:ind w:right="7"/>
              <w:spacing w:after="0"/>
              <w:rPr>
                <w:sz w:val="20"/>
                <w:szCs w:val="20"/>
                <w:color w:val="auto"/>
              </w:rPr>
            </w:pPr>
            <w:r>
              <w:rPr>
                <w:rFonts w:ascii="Arial" w:cs="Arial" w:eastAsia="Arial" w:hAnsi="Arial"/>
                <w:sz w:val="15"/>
                <w:szCs w:val="15"/>
                <w:b w:val="1"/>
                <w:bCs w:val="1"/>
                <w:color w:val="auto"/>
              </w:rPr>
              <w:t>288</w:t>
            </w:r>
          </w:p>
        </w:tc>
        <w:tc>
          <w:tcPr>
            <w:tcW w:w="460" w:type="dxa"/>
            <w:vAlign w:val="bottom"/>
          </w:tcPr>
          <w:p>
            <w:pPr>
              <w:spacing w:after="0"/>
              <w:rPr>
                <w:sz w:val="21"/>
                <w:szCs w:val="21"/>
                <w:color w:val="auto"/>
              </w:rPr>
            </w:pPr>
          </w:p>
        </w:tc>
        <w:tc>
          <w:tcPr>
            <w:tcW w:w="840" w:type="dxa"/>
            <w:vAlign w:val="bottom"/>
          </w:tcPr>
          <w:p>
            <w:pPr>
              <w:jc w:val="right"/>
              <w:ind w:right="5"/>
              <w:spacing w:after="0"/>
              <w:rPr>
                <w:sz w:val="20"/>
                <w:szCs w:val="20"/>
                <w:color w:val="auto"/>
              </w:rPr>
            </w:pPr>
            <w:r>
              <w:rPr>
                <w:rFonts w:ascii="Arial" w:cs="Arial" w:eastAsia="Arial" w:hAnsi="Arial"/>
                <w:sz w:val="15"/>
                <w:szCs w:val="15"/>
                <w:color w:val="183964"/>
              </w:rPr>
              <w:t>135</w:t>
            </w: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183964"/>
              </w:rPr>
              <w:t>153</w:t>
            </w:r>
          </w:p>
        </w:tc>
      </w:tr>
      <w:tr>
        <w:trPr>
          <w:trHeight w:val="243"/>
        </w:trPr>
        <w:tc>
          <w:tcPr>
            <w:tcW w:w="7340" w:type="dxa"/>
            <w:vAlign w:val="bottom"/>
          </w:tcPr>
          <w:p>
            <w:pPr>
              <w:ind w:left="120"/>
              <w:spacing w:after="0"/>
              <w:rPr>
                <w:sz w:val="20"/>
                <w:szCs w:val="20"/>
                <w:color w:val="auto"/>
              </w:rPr>
            </w:pPr>
            <w:r>
              <w:rPr>
                <w:rFonts w:ascii="Arial" w:cs="Arial" w:eastAsia="Arial" w:hAnsi="Arial"/>
                <w:sz w:val="15"/>
                <w:szCs w:val="15"/>
                <w:color w:val="auto"/>
              </w:rPr>
              <w:t>Parent Company and Other</w:t>
            </w:r>
          </w:p>
        </w:tc>
        <w:tc>
          <w:tcPr>
            <w:tcW w:w="540" w:type="dxa"/>
            <w:vAlign w:val="bottom"/>
          </w:tcPr>
          <w:p>
            <w:pPr>
              <w:spacing w:after="0"/>
              <w:rPr>
                <w:sz w:val="21"/>
                <w:szCs w:val="21"/>
                <w:color w:val="auto"/>
              </w:rPr>
            </w:pPr>
          </w:p>
        </w:tc>
        <w:tc>
          <w:tcPr>
            <w:tcW w:w="760" w:type="dxa"/>
            <w:vAlign w:val="bottom"/>
          </w:tcPr>
          <w:p>
            <w:pPr>
              <w:jc w:val="right"/>
              <w:ind w:right="7"/>
              <w:spacing w:after="0"/>
              <w:rPr>
                <w:sz w:val="20"/>
                <w:szCs w:val="20"/>
                <w:color w:val="auto"/>
              </w:rPr>
            </w:pPr>
            <w:r>
              <w:rPr>
                <w:rFonts w:ascii="Arial" w:cs="Arial" w:eastAsia="Arial" w:hAnsi="Arial"/>
                <w:sz w:val="15"/>
                <w:szCs w:val="15"/>
                <w:b w:val="1"/>
                <w:bCs w:val="1"/>
                <w:color w:val="auto"/>
              </w:rPr>
              <w:t>—</w:t>
            </w:r>
          </w:p>
        </w:tc>
        <w:tc>
          <w:tcPr>
            <w:tcW w:w="460" w:type="dxa"/>
            <w:vAlign w:val="bottom"/>
          </w:tcPr>
          <w:p>
            <w:pPr>
              <w:spacing w:after="0"/>
              <w:rPr>
                <w:sz w:val="21"/>
                <w:szCs w:val="21"/>
                <w:color w:val="auto"/>
              </w:rPr>
            </w:pPr>
          </w:p>
        </w:tc>
        <w:tc>
          <w:tcPr>
            <w:tcW w:w="840" w:type="dxa"/>
            <w:vAlign w:val="bottom"/>
          </w:tcPr>
          <w:p>
            <w:pPr>
              <w:jc w:val="right"/>
              <w:ind w:right="5"/>
              <w:spacing w:after="0"/>
              <w:rPr>
                <w:sz w:val="20"/>
                <w:szCs w:val="20"/>
                <w:color w:val="auto"/>
              </w:rPr>
            </w:pPr>
            <w:r>
              <w:rPr>
                <w:rFonts w:ascii="Arial" w:cs="Arial" w:eastAsia="Arial" w:hAnsi="Arial"/>
                <w:sz w:val="15"/>
                <w:szCs w:val="15"/>
                <w:color w:val="183964"/>
              </w:rPr>
              <w:t>2,265</w:t>
            </w: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183964"/>
              </w:rPr>
              <w:t>(2,265)</w:t>
            </w:r>
          </w:p>
        </w:tc>
      </w:tr>
      <w:tr>
        <w:trPr>
          <w:trHeight w:val="25"/>
        </w:trPr>
        <w:tc>
          <w:tcPr>
            <w:tcW w:w="7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2"/>
        </w:trPr>
        <w:tc>
          <w:tcPr>
            <w:tcW w:w="7340" w:type="dxa"/>
            <w:vAlign w:val="bottom"/>
          </w:tcPr>
          <w:p>
            <w:pPr>
              <w:ind w:left="20"/>
              <w:spacing w:after="0"/>
              <w:rPr>
                <w:sz w:val="20"/>
                <w:szCs w:val="20"/>
                <w:color w:val="auto"/>
              </w:rPr>
            </w:pPr>
            <w:r>
              <w:rPr>
                <w:rFonts w:ascii="Arial" w:cs="Arial" w:eastAsia="Arial" w:hAnsi="Arial"/>
                <w:sz w:val="15"/>
                <w:szCs w:val="15"/>
                <w:b w:val="1"/>
                <w:bCs w:val="1"/>
                <w:color w:val="auto"/>
              </w:rPr>
              <w:t>Total Grant Revenue</w:t>
            </w:r>
          </w:p>
        </w:tc>
        <w:tc>
          <w:tcPr>
            <w:tcW w:w="540" w:type="dxa"/>
            <w:vAlign w:val="bottom"/>
          </w:tcPr>
          <w:p>
            <w:pPr>
              <w:spacing w:after="0"/>
              <w:rPr>
                <w:sz w:val="18"/>
                <w:szCs w:val="18"/>
                <w:color w:val="auto"/>
              </w:rPr>
            </w:pPr>
          </w:p>
        </w:tc>
        <w:tc>
          <w:tcPr>
            <w:tcW w:w="760" w:type="dxa"/>
            <w:vAlign w:val="bottom"/>
          </w:tcPr>
          <w:p>
            <w:pPr>
              <w:jc w:val="right"/>
              <w:ind w:right="7"/>
              <w:spacing w:after="0"/>
              <w:rPr>
                <w:sz w:val="20"/>
                <w:szCs w:val="20"/>
                <w:color w:val="auto"/>
              </w:rPr>
            </w:pPr>
            <w:r>
              <w:rPr>
                <w:rFonts w:ascii="Arial" w:cs="Arial" w:eastAsia="Arial" w:hAnsi="Arial"/>
                <w:sz w:val="15"/>
                <w:szCs w:val="15"/>
                <w:b w:val="1"/>
                <w:bCs w:val="1"/>
                <w:color w:val="auto"/>
              </w:rPr>
              <w:t>288</w:t>
            </w:r>
          </w:p>
        </w:tc>
        <w:tc>
          <w:tcPr>
            <w:tcW w:w="460" w:type="dxa"/>
            <w:vAlign w:val="bottom"/>
          </w:tcPr>
          <w:p>
            <w:pPr>
              <w:spacing w:after="0"/>
              <w:rPr>
                <w:sz w:val="18"/>
                <w:szCs w:val="18"/>
                <w:color w:val="auto"/>
              </w:rPr>
            </w:pPr>
          </w:p>
        </w:tc>
        <w:tc>
          <w:tcPr>
            <w:tcW w:w="840" w:type="dxa"/>
            <w:vAlign w:val="bottom"/>
          </w:tcPr>
          <w:p>
            <w:pPr>
              <w:jc w:val="right"/>
              <w:ind w:right="5"/>
              <w:spacing w:after="0"/>
              <w:rPr>
                <w:sz w:val="20"/>
                <w:szCs w:val="20"/>
                <w:color w:val="auto"/>
              </w:rPr>
            </w:pPr>
            <w:r>
              <w:rPr>
                <w:rFonts w:ascii="Arial" w:cs="Arial" w:eastAsia="Arial" w:hAnsi="Arial"/>
                <w:sz w:val="15"/>
                <w:szCs w:val="15"/>
                <w:color w:val="183964"/>
              </w:rPr>
              <w:t>2,400</w:t>
            </w: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183964"/>
              </w:rPr>
              <w:t>(2,112)</w:t>
            </w:r>
          </w:p>
        </w:tc>
      </w:tr>
      <w:tr>
        <w:trPr>
          <w:trHeight w:val="25"/>
        </w:trPr>
        <w:tc>
          <w:tcPr>
            <w:tcW w:w="7340" w:type="dxa"/>
            <w:vAlign w:val="bottom"/>
            <w:tcBorders>
              <w:bottom w:val="single" w:sz="8" w:color="183964"/>
            </w:tcBorders>
          </w:tcPr>
          <w:p>
            <w:pPr>
              <w:spacing w:after="0"/>
              <w:rPr>
                <w:sz w:val="2"/>
                <w:szCs w:val="2"/>
                <w:color w:val="auto"/>
              </w:rPr>
            </w:pPr>
          </w:p>
        </w:tc>
        <w:tc>
          <w:tcPr>
            <w:tcW w:w="540" w:type="dxa"/>
            <w:vAlign w:val="bottom"/>
            <w:tcBorders>
              <w:bottom w:val="single" w:sz="8" w:color="183964"/>
            </w:tcBorders>
          </w:tcPr>
          <w:p>
            <w:pPr>
              <w:spacing w:after="0"/>
              <w:rPr>
                <w:sz w:val="2"/>
                <w:szCs w:val="2"/>
                <w:color w:val="auto"/>
              </w:rPr>
            </w:pPr>
          </w:p>
        </w:tc>
        <w:tc>
          <w:tcPr>
            <w:tcW w:w="760" w:type="dxa"/>
            <w:vAlign w:val="bottom"/>
            <w:tcBorders>
              <w:bottom w:val="single" w:sz="8" w:color="183964"/>
            </w:tcBorders>
          </w:tcPr>
          <w:p>
            <w:pPr>
              <w:spacing w:after="0"/>
              <w:rPr>
                <w:sz w:val="2"/>
                <w:szCs w:val="2"/>
                <w:color w:val="auto"/>
              </w:rPr>
            </w:pPr>
          </w:p>
        </w:tc>
        <w:tc>
          <w:tcPr>
            <w:tcW w:w="460" w:type="dxa"/>
            <w:vAlign w:val="bottom"/>
            <w:tcBorders>
              <w:bottom w:val="single" w:sz="8" w:color="183964"/>
            </w:tcBorders>
          </w:tcPr>
          <w:p>
            <w:pPr>
              <w:spacing w:after="0"/>
              <w:rPr>
                <w:sz w:val="2"/>
                <w:szCs w:val="2"/>
                <w:color w:val="auto"/>
              </w:rPr>
            </w:pPr>
          </w:p>
        </w:tc>
        <w:tc>
          <w:tcPr>
            <w:tcW w:w="840" w:type="dxa"/>
            <w:vAlign w:val="bottom"/>
            <w:tcBorders>
              <w:bottom w:val="single" w:sz="8" w:color="183964"/>
            </w:tcBorders>
          </w:tcPr>
          <w:p>
            <w:pPr>
              <w:spacing w:after="0"/>
              <w:rPr>
                <w:sz w:val="2"/>
                <w:szCs w:val="2"/>
                <w:color w:val="auto"/>
              </w:rPr>
            </w:pPr>
          </w:p>
        </w:tc>
        <w:tc>
          <w:tcPr>
            <w:tcW w:w="440" w:type="dxa"/>
            <w:vAlign w:val="bottom"/>
            <w:tcBorders>
              <w:bottom w:val="single" w:sz="8" w:color="183964"/>
            </w:tcBorders>
          </w:tcPr>
          <w:p>
            <w:pPr>
              <w:spacing w:after="0"/>
              <w:rPr>
                <w:sz w:val="2"/>
                <w:szCs w:val="2"/>
                <w:color w:val="auto"/>
              </w:rPr>
            </w:pPr>
          </w:p>
        </w:tc>
        <w:tc>
          <w:tcPr>
            <w:tcW w:w="840" w:type="dxa"/>
            <w:vAlign w:val="bottom"/>
            <w:tcBorders>
              <w:bottom w:val="single" w:sz="8" w:color="183964"/>
            </w:tcBorders>
          </w:tcPr>
          <w:p>
            <w:pPr>
              <w:spacing w:after="0"/>
              <w:rPr>
                <w:sz w:val="2"/>
                <w:szCs w:val="2"/>
                <w:color w:val="auto"/>
              </w:rPr>
            </w:pPr>
          </w:p>
        </w:tc>
      </w:tr>
      <w:tr>
        <w:trPr>
          <w:trHeight w:val="212"/>
        </w:trPr>
        <w:tc>
          <w:tcPr>
            <w:tcW w:w="7340" w:type="dxa"/>
            <w:vAlign w:val="bottom"/>
          </w:tcPr>
          <w:p>
            <w:pPr>
              <w:ind w:left="20"/>
              <w:spacing w:after="0"/>
              <w:rPr>
                <w:sz w:val="20"/>
                <w:szCs w:val="20"/>
                <w:color w:val="auto"/>
              </w:rPr>
            </w:pPr>
            <w:r>
              <w:rPr>
                <w:rFonts w:ascii="Arial" w:cs="Arial" w:eastAsia="Arial" w:hAnsi="Arial"/>
                <w:sz w:val="15"/>
                <w:szCs w:val="15"/>
                <w:b w:val="1"/>
                <w:bCs w:val="1"/>
                <w:color w:val="auto"/>
              </w:rPr>
              <w:t>Total Revenue</w:t>
            </w:r>
          </w:p>
        </w:tc>
        <w:tc>
          <w:tcPr>
            <w:tcW w:w="540" w:type="dxa"/>
            <w:vAlign w:val="bottom"/>
          </w:tcPr>
          <w:p>
            <w:pPr>
              <w:jc w:val="right"/>
              <w:ind w:right="364"/>
              <w:spacing w:after="0"/>
              <w:rPr>
                <w:sz w:val="20"/>
                <w:szCs w:val="20"/>
                <w:color w:val="auto"/>
              </w:rPr>
            </w:pPr>
            <w:r>
              <w:rPr>
                <w:rFonts w:ascii="Arial" w:cs="Arial" w:eastAsia="Arial" w:hAnsi="Arial"/>
                <w:sz w:val="15"/>
                <w:szCs w:val="15"/>
                <w:b w:val="1"/>
                <w:bCs w:val="1"/>
                <w:color w:val="auto"/>
                <w:w w:val="95"/>
              </w:rPr>
              <w:t>$</w:t>
            </w:r>
          </w:p>
        </w:tc>
        <w:tc>
          <w:tcPr>
            <w:tcW w:w="760" w:type="dxa"/>
            <w:vAlign w:val="bottom"/>
          </w:tcPr>
          <w:p>
            <w:pPr>
              <w:jc w:val="right"/>
              <w:ind w:right="7"/>
              <w:spacing w:after="0"/>
              <w:rPr>
                <w:sz w:val="20"/>
                <w:szCs w:val="20"/>
                <w:color w:val="auto"/>
              </w:rPr>
            </w:pPr>
            <w:r>
              <w:rPr>
                <w:rFonts w:ascii="Arial" w:cs="Arial" w:eastAsia="Arial" w:hAnsi="Arial"/>
                <w:sz w:val="15"/>
                <w:szCs w:val="15"/>
                <w:b w:val="1"/>
                <w:bCs w:val="1"/>
                <w:color w:val="auto"/>
              </w:rPr>
              <w:t>288</w:t>
            </w:r>
          </w:p>
        </w:tc>
        <w:tc>
          <w:tcPr>
            <w:tcW w:w="460" w:type="dxa"/>
            <w:vAlign w:val="bottom"/>
          </w:tcPr>
          <w:p>
            <w:pPr>
              <w:jc w:val="right"/>
              <w:ind w:right="284"/>
              <w:spacing w:after="0"/>
              <w:rPr>
                <w:sz w:val="20"/>
                <w:szCs w:val="20"/>
                <w:color w:val="auto"/>
              </w:rPr>
            </w:pPr>
            <w:r>
              <w:rPr>
                <w:rFonts w:ascii="Arial" w:cs="Arial" w:eastAsia="Arial" w:hAnsi="Arial"/>
                <w:sz w:val="15"/>
                <w:szCs w:val="15"/>
                <w:color w:val="183964"/>
                <w:w w:val="95"/>
              </w:rPr>
              <w:t>$</w:t>
            </w:r>
          </w:p>
        </w:tc>
        <w:tc>
          <w:tcPr>
            <w:tcW w:w="840" w:type="dxa"/>
            <w:vAlign w:val="bottom"/>
          </w:tcPr>
          <w:p>
            <w:pPr>
              <w:jc w:val="right"/>
              <w:ind w:right="5"/>
              <w:spacing w:after="0"/>
              <w:rPr>
                <w:sz w:val="20"/>
                <w:szCs w:val="20"/>
                <w:color w:val="auto"/>
              </w:rPr>
            </w:pPr>
            <w:r>
              <w:rPr>
                <w:rFonts w:ascii="Arial" w:cs="Arial" w:eastAsia="Arial" w:hAnsi="Arial"/>
                <w:sz w:val="15"/>
                <w:szCs w:val="15"/>
                <w:color w:val="183964"/>
              </w:rPr>
              <w:t>3,150</w:t>
            </w:r>
          </w:p>
        </w:tc>
        <w:tc>
          <w:tcPr>
            <w:tcW w:w="440" w:type="dxa"/>
            <w:vAlign w:val="bottom"/>
          </w:tcPr>
          <w:p>
            <w:pPr>
              <w:jc w:val="right"/>
              <w:ind w:right="264"/>
              <w:spacing w:after="0"/>
              <w:rPr>
                <w:sz w:val="20"/>
                <w:szCs w:val="20"/>
                <w:color w:val="auto"/>
              </w:rPr>
            </w:pPr>
            <w:r>
              <w:rPr>
                <w:rFonts w:ascii="Arial" w:cs="Arial" w:eastAsia="Arial" w:hAnsi="Arial"/>
                <w:sz w:val="15"/>
                <w:szCs w:val="15"/>
                <w:color w:val="183964"/>
                <w:w w:val="95"/>
              </w:rPr>
              <w:t>$</w:t>
            </w:r>
          </w:p>
        </w:tc>
        <w:tc>
          <w:tcPr>
            <w:tcW w:w="840" w:type="dxa"/>
            <w:vAlign w:val="bottom"/>
          </w:tcPr>
          <w:p>
            <w:pPr>
              <w:jc w:val="right"/>
              <w:spacing w:after="0"/>
              <w:rPr>
                <w:sz w:val="20"/>
                <w:szCs w:val="20"/>
                <w:color w:val="auto"/>
              </w:rPr>
            </w:pPr>
            <w:r>
              <w:rPr>
                <w:rFonts w:ascii="Arial" w:cs="Arial" w:eastAsia="Arial" w:hAnsi="Arial"/>
                <w:sz w:val="15"/>
                <w:szCs w:val="15"/>
                <w:color w:val="183964"/>
              </w:rPr>
              <w:t>(2,862)</w:t>
            </w:r>
          </w:p>
        </w:tc>
      </w:tr>
      <w:tr>
        <w:trPr>
          <w:trHeight w:val="25"/>
        </w:trPr>
        <w:tc>
          <w:tcPr>
            <w:tcW w:w="7340" w:type="dxa"/>
            <w:vAlign w:val="bottom"/>
            <w:tcBorders>
              <w:bottom w:val="single" w:sz="8" w:color="183964"/>
            </w:tcBorders>
          </w:tcPr>
          <w:p>
            <w:pPr>
              <w:spacing w:after="0"/>
              <w:rPr>
                <w:sz w:val="2"/>
                <w:szCs w:val="2"/>
                <w:color w:val="auto"/>
              </w:rPr>
            </w:pPr>
          </w:p>
        </w:tc>
        <w:tc>
          <w:tcPr>
            <w:tcW w:w="540" w:type="dxa"/>
            <w:vAlign w:val="bottom"/>
            <w:tcBorders>
              <w:bottom w:val="single" w:sz="8" w:color="183964"/>
            </w:tcBorders>
          </w:tcPr>
          <w:p>
            <w:pPr>
              <w:spacing w:after="0"/>
              <w:rPr>
                <w:sz w:val="2"/>
                <w:szCs w:val="2"/>
                <w:color w:val="auto"/>
              </w:rPr>
            </w:pPr>
          </w:p>
        </w:tc>
        <w:tc>
          <w:tcPr>
            <w:tcW w:w="760" w:type="dxa"/>
            <w:vAlign w:val="bottom"/>
            <w:tcBorders>
              <w:bottom w:val="single" w:sz="8" w:color="183964"/>
            </w:tcBorders>
          </w:tcPr>
          <w:p>
            <w:pPr>
              <w:spacing w:after="0"/>
              <w:rPr>
                <w:sz w:val="2"/>
                <w:szCs w:val="2"/>
                <w:color w:val="auto"/>
              </w:rPr>
            </w:pPr>
          </w:p>
        </w:tc>
        <w:tc>
          <w:tcPr>
            <w:tcW w:w="460" w:type="dxa"/>
            <w:vAlign w:val="bottom"/>
            <w:tcBorders>
              <w:bottom w:val="single" w:sz="8" w:color="183964"/>
            </w:tcBorders>
          </w:tcPr>
          <w:p>
            <w:pPr>
              <w:spacing w:after="0"/>
              <w:rPr>
                <w:sz w:val="2"/>
                <w:szCs w:val="2"/>
                <w:color w:val="auto"/>
              </w:rPr>
            </w:pPr>
          </w:p>
        </w:tc>
        <w:tc>
          <w:tcPr>
            <w:tcW w:w="840" w:type="dxa"/>
            <w:vAlign w:val="bottom"/>
            <w:tcBorders>
              <w:bottom w:val="single" w:sz="8" w:color="183964"/>
            </w:tcBorders>
          </w:tcPr>
          <w:p>
            <w:pPr>
              <w:spacing w:after="0"/>
              <w:rPr>
                <w:sz w:val="2"/>
                <w:szCs w:val="2"/>
                <w:color w:val="auto"/>
              </w:rPr>
            </w:pPr>
          </w:p>
        </w:tc>
        <w:tc>
          <w:tcPr>
            <w:tcW w:w="440" w:type="dxa"/>
            <w:vAlign w:val="bottom"/>
            <w:tcBorders>
              <w:bottom w:val="single" w:sz="8" w:color="183964"/>
            </w:tcBorders>
          </w:tcPr>
          <w:p>
            <w:pPr>
              <w:spacing w:after="0"/>
              <w:rPr>
                <w:sz w:val="2"/>
                <w:szCs w:val="2"/>
                <w:color w:val="auto"/>
              </w:rPr>
            </w:pPr>
          </w:p>
        </w:tc>
        <w:tc>
          <w:tcPr>
            <w:tcW w:w="840" w:type="dxa"/>
            <w:vAlign w:val="bottom"/>
            <w:tcBorders>
              <w:bottom w:val="single" w:sz="8" w:color="183964"/>
            </w:tcBorders>
          </w:tcPr>
          <w:p>
            <w:pPr>
              <w:spacing w:after="0"/>
              <w:rPr>
                <w:sz w:val="2"/>
                <w:szCs w:val="2"/>
                <w:color w:val="auto"/>
              </w:rPr>
            </w:pPr>
          </w:p>
        </w:tc>
      </w:tr>
    </w:tbl>
    <w:p>
      <w:pPr>
        <w:spacing w:after="0" w:line="172" w:lineRule="exact"/>
        <w:rPr>
          <w:sz w:val="20"/>
          <w:szCs w:val="20"/>
          <w:color w:val="auto"/>
        </w:rPr>
      </w:pPr>
    </w:p>
    <w:p>
      <w:pPr>
        <w:ind w:right="100"/>
        <w:spacing w:after="0" w:line="269" w:lineRule="auto"/>
        <w:rPr>
          <w:sz w:val="20"/>
          <w:szCs w:val="20"/>
          <w:color w:val="auto"/>
        </w:rPr>
      </w:pPr>
      <w:r>
        <w:rPr>
          <w:rFonts w:ascii="Arial" w:cs="Arial" w:eastAsia="Arial" w:hAnsi="Arial"/>
          <w:sz w:val="15"/>
          <w:szCs w:val="15"/>
          <w:color w:val="auto"/>
        </w:rPr>
        <w:t>Our total revenue was $0.3 million for the six months ended June 30, 2024, a decrease of $2.9 million, or 91 percent compared to the six months ended June 30, 2023. The decrease in revenue was primarily due to the $2.3 million reduction in Parent Company and Other revenue which was mostly a result of the deconsolidation of Vedanta from our financial statements in March 2023, as well as $0.7 million reduction due to the completion of a revenue agreement for Entrega, one of our Controlled Founded Entities.</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183964"/>
        </w:rPr>
        <w:t>Research and Development Expenses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0" w:type="dxa"/>
            <w:vAlign w:val="bottom"/>
            <w:gridSpan w:val="4"/>
          </w:tcPr>
          <w:p>
            <w:pPr>
              <w:jc w:val="right"/>
              <w:ind w:right="204"/>
              <w:spacing w:after="0"/>
              <w:rPr>
                <w:sz w:val="20"/>
                <w:szCs w:val="20"/>
                <w:color w:val="auto"/>
              </w:rPr>
            </w:pPr>
            <w:r>
              <w:rPr>
                <w:rFonts w:ascii="Arial" w:cs="Arial" w:eastAsia="Arial" w:hAnsi="Arial"/>
                <w:sz w:val="13"/>
                <w:szCs w:val="13"/>
                <w:color w:val="183964"/>
              </w:rPr>
              <w:t>Six Months Ended June 30,</w:t>
            </w:r>
          </w:p>
        </w:tc>
        <w:tc>
          <w:tcPr>
            <w:tcW w:w="880" w:type="dxa"/>
            <w:vAlign w:val="bottom"/>
          </w:tcPr>
          <w:p>
            <w:pPr>
              <w:spacing w:after="0"/>
              <w:rPr>
                <w:sz w:val="14"/>
                <w:szCs w:val="14"/>
                <w:color w:val="auto"/>
              </w:rPr>
            </w:pPr>
          </w:p>
        </w:tc>
      </w:tr>
      <w:tr>
        <w:trPr>
          <w:trHeight w:val="28"/>
        </w:trPr>
        <w:tc>
          <w:tcPr>
            <w:tcW w:w="7340" w:type="dxa"/>
            <w:vAlign w:val="bottom"/>
          </w:tcPr>
          <w:p>
            <w:pPr>
              <w:spacing w:after="0"/>
              <w:rPr>
                <w:sz w:val="2"/>
                <w:szCs w:val="2"/>
                <w:color w:val="auto"/>
              </w:rPr>
            </w:pPr>
          </w:p>
        </w:tc>
        <w:tc>
          <w:tcPr>
            <w:tcW w:w="400" w:type="dxa"/>
            <w:vAlign w:val="bottom"/>
            <w:tcBorders>
              <w:bottom w:val="single" w:sz="8" w:color="183964"/>
            </w:tcBorders>
          </w:tcPr>
          <w:p>
            <w:pPr>
              <w:spacing w:after="0"/>
              <w:rPr>
                <w:sz w:val="2"/>
                <w:szCs w:val="2"/>
                <w:color w:val="auto"/>
              </w:rPr>
            </w:pPr>
          </w:p>
        </w:tc>
        <w:tc>
          <w:tcPr>
            <w:tcW w:w="900" w:type="dxa"/>
            <w:vAlign w:val="bottom"/>
            <w:tcBorders>
              <w:bottom w:val="single" w:sz="8" w:color="183964"/>
            </w:tcBorders>
          </w:tcPr>
          <w:p>
            <w:pPr>
              <w:spacing w:after="0"/>
              <w:rPr>
                <w:sz w:val="2"/>
                <w:szCs w:val="2"/>
                <w:color w:val="auto"/>
              </w:rPr>
            </w:pPr>
          </w:p>
        </w:tc>
        <w:tc>
          <w:tcPr>
            <w:tcW w:w="400" w:type="dxa"/>
            <w:vAlign w:val="bottom"/>
            <w:tcBorders>
              <w:bottom w:val="single" w:sz="8" w:color="183964"/>
            </w:tcBorders>
          </w:tcPr>
          <w:p>
            <w:pPr>
              <w:spacing w:after="0"/>
              <w:rPr>
                <w:sz w:val="2"/>
                <w:szCs w:val="2"/>
                <w:color w:val="auto"/>
              </w:rPr>
            </w:pPr>
          </w:p>
        </w:tc>
        <w:tc>
          <w:tcPr>
            <w:tcW w:w="900" w:type="dxa"/>
            <w:vAlign w:val="bottom"/>
            <w:tcBorders>
              <w:bottom w:val="single" w:sz="8" w:color="183964"/>
            </w:tcBorders>
          </w:tcPr>
          <w:p>
            <w:pPr>
              <w:spacing w:after="0"/>
              <w:rPr>
                <w:sz w:val="2"/>
                <w:szCs w:val="2"/>
                <w:color w:val="auto"/>
              </w:rPr>
            </w:pPr>
          </w:p>
        </w:tc>
        <w:tc>
          <w:tcPr>
            <w:tcW w:w="400" w:type="dxa"/>
            <w:vAlign w:val="bottom"/>
            <w:tcBorders>
              <w:bottom w:val="single" w:sz="8" w:color="183964"/>
            </w:tcBorders>
          </w:tcPr>
          <w:p>
            <w:pPr>
              <w:spacing w:after="0"/>
              <w:rPr>
                <w:sz w:val="2"/>
                <w:szCs w:val="2"/>
                <w:color w:val="auto"/>
              </w:rPr>
            </w:pPr>
          </w:p>
        </w:tc>
        <w:tc>
          <w:tcPr>
            <w:tcW w:w="880" w:type="dxa"/>
            <w:vAlign w:val="bottom"/>
            <w:tcBorders>
              <w:bottom w:val="single" w:sz="8" w:color="183964"/>
            </w:tcBorders>
          </w:tcPr>
          <w:p>
            <w:pPr>
              <w:spacing w:after="0"/>
              <w:rPr>
                <w:sz w:val="2"/>
                <w:szCs w:val="2"/>
                <w:color w:val="auto"/>
              </w:rPr>
            </w:pPr>
          </w:p>
        </w:tc>
      </w:tr>
      <w:tr>
        <w:trPr>
          <w:trHeight w:val="174"/>
        </w:trPr>
        <w:tc>
          <w:tcPr>
            <w:tcW w:w="7340" w:type="dxa"/>
            <w:vAlign w:val="bottom"/>
          </w:tcPr>
          <w:p>
            <w:pPr>
              <w:ind w:left="20"/>
              <w:spacing w:after="0"/>
              <w:rPr>
                <w:sz w:val="20"/>
                <w:szCs w:val="20"/>
                <w:color w:val="auto"/>
              </w:rPr>
            </w:pPr>
            <w:r>
              <w:rPr>
                <w:rFonts w:ascii="Arial" w:cs="Arial" w:eastAsia="Arial" w:hAnsi="Arial"/>
                <w:sz w:val="13"/>
                <w:szCs w:val="13"/>
                <w:color w:val="auto"/>
              </w:rPr>
              <w:t>(in thousands)</w:t>
            </w:r>
          </w:p>
        </w:tc>
        <w:tc>
          <w:tcPr>
            <w:tcW w:w="4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4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183964"/>
              </w:rPr>
              <w:t>2023</w:t>
            </w:r>
          </w:p>
        </w:tc>
        <w:tc>
          <w:tcPr>
            <w:tcW w:w="400" w:type="dxa"/>
            <w:vAlign w:val="bottom"/>
          </w:tcPr>
          <w:p>
            <w:pPr>
              <w:spacing w:after="0"/>
              <w:rPr>
                <w:sz w:val="15"/>
                <w:szCs w:val="15"/>
                <w:color w:val="auto"/>
              </w:rPr>
            </w:pPr>
          </w:p>
        </w:tc>
        <w:tc>
          <w:tcPr>
            <w:tcW w:w="880" w:type="dxa"/>
            <w:vAlign w:val="bottom"/>
          </w:tcPr>
          <w:p>
            <w:pPr>
              <w:ind w:left="420"/>
              <w:spacing w:after="0"/>
              <w:rPr>
                <w:sz w:val="20"/>
                <w:szCs w:val="20"/>
                <w:color w:val="auto"/>
              </w:rPr>
            </w:pPr>
            <w:r>
              <w:rPr>
                <w:rFonts w:ascii="Arial" w:cs="Arial" w:eastAsia="Arial" w:hAnsi="Arial"/>
                <w:sz w:val="13"/>
                <w:szCs w:val="13"/>
                <w:color w:val="183964"/>
                <w:w w:val="96"/>
              </w:rPr>
              <w:t>Change</w:t>
            </w:r>
          </w:p>
        </w:tc>
      </w:tr>
      <w:tr>
        <w:trPr>
          <w:trHeight w:val="22"/>
        </w:trPr>
        <w:tc>
          <w:tcPr>
            <w:tcW w:w="7340" w:type="dxa"/>
            <w:vAlign w:val="bottom"/>
            <w:tcBorders>
              <w:bottom w:val="single" w:sz="8" w:color="183964"/>
            </w:tcBorders>
          </w:tcPr>
          <w:p>
            <w:pPr>
              <w:spacing w:after="0" w:line="20" w:lineRule="exact"/>
              <w:rPr>
                <w:sz w:val="1"/>
                <w:szCs w:val="1"/>
                <w:color w:val="auto"/>
              </w:rPr>
            </w:pPr>
          </w:p>
        </w:tc>
        <w:tc>
          <w:tcPr>
            <w:tcW w:w="400" w:type="dxa"/>
            <w:vAlign w:val="bottom"/>
            <w:tcBorders>
              <w:bottom w:val="single" w:sz="8" w:color="183964"/>
            </w:tcBorders>
          </w:tcPr>
          <w:p>
            <w:pPr>
              <w:spacing w:after="0" w:line="20" w:lineRule="exact"/>
              <w:rPr>
                <w:sz w:val="1"/>
                <w:szCs w:val="1"/>
                <w:color w:val="auto"/>
              </w:rPr>
            </w:pPr>
          </w:p>
        </w:tc>
        <w:tc>
          <w:tcPr>
            <w:tcW w:w="900" w:type="dxa"/>
            <w:vAlign w:val="bottom"/>
            <w:tcBorders>
              <w:bottom w:val="single" w:sz="8" w:color="183964"/>
            </w:tcBorders>
          </w:tcPr>
          <w:p>
            <w:pPr>
              <w:spacing w:after="0" w:line="20" w:lineRule="exact"/>
              <w:rPr>
                <w:sz w:val="1"/>
                <w:szCs w:val="1"/>
                <w:color w:val="auto"/>
              </w:rPr>
            </w:pPr>
          </w:p>
        </w:tc>
        <w:tc>
          <w:tcPr>
            <w:tcW w:w="400" w:type="dxa"/>
            <w:vAlign w:val="bottom"/>
            <w:tcBorders>
              <w:bottom w:val="single" w:sz="8" w:color="183964"/>
            </w:tcBorders>
          </w:tcPr>
          <w:p>
            <w:pPr>
              <w:spacing w:after="0" w:line="20" w:lineRule="exact"/>
              <w:rPr>
                <w:sz w:val="1"/>
                <w:szCs w:val="1"/>
                <w:color w:val="auto"/>
              </w:rPr>
            </w:pPr>
          </w:p>
        </w:tc>
        <w:tc>
          <w:tcPr>
            <w:tcW w:w="900" w:type="dxa"/>
            <w:vAlign w:val="bottom"/>
            <w:tcBorders>
              <w:bottom w:val="single" w:sz="8" w:color="183964"/>
            </w:tcBorders>
          </w:tcPr>
          <w:p>
            <w:pPr>
              <w:spacing w:after="0" w:line="20" w:lineRule="exact"/>
              <w:rPr>
                <w:sz w:val="1"/>
                <w:szCs w:val="1"/>
                <w:color w:val="auto"/>
              </w:rPr>
            </w:pPr>
          </w:p>
        </w:tc>
        <w:tc>
          <w:tcPr>
            <w:tcW w:w="400" w:type="dxa"/>
            <w:vAlign w:val="bottom"/>
            <w:tcBorders>
              <w:bottom w:val="single" w:sz="8" w:color="183964"/>
            </w:tcBorders>
          </w:tcPr>
          <w:p>
            <w:pPr>
              <w:spacing w:after="0" w:line="20" w:lineRule="exact"/>
              <w:rPr>
                <w:sz w:val="1"/>
                <w:szCs w:val="1"/>
                <w:color w:val="auto"/>
              </w:rPr>
            </w:pPr>
          </w:p>
        </w:tc>
        <w:tc>
          <w:tcPr>
            <w:tcW w:w="880" w:type="dxa"/>
            <w:vAlign w:val="bottom"/>
            <w:tcBorders>
              <w:bottom w:val="single" w:sz="8" w:color="183964"/>
            </w:tcBorders>
          </w:tcPr>
          <w:p>
            <w:pPr>
              <w:spacing w:after="0" w:line="20" w:lineRule="exact"/>
              <w:rPr>
                <w:sz w:val="1"/>
                <w:szCs w:val="1"/>
                <w:color w:val="auto"/>
              </w:rPr>
            </w:pPr>
          </w:p>
        </w:tc>
      </w:tr>
      <w:tr>
        <w:trPr>
          <w:trHeight w:val="204"/>
        </w:trPr>
        <w:tc>
          <w:tcPr>
            <w:tcW w:w="7340" w:type="dxa"/>
            <w:vAlign w:val="bottom"/>
          </w:tcPr>
          <w:p>
            <w:pPr>
              <w:ind w:left="20"/>
              <w:spacing w:after="0"/>
              <w:rPr>
                <w:sz w:val="20"/>
                <w:szCs w:val="20"/>
                <w:color w:val="auto"/>
              </w:rPr>
            </w:pPr>
            <w:r>
              <w:rPr>
                <w:rFonts w:ascii="Arial" w:cs="Arial" w:eastAsia="Arial" w:hAnsi="Arial"/>
                <w:sz w:val="15"/>
                <w:szCs w:val="15"/>
                <w:color w:val="auto"/>
              </w:rPr>
              <w:t>Research and Development Expenses:</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1"/>
        </w:trPr>
        <w:tc>
          <w:tcPr>
            <w:tcW w:w="7340" w:type="dxa"/>
            <w:vAlign w:val="bottom"/>
          </w:tcPr>
          <w:p>
            <w:pPr>
              <w:ind w:left="120"/>
              <w:spacing w:after="0"/>
              <w:rPr>
                <w:sz w:val="20"/>
                <w:szCs w:val="20"/>
                <w:color w:val="auto"/>
              </w:rPr>
            </w:pPr>
            <w:r>
              <w:rPr>
                <w:rFonts w:ascii="Arial" w:cs="Arial" w:eastAsia="Arial" w:hAnsi="Arial"/>
                <w:sz w:val="15"/>
                <w:szCs w:val="15"/>
                <w:color w:val="auto"/>
              </w:rPr>
              <w:t>Wholly-Owned Programs</w:t>
            </w:r>
          </w:p>
        </w:tc>
        <w:tc>
          <w:tcPr>
            <w:tcW w:w="400" w:type="dxa"/>
            <w:vAlign w:val="bottom"/>
          </w:tcPr>
          <w:p>
            <w:pPr>
              <w:jc w:val="right"/>
              <w:ind w:right="224"/>
              <w:spacing w:after="0"/>
              <w:rPr>
                <w:sz w:val="20"/>
                <w:szCs w:val="20"/>
                <w:color w:val="auto"/>
              </w:rPr>
            </w:pPr>
            <w:r>
              <w:rPr>
                <w:rFonts w:ascii="Arial" w:cs="Arial" w:eastAsia="Arial" w:hAnsi="Arial"/>
                <w:sz w:val="15"/>
                <w:szCs w:val="15"/>
                <w:b w:val="1"/>
                <w:bCs w:val="1"/>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(32,981)</w:t>
            </w:r>
          </w:p>
        </w:tc>
        <w:tc>
          <w:tcPr>
            <w:tcW w:w="400" w:type="dxa"/>
            <w:vAlign w:val="bottom"/>
          </w:tcPr>
          <w:p>
            <w:pPr>
              <w:jc w:val="right"/>
              <w:ind w:right="224"/>
              <w:spacing w:after="0"/>
              <w:rPr>
                <w:sz w:val="20"/>
                <w:szCs w:val="20"/>
                <w:color w:val="auto"/>
              </w:rPr>
            </w:pPr>
            <w:r>
              <w:rPr>
                <w:rFonts w:ascii="Arial" w:cs="Arial" w:eastAsia="Arial" w:hAnsi="Arial"/>
                <w:sz w:val="15"/>
                <w:szCs w:val="15"/>
                <w:color w:val="183964"/>
                <w:w w:val="95"/>
              </w:rPr>
              <w:t>$</w:t>
            </w:r>
          </w:p>
        </w:tc>
        <w:tc>
          <w:tcPr>
            <w:tcW w:w="900" w:type="dxa"/>
            <w:vAlign w:val="bottom"/>
          </w:tcPr>
          <w:p>
            <w:pPr>
              <w:jc w:val="right"/>
              <w:spacing w:after="0"/>
              <w:rPr>
                <w:sz w:val="20"/>
                <w:szCs w:val="20"/>
                <w:color w:val="auto"/>
              </w:rPr>
            </w:pPr>
            <w:r>
              <w:rPr>
                <w:rFonts w:ascii="Arial" w:cs="Arial" w:eastAsia="Arial" w:hAnsi="Arial"/>
                <w:sz w:val="15"/>
                <w:szCs w:val="15"/>
                <w:color w:val="183964"/>
              </w:rPr>
              <w:t>(45,139)</w:t>
            </w:r>
          </w:p>
        </w:tc>
        <w:tc>
          <w:tcPr>
            <w:tcW w:w="400" w:type="dxa"/>
            <w:vAlign w:val="bottom"/>
          </w:tcPr>
          <w:p>
            <w:pPr>
              <w:jc w:val="right"/>
              <w:ind w:right="224"/>
              <w:spacing w:after="0"/>
              <w:rPr>
                <w:sz w:val="20"/>
                <w:szCs w:val="20"/>
                <w:color w:val="auto"/>
              </w:rPr>
            </w:pPr>
            <w:r>
              <w:rPr>
                <w:rFonts w:ascii="Arial" w:cs="Arial" w:eastAsia="Arial" w:hAnsi="Arial"/>
                <w:sz w:val="15"/>
                <w:szCs w:val="15"/>
                <w:color w:val="183964"/>
                <w:w w:val="95"/>
              </w:rPr>
              <w:t>$</w:t>
            </w:r>
          </w:p>
        </w:tc>
        <w:tc>
          <w:tcPr>
            <w:tcW w:w="880" w:type="dxa"/>
            <w:vAlign w:val="bottom"/>
          </w:tcPr>
          <w:p>
            <w:pPr>
              <w:jc w:val="right"/>
              <w:spacing w:after="0"/>
              <w:rPr>
                <w:sz w:val="20"/>
                <w:szCs w:val="20"/>
                <w:color w:val="auto"/>
              </w:rPr>
            </w:pPr>
            <w:r>
              <w:rPr>
                <w:rFonts w:ascii="Arial" w:cs="Arial" w:eastAsia="Arial" w:hAnsi="Arial"/>
                <w:sz w:val="15"/>
                <w:szCs w:val="15"/>
                <w:color w:val="183964"/>
              </w:rPr>
              <w:t>(12,158)</w:t>
            </w:r>
          </w:p>
        </w:tc>
      </w:tr>
      <w:tr>
        <w:trPr>
          <w:trHeight w:val="243"/>
        </w:trPr>
        <w:tc>
          <w:tcPr>
            <w:tcW w:w="7340" w:type="dxa"/>
            <w:vAlign w:val="bottom"/>
          </w:tcPr>
          <w:p>
            <w:pPr>
              <w:ind w:left="120"/>
              <w:spacing w:after="0"/>
              <w:rPr>
                <w:sz w:val="20"/>
                <w:szCs w:val="20"/>
                <w:color w:val="auto"/>
              </w:rPr>
            </w:pPr>
            <w:r>
              <w:rPr>
                <w:rFonts w:ascii="Arial" w:cs="Arial" w:eastAsia="Arial" w:hAnsi="Arial"/>
                <w:sz w:val="15"/>
                <w:szCs w:val="15"/>
                <w:color w:val="auto"/>
              </w:rPr>
              <w:t>Controlled Founded Entities</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(5,710)</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183964"/>
              </w:rPr>
              <w:t>(368)</w:t>
            </w:r>
          </w:p>
        </w:tc>
        <w:tc>
          <w:tcPr>
            <w:tcW w:w="400" w:type="dxa"/>
            <w:vAlign w:val="bottom"/>
          </w:tcPr>
          <w:p>
            <w:pPr>
              <w:spacing w:after="0"/>
              <w:rPr>
                <w:sz w:val="21"/>
                <w:szCs w:val="21"/>
                <w:color w:val="auto"/>
              </w:rPr>
            </w:pPr>
          </w:p>
        </w:tc>
        <w:tc>
          <w:tcPr>
            <w:tcW w:w="880" w:type="dxa"/>
            <w:vAlign w:val="bottom"/>
          </w:tcPr>
          <w:p>
            <w:pPr>
              <w:ind w:left="440"/>
              <w:spacing w:after="0"/>
              <w:rPr>
                <w:sz w:val="20"/>
                <w:szCs w:val="20"/>
                <w:color w:val="auto"/>
              </w:rPr>
            </w:pPr>
            <w:r>
              <w:rPr>
                <w:rFonts w:ascii="Arial" w:cs="Arial" w:eastAsia="Arial" w:hAnsi="Arial"/>
                <w:sz w:val="15"/>
                <w:szCs w:val="15"/>
                <w:color w:val="183964"/>
              </w:rPr>
              <w:t>5,342</w:t>
            </w:r>
          </w:p>
        </w:tc>
      </w:tr>
      <w:tr>
        <w:trPr>
          <w:trHeight w:val="243"/>
        </w:trPr>
        <w:tc>
          <w:tcPr>
            <w:tcW w:w="7340" w:type="dxa"/>
            <w:vAlign w:val="bottom"/>
          </w:tcPr>
          <w:p>
            <w:pPr>
              <w:ind w:left="120"/>
              <w:spacing w:after="0"/>
              <w:rPr>
                <w:sz w:val="20"/>
                <w:szCs w:val="20"/>
                <w:color w:val="auto"/>
              </w:rPr>
            </w:pPr>
            <w:r>
              <w:rPr>
                <w:rFonts w:ascii="Arial" w:cs="Arial" w:eastAsia="Arial" w:hAnsi="Arial"/>
                <w:sz w:val="15"/>
                <w:szCs w:val="15"/>
                <w:color w:val="auto"/>
              </w:rPr>
              <w:t>Parent Company and Other</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(237)</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183964"/>
              </w:rPr>
              <w:t>(7,640)</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183964"/>
              </w:rPr>
              <w:t>(7,403)</w:t>
            </w:r>
          </w:p>
        </w:tc>
      </w:tr>
      <w:tr>
        <w:trPr>
          <w:trHeight w:val="25"/>
        </w:trPr>
        <w:tc>
          <w:tcPr>
            <w:tcW w:w="7340" w:type="dxa"/>
            <w:vAlign w:val="bottom"/>
            <w:tcBorders>
              <w:bottom w:val="single" w:sz="8" w:color="183964"/>
            </w:tcBorders>
          </w:tcPr>
          <w:p>
            <w:pPr>
              <w:spacing w:after="0"/>
              <w:rPr>
                <w:sz w:val="2"/>
                <w:szCs w:val="2"/>
                <w:color w:val="auto"/>
              </w:rPr>
            </w:pPr>
          </w:p>
        </w:tc>
        <w:tc>
          <w:tcPr>
            <w:tcW w:w="400" w:type="dxa"/>
            <w:vAlign w:val="bottom"/>
            <w:tcBorders>
              <w:bottom w:val="single" w:sz="8" w:color="183964"/>
            </w:tcBorders>
          </w:tcPr>
          <w:p>
            <w:pPr>
              <w:spacing w:after="0"/>
              <w:rPr>
                <w:sz w:val="2"/>
                <w:szCs w:val="2"/>
                <w:color w:val="auto"/>
              </w:rPr>
            </w:pPr>
          </w:p>
        </w:tc>
        <w:tc>
          <w:tcPr>
            <w:tcW w:w="900" w:type="dxa"/>
            <w:vAlign w:val="bottom"/>
            <w:tcBorders>
              <w:bottom w:val="single" w:sz="8" w:color="183964"/>
            </w:tcBorders>
          </w:tcPr>
          <w:p>
            <w:pPr>
              <w:spacing w:after="0"/>
              <w:rPr>
                <w:sz w:val="2"/>
                <w:szCs w:val="2"/>
                <w:color w:val="auto"/>
              </w:rPr>
            </w:pPr>
          </w:p>
        </w:tc>
        <w:tc>
          <w:tcPr>
            <w:tcW w:w="400" w:type="dxa"/>
            <w:vAlign w:val="bottom"/>
            <w:tcBorders>
              <w:bottom w:val="single" w:sz="8" w:color="183964"/>
            </w:tcBorders>
          </w:tcPr>
          <w:p>
            <w:pPr>
              <w:spacing w:after="0"/>
              <w:rPr>
                <w:sz w:val="2"/>
                <w:szCs w:val="2"/>
                <w:color w:val="auto"/>
              </w:rPr>
            </w:pPr>
          </w:p>
        </w:tc>
        <w:tc>
          <w:tcPr>
            <w:tcW w:w="900" w:type="dxa"/>
            <w:vAlign w:val="bottom"/>
            <w:tcBorders>
              <w:bottom w:val="single" w:sz="8" w:color="183964"/>
            </w:tcBorders>
          </w:tcPr>
          <w:p>
            <w:pPr>
              <w:spacing w:after="0"/>
              <w:rPr>
                <w:sz w:val="2"/>
                <w:szCs w:val="2"/>
                <w:color w:val="auto"/>
              </w:rPr>
            </w:pPr>
          </w:p>
        </w:tc>
        <w:tc>
          <w:tcPr>
            <w:tcW w:w="400" w:type="dxa"/>
            <w:vAlign w:val="bottom"/>
            <w:tcBorders>
              <w:bottom w:val="single" w:sz="8" w:color="183964"/>
            </w:tcBorders>
          </w:tcPr>
          <w:p>
            <w:pPr>
              <w:spacing w:after="0"/>
              <w:rPr>
                <w:sz w:val="2"/>
                <w:szCs w:val="2"/>
                <w:color w:val="auto"/>
              </w:rPr>
            </w:pPr>
          </w:p>
        </w:tc>
        <w:tc>
          <w:tcPr>
            <w:tcW w:w="880" w:type="dxa"/>
            <w:vAlign w:val="bottom"/>
            <w:tcBorders>
              <w:bottom w:val="single" w:sz="8" w:color="183964"/>
            </w:tcBorders>
          </w:tcPr>
          <w:p>
            <w:pPr>
              <w:spacing w:after="0"/>
              <w:rPr>
                <w:sz w:val="2"/>
                <w:szCs w:val="2"/>
                <w:color w:val="auto"/>
              </w:rPr>
            </w:pPr>
          </w:p>
        </w:tc>
      </w:tr>
      <w:tr>
        <w:trPr>
          <w:trHeight w:val="212"/>
        </w:trPr>
        <w:tc>
          <w:tcPr>
            <w:tcW w:w="7340" w:type="dxa"/>
            <w:vAlign w:val="bottom"/>
          </w:tcPr>
          <w:p>
            <w:pPr>
              <w:ind w:left="20"/>
              <w:spacing w:after="0"/>
              <w:rPr>
                <w:sz w:val="20"/>
                <w:szCs w:val="20"/>
                <w:color w:val="auto"/>
              </w:rPr>
            </w:pPr>
            <w:r>
              <w:rPr>
                <w:rFonts w:ascii="Arial" w:cs="Arial" w:eastAsia="Arial" w:hAnsi="Arial"/>
                <w:sz w:val="15"/>
                <w:szCs w:val="15"/>
                <w:b w:val="1"/>
                <w:bCs w:val="1"/>
                <w:color w:val="auto"/>
              </w:rPr>
              <w:t>Total Research and Development Expenses:</w:t>
            </w:r>
          </w:p>
        </w:tc>
        <w:tc>
          <w:tcPr>
            <w:tcW w:w="400" w:type="dxa"/>
            <w:vAlign w:val="bottom"/>
          </w:tcPr>
          <w:p>
            <w:pPr>
              <w:jc w:val="right"/>
              <w:ind w:right="224"/>
              <w:spacing w:after="0"/>
              <w:rPr>
                <w:sz w:val="20"/>
                <w:szCs w:val="20"/>
                <w:color w:val="auto"/>
              </w:rPr>
            </w:pPr>
            <w:r>
              <w:rPr>
                <w:rFonts w:ascii="Arial" w:cs="Arial" w:eastAsia="Arial" w:hAnsi="Arial"/>
                <w:sz w:val="15"/>
                <w:szCs w:val="15"/>
                <w:b w:val="1"/>
                <w:bCs w:val="1"/>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(38,928)</w:t>
            </w:r>
          </w:p>
        </w:tc>
        <w:tc>
          <w:tcPr>
            <w:tcW w:w="400" w:type="dxa"/>
            <w:vAlign w:val="bottom"/>
          </w:tcPr>
          <w:p>
            <w:pPr>
              <w:jc w:val="right"/>
              <w:ind w:right="224"/>
              <w:spacing w:after="0"/>
              <w:rPr>
                <w:sz w:val="20"/>
                <w:szCs w:val="20"/>
                <w:color w:val="auto"/>
              </w:rPr>
            </w:pPr>
            <w:r>
              <w:rPr>
                <w:rFonts w:ascii="Arial" w:cs="Arial" w:eastAsia="Arial" w:hAnsi="Arial"/>
                <w:sz w:val="15"/>
                <w:szCs w:val="15"/>
                <w:color w:val="183964"/>
                <w:w w:val="95"/>
              </w:rPr>
              <w:t>$</w:t>
            </w:r>
          </w:p>
        </w:tc>
        <w:tc>
          <w:tcPr>
            <w:tcW w:w="900" w:type="dxa"/>
            <w:vAlign w:val="bottom"/>
          </w:tcPr>
          <w:p>
            <w:pPr>
              <w:jc w:val="right"/>
              <w:spacing w:after="0"/>
              <w:rPr>
                <w:sz w:val="20"/>
                <w:szCs w:val="20"/>
                <w:color w:val="auto"/>
              </w:rPr>
            </w:pPr>
            <w:r>
              <w:rPr>
                <w:rFonts w:ascii="Arial" w:cs="Arial" w:eastAsia="Arial" w:hAnsi="Arial"/>
                <w:sz w:val="15"/>
                <w:szCs w:val="15"/>
                <w:color w:val="183964"/>
              </w:rPr>
              <w:t>(53,146)</w:t>
            </w:r>
          </w:p>
        </w:tc>
        <w:tc>
          <w:tcPr>
            <w:tcW w:w="400" w:type="dxa"/>
            <w:vAlign w:val="bottom"/>
          </w:tcPr>
          <w:p>
            <w:pPr>
              <w:jc w:val="right"/>
              <w:ind w:right="224"/>
              <w:spacing w:after="0"/>
              <w:rPr>
                <w:sz w:val="20"/>
                <w:szCs w:val="20"/>
                <w:color w:val="auto"/>
              </w:rPr>
            </w:pPr>
            <w:r>
              <w:rPr>
                <w:rFonts w:ascii="Arial" w:cs="Arial" w:eastAsia="Arial" w:hAnsi="Arial"/>
                <w:sz w:val="15"/>
                <w:szCs w:val="15"/>
                <w:color w:val="183964"/>
                <w:w w:val="95"/>
              </w:rPr>
              <w:t>$</w:t>
            </w:r>
          </w:p>
        </w:tc>
        <w:tc>
          <w:tcPr>
            <w:tcW w:w="880" w:type="dxa"/>
            <w:vAlign w:val="bottom"/>
          </w:tcPr>
          <w:p>
            <w:pPr>
              <w:jc w:val="right"/>
              <w:spacing w:after="0"/>
              <w:rPr>
                <w:sz w:val="20"/>
                <w:szCs w:val="20"/>
                <w:color w:val="auto"/>
              </w:rPr>
            </w:pPr>
            <w:r>
              <w:rPr>
                <w:rFonts w:ascii="Arial" w:cs="Arial" w:eastAsia="Arial" w:hAnsi="Arial"/>
                <w:sz w:val="15"/>
                <w:szCs w:val="15"/>
                <w:color w:val="183964"/>
              </w:rPr>
              <w:t>(14,218)</w:t>
            </w:r>
          </w:p>
        </w:tc>
      </w:tr>
      <w:tr>
        <w:trPr>
          <w:trHeight w:val="25"/>
        </w:trPr>
        <w:tc>
          <w:tcPr>
            <w:tcW w:w="7340" w:type="dxa"/>
            <w:vAlign w:val="bottom"/>
            <w:tcBorders>
              <w:bottom w:val="single" w:sz="8" w:color="183964"/>
            </w:tcBorders>
          </w:tcPr>
          <w:p>
            <w:pPr>
              <w:spacing w:after="0"/>
              <w:rPr>
                <w:sz w:val="2"/>
                <w:szCs w:val="2"/>
                <w:color w:val="auto"/>
              </w:rPr>
            </w:pPr>
          </w:p>
        </w:tc>
        <w:tc>
          <w:tcPr>
            <w:tcW w:w="400" w:type="dxa"/>
            <w:vAlign w:val="bottom"/>
            <w:tcBorders>
              <w:bottom w:val="single" w:sz="8" w:color="183964"/>
            </w:tcBorders>
          </w:tcPr>
          <w:p>
            <w:pPr>
              <w:spacing w:after="0"/>
              <w:rPr>
                <w:sz w:val="2"/>
                <w:szCs w:val="2"/>
                <w:color w:val="auto"/>
              </w:rPr>
            </w:pPr>
          </w:p>
        </w:tc>
        <w:tc>
          <w:tcPr>
            <w:tcW w:w="900" w:type="dxa"/>
            <w:vAlign w:val="bottom"/>
            <w:tcBorders>
              <w:bottom w:val="single" w:sz="8" w:color="183964"/>
            </w:tcBorders>
          </w:tcPr>
          <w:p>
            <w:pPr>
              <w:spacing w:after="0"/>
              <w:rPr>
                <w:sz w:val="2"/>
                <w:szCs w:val="2"/>
                <w:color w:val="auto"/>
              </w:rPr>
            </w:pPr>
          </w:p>
        </w:tc>
        <w:tc>
          <w:tcPr>
            <w:tcW w:w="400" w:type="dxa"/>
            <w:vAlign w:val="bottom"/>
            <w:tcBorders>
              <w:bottom w:val="single" w:sz="8" w:color="183964"/>
            </w:tcBorders>
          </w:tcPr>
          <w:p>
            <w:pPr>
              <w:spacing w:after="0"/>
              <w:rPr>
                <w:sz w:val="2"/>
                <w:szCs w:val="2"/>
                <w:color w:val="auto"/>
              </w:rPr>
            </w:pPr>
          </w:p>
        </w:tc>
        <w:tc>
          <w:tcPr>
            <w:tcW w:w="900" w:type="dxa"/>
            <w:vAlign w:val="bottom"/>
            <w:tcBorders>
              <w:bottom w:val="single" w:sz="8" w:color="183964"/>
            </w:tcBorders>
          </w:tcPr>
          <w:p>
            <w:pPr>
              <w:spacing w:after="0"/>
              <w:rPr>
                <w:sz w:val="2"/>
                <w:szCs w:val="2"/>
                <w:color w:val="auto"/>
              </w:rPr>
            </w:pPr>
          </w:p>
        </w:tc>
        <w:tc>
          <w:tcPr>
            <w:tcW w:w="400" w:type="dxa"/>
            <w:vAlign w:val="bottom"/>
            <w:tcBorders>
              <w:bottom w:val="single" w:sz="8" w:color="183964"/>
            </w:tcBorders>
          </w:tcPr>
          <w:p>
            <w:pPr>
              <w:spacing w:after="0"/>
              <w:rPr>
                <w:sz w:val="2"/>
                <w:szCs w:val="2"/>
                <w:color w:val="auto"/>
              </w:rPr>
            </w:pPr>
          </w:p>
        </w:tc>
        <w:tc>
          <w:tcPr>
            <w:tcW w:w="880" w:type="dxa"/>
            <w:vAlign w:val="bottom"/>
            <w:tcBorders>
              <w:bottom w:val="single" w:sz="8" w:color="183964"/>
            </w:tcBorders>
          </w:tcPr>
          <w:p>
            <w:pPr>
              <w:spacing w:after="0"/>
              <w:rPr>
                <w:sz w:val="2"/>
                <w:szCs w:val="2"/>
                <w:color w:val="auto"/>
              </w:rPr>
            </w:pPr>
          </w:p>
        </w:tc>
      </w:tr>
    </w:tbl>
    <w:p>
      <w:pPr>
        <w:spacing w:after="0" w:line="158" w:lineRule="exact"/>
        <w:rPr>
          <w:sz w:val="20"/>
          <w:szCs w:val="20"/>
          <w:color w:val="auto"/>
        </w:rPr>
      </w:pPr>
    </w:p>
    <w:p>
      <w:pPr>
        <w:ind w:right="100"/>
        <w:spacing w:after="0" w:line="263" w:lineRule="auto"/>
        <w:rPr>
          <w:sz w:val="20"/>
          <w:szCs w:val="20"/>
          <w:color w:val="auto"/>
        </w:rPr>
      </w:pPr>
      <w:r>
        <w:rPr>
          <w:rFonts w:ascii="Arial" w:cs="Arial" w:eastAsia="Arial" w:hAnsi="Arial"/>
          <w:sz w:val="15"/>
          <w:szCs w:val="15"/>
          <w:color w:val="auto"/>
        </w:rPr>
        <w:t>Our research and development expenses were $38.9 million for the six months ended June 30, 2024, a decrease of $14.2 million, or 27 percent compared to the six months ended June 30, 2023. The decrease in research and development expenses was driven by 1) our reduced spending on clinical and CMC activities related to our wholly-owned programs due to the prioritization of research and development projects, whereby the Group elected to focus on programs where it believes it has the highest probability of success and reduced efforts in research and clinical stage projects where such probability of success is lower, 2) the decrease in employee related costs from lower headcount; and 3) the deconsolidation of Vedanta in March 2023 which resulted in us no longer including Vedanta’s research and development expenses in our Condensed Consolidated Financial Statements.</w:t>
      </w:r>
    </w:p>
    <w:p>
      <w:pPr>
        <w:spacing w:after="0" w:line="67" w:lineRule="exact"/>
        <w:rPr>
          <w:sz w:val="20"/>
          <w:szCs w:val="20"/>
          <w:color w:val="auto"/>
        </w:rPr>
      </w:pPr>
    </w:p>
    <w:p>
      <w:pPr>
        <w:ind w:right="60"/>
        <w:spacing w:after="0" w:line="263" w:lineRule="auto"/>
        <w:rPr>
          <w:sz w:val="20"/>
          <w:szCs w:val="20"/>
          <w:color w:val="auto"/>
        </w:rPr>
      </w:pPr>
      <w:r>
        <w:rPr>
          <w:rFonts w:ascii="Arial" w:cs="Arial" w:eastAsia="Arial" w:hAnsi="Arial"/>
          <w:sz w:val="15"/>
          <w:szCs w:val="15"/>
          <w:color w:val="auto"/>
        </w:rPr>
        <w:t>Wholly-Owned Programs: a decrease of $12.2 million in research and development expenses. $9.2 million of the decrease was due to 1) transfer of GLYPH platform, the related clinical programs and employees to Seaport, the expense of which is included in Controlled Founded Entities; 2) the prioritization of research and development projects as discussed above; and 3) the decrease in employee related costs from lower headcount. The remaining decrease was due to a $1.0 million decrease in asset impairment costs, a $0.6 million decrease in depreciation expense and a $1.4 million decrease in legal and consulting services in the six months ended June 30, 2024.</w:t>
      </w:r>
    </w:p>
    <w:p>
      <w:pPr>
        <w:spacing w:after="0" w:line="54" w:lineRule="exact"/>
        <w:rPr>
          <w:sz w:val="20"/>
          <w:szCs w:val="20"/>
          <w:color w:val="auto"/>
        </w:rPr>
      </w:pPr>
    </w:p>
    <w:p>
      <w:pPr>
        <w:ind w:right="240"/>
        <w:spacing w:after="0" w:line="301" w:lineRule="auto"/>
        <w:rPr>
          <w:sz w:val="20"/>
          <w:szCs w:val="20"/>
          <w:color w:val="auto"/>
        </w:rPr>
      </w:pPr>
      <w:r>
        <w:rPr>
          <w:rFonts w:ascii="Arial" w:cs="Arial" w:eastAsia="Arial" w:hAnsi="Arial"/>
          <w:sz w:val="15"/>
          <w:szCs w:val="15"/>
          <w:color w:val="auto"/>
        </w:rPr>
        <w:t>Controlled Founded Entities: an increase of $5.3 million in research and development expense due to the transfer of GLYPH platform, the related clinical programs and employees to Seaport.</w:t>
      </w:r>
    </w:p>
    <w:p>
      <w:pPr>
        <w:spacing w:after="0" w:line="26" w:lineRule="exact"/>
        <w:rPr>
          <w:sz w:val="20"/>
          <w:szCs w:val="20"/>
          <w:color w:val="auto"/>
        </w:rPr>
      </w:pPr>
    </w:p>
    <w:p>
      <w:pPr>
        <w:ind w:right="340"/>
        <w:spacing w:after="0" w:line="301" w:lineRule="auto"/>
        <w:rPr>
          <w:sz w:val="20"/>
          <w:szCs w:val="20"/>
          <w:color w:val="auto"/>
        </w:rPr>
      </w:pPr>
      <w:r>
        <w:rPr>
          <w:rFonts w:ascii="Arial" w:cs="Arial" w:eastAsia="Arial" w:hAnsi="Arial"/>
          <w:sz w:val="15"/>
          <w:szCs w:val="15"/>
          <w:color w:val="auto"/>
        </w:rPr>
        <w:t>Parent Company and Other: a decrease of $7.4 million due to the deconsolidation of Vedanta in March 2023, and the winding down of the Alivio program and the entity became dormant as of June 30, 2024.</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183964"/>
        </w:rPr>
        <w:t>General and Administrative Expenses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40" w:type="dxa"/>
            <w:vAlign w:val="bottom"/>
            <w:gridSpan w:val="4"/>
          </w:tcPr>
          <w:p>
            <w:pPr>
              <w:jc w:val="right"/>
              <w:ind w:right="244"/>
              <w:spacing w:after="0"/>
              <w:rPr>
                <w:sz w:val="20"/>
                <w:szCs w:val="20"/>
                <w:color w:val="auto"/>
              </w:rPr>
            </w:pPr>
            <w:r>
              <w:rPr>
                <w:rFonts w:ascii="Arial" w:cs="Arial" w:eastAsia="Arial" w:hAnsi="Arial"/>
                <w:sz w:val="13"/>
                <w:szCs w:val="13"/>
                <w:color w:val="183964"/>
              </w:rPr>
              <w:t>Six Months Ended June 30,</w:t>
            </w:r>
          </w:p>
        </w:tc>
        <w:tc>
          <w:tcPr>
            <w:tcW w:w="840" w:type="dxa"/>
            <w:vAlign w:val="bottom"/>
          </w:tcPr>
          <w:p>
            <w:pPr>
              <w:spacing w:after="0"/>
              <w:rPr>
                <w:sz w:val="14"/>
                <w:szCs w:val="14"/>
                <w:color w:val="auto"/>
              </w:rPr>
            </w:pPr>
          </w:p>
        </w:tc>
      </w:tr>
      <w:tr>
        <w:trPr>
          <w:trHeight w:val="28"/>
        </w:trPr>
        <w:tc>
          <w:tcPr>
            <w:tcW w:w="7340" w:type="dxa"/>
            <w:vAlign w:val="bottom"/>
          </w:tcPr>
          <w:p>
            <w:pPr>
              <w:spacing w:after="0"/>
              <w:rPr>
                <w:sz w:val="2"/>
                <w:szCs w:val="2"/>
                <w:color w:val="auto"/>
              </w:rPr>
            </w:pPr>
          </w:p>
        </w:tc>
        <w:tc>
          <w:tcPr>
            <w:tcW w:w="400" w:type="dxa"/>
            <w:vAlign w:val="bottom"/>
            <w:tcBorders>
              <w:bottom w:val="single" w:sz="8" w:color="183964"/>
            </w:tcBorders>
          </w:tcPr>
          <w:p>
            <w:pPr>
              <w:spacing w:after="0"/>
              <w:rPr>
                <w:sz w:val="2"/>
                <w:szCs w:val="2"/>
                <w:color w:val="auto"/>
              </w:rPr>
            </w:pPr>
          </w:p>
        </w:tc>
        <w:tc>
          <w:tcPr>
            <w:tcW w:w="900" w:type="dxa"/>
            <w:vAlign w:val="bottom"/>
            <w:tcBorders>
              <w:bottom w:val="single" w:sz="8" w:color="183964"/>
            </w:tcBorders>
          </w:tcPr>
          <w:p>
            <w:pPr>
              <w:spacing w:after="0"/>
              <w:rPr>
                <w:sz w:val="2"/>
                <w:szCs w:val="2"/>
                <w:color w:val="auto"/>
              </w:rPr>
            </w:pPr>
          </w:p>
        </w:tc>
        <w:tc>
          <w:tcPr>
            <w:tcW w:w="400" w:type="dxa"/>
            <w:vAlign w:val="bottom"/>
            <w:tcBorders>
              <w:bottom w:val="single" w:sz="8" w:color="183964"/>
            </w:tcBorders>
          </w:tcPr>
          <w:p>
            <w:pPr>
              <w:spacing w:after="0"/>
              <w:rPr>
                <w:sz w:val="2"/>
                <w:szCs w:val="2"/>
                <w:color w:val="auto"/>
              </w:rPr>
            </w:pPr>
          </w:p>
        </w:tc>
        <w:tc>
          <w:tcPr>
            <w:tcW w:w="900" w:type="dxa"/>
            <w:vAlign w:val="bottom"/>
            <w:tcBorders>
              <w:bottom w:val="single" w:sz="8" w:color="183964"/>
            </w:tcBorders>
          </w:tcPr>
          <w:p>
            <w:pPr>
              <w:spacing w:after="0"/>
              <w:rPr>
                <w:sz w:val="2"/>
                <w:szCs w:val="2"/>
                <w:color w:val="auto"/>
              </w:rPr>
            </w:pPr>
          </w:p>
        </w:tc>
        <w:tc>
          <w:tcPr>
            <w:tcW w:w="440" w:type="dxa"/>
            <w:vAlign w:val="bottom"/>
            <w:tcBorders>
              <w:bottom w:val="single" w:sz="8" w:color="183964"/>
            </w:tcBorders>
          </w:tcPr>
          <w:p>
            <w:pPr>
              <w:spacing w:after="0"/>
              <w:rPr>
                <w:sz w:val="2"/>
                <w:szCs w:val="2"/>
                <w:color w:val="auto"/>
              </w:rPr>
            </w:pPr>
          </w:p>
        </w:tc>
        <w:tc>
          <w:tcPr>
            <w:tcW w:w="840" w:type="dxa"/>
            <w:vAlign w:val="bottom"/>
            <w:tcBorders>
              <w:bottom w:val="single" w:sz="8" w:color="183964"/>
            </w:tcBorders>
          </w:tcPr>
          <w:p>
            <w:pPr>
              <w:spacing w:after="0"/>
              <w:rPr>
                <w:sz w:val="2"/>
                <w:szCs w:val="2"/>
                <w:color w:val="auto"/>
              </w:rPr>
            </w:pPr>
          </w:p>
        </w:tc>
      </w:tr>
      <w:tr>
        <w:trPr>
          <w:trHeight w:val="175"/>
        </w:trPr>
        <w:tc>
          <w:tcPr>
            <w:tcW w:w="7340" w:type="dxa"/>
            <w:vAlign w:val="bottom"/>
          </w:tcPr>
          <w:p>
            <w:pPr>
              <w:ind w:left="20"/>
              <w:spacing w:after="0"/>
              <w:rPr>
                <w:sz w:val="20"/>
                <w:szCs w:val="20"/>
                <w:color w:val="auto"/>
              </w:rPr>
            </w:pPr>
            <w:r>
              <w:rPr>
                <w:rFonts w:ascii="Arial" w:cs="Arial" w:eastAsia="Arial" w:hAnsi="Arial"/>
                <w:sz w:val="13"/>
                <w:szCs w:val="13"/>
                <w:color w:val="auto"/>
              </w:rPr>
              <w:t>(in thousands)</w:t>
            </w:r>
          </w:p>
        </w:tc>
        <w:tc>
          <w:tcPr>
            <w:tcW w:w="4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4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183964"/>
              </w:rPr>
              <w:t>2023</w:t>
            </w:r>
          </w:p>
        </w:tc>
        <w:tc>
          <w:tcPr>
            <w:tcW w:w="4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83964"/>
              </w:rPr>
              <w:t>Change</w:t>
            </w:r>
          </w:p>
        </w:tc>
      </w:tr>
      <w:tr>
        <w:trPr>
          <w:trHeight w:val="22"/>
        </w:trPr>
        <w:tc>
          <w:tcPr>
            <w:tcW w:w="7340" w:type="dxa"/>
            <w:vAlign w:val="bottom"/>
            <w:tcBorders>
              <w:bottom w:val="single" w:sz="8" w:color="183964"/>
            </w:tcBorders>
          </w:tcPr>
          <w:p>
            <w:pPr>
              <w:spacing w:after="0" w:line="20" w:lineRule="exact"/>
              <w:rPr>
                <w:sz w:val="1"/>
                <w:szCs w:val="1"/>
                <w:color w:val="auto"/>
              </w:rPr>
            </w:pPr>
          </w:p>
        </w:tc>
        <w:tc>
          <w:tcPr>
            <w:tcW w:w="400" w:type="dxa"/>
            <w:vAlign w:val="bottom"/>
            <w:tcBorders>
              <w:bottom w:val="single" w:sz="8" w:color="183964"/>
            </w:tcBorders>
          </w:tcPr>
          <w:p>
            <w:pPr>
              <w:spacing w:after="0" w:line="20" w:lineRule="exact"/>
              <w:rPr>
                <w:sz w:val="1"/>
                <w:szCs w:val="1"/>
                <w:color w:val="auto"/>
              </w:rPr>
            </w:pPr>
          </w:p>
        </w:tc>
        <w:tc>
          <w:tcPr>
            <w:tcW w:w="900" w:type="dxa"/>
            <w:vAlign w:val="bottom"/>
            <w:tcBorders>
              <w:bottom w:val="single" w:sz="8" w:color="183964"/>
            </w:tcBorders>
          </w:tcPr>
          <w:p>
            <w:pPr>
              <w:spacing w:after="0" w:line="20" w:lineRule="exact"/>
              <w:rPr>
                <w:sz w:val="1"/>
                <w:szCs w:val="1"/>
                <w:color w:val="auto"/>
              </w:rPr>
            </w:pPr>
          </w:p>
        </w:tc>
        <w:tc>
          <w:tcPr>
            <w:tcW w:w="400" w:type="dxa"/>
            <w:vAlign w:val="bottom"/>
            <w:tcBorders>
              <w:bottom w:val="single" w:sz="8" w:color="183964"/>
            </w:tcBorders>
          </w:tcPr>
          <w:p>
            <w:pPr>
              <w:spacing w:after="0" w:line="20" w:lineRule="exact"/>
              <w:rPr>
                <w:sz w:val="1"/>
                <w:szCs w:val="1"/>
                <w:color w:val="auto"/>
              </w:rPr>
            </w:pPr>
          </w:p>
        </w:tc>
        <w:tc>
          <w:tcPr>
            <w:tcW w:w="900" w:type="dxa"/>
            <w:vAlign w:val="bottom"/>
            <w:tcBorders>
              <w:bottom w:val="single" w:sz="8" w:color="183964"/>
            </w:tcBorders>
          </w:tcPr>
          <w:p>
            <w:pPr>
              <w:spacing w:after="0" w:line="20" w:lineRule="exact"/>
              <w:rPr>
                <w:sz w:val="1"/>
                <w:szCs w:val="1"/>
                <w:color w:val="auto"/>
              </w:rPr>
            </w:pPr>
          </w:p>
        </w:tc>
        <w:tc>
          <w:tcPr>
            <w:tcW w:w="440" w:type="dxa"/>
            <w:vAlign w:val="bottom"/>
            <w:tcBorders>
              <w:bottom w:val="single" w:sz="8" w:color="183964"/>
            </w:tcBorders>
          </w:tcPr>
          <w:p>
            <w:pPr>
              <w:spacing w:after="0" w:line="20" w:lineRule="exact"/>
              <w:rPr>
                <w:sz w:val="1"/>
                <w:szCs w:val="1"/>
                <w:color w:val="auto"/>
              </w:rPr>
            </w:pPr>
          </w:p>
        </w:tc>
        <w:tc>
          <w:tcPr>
            <w:tcW w:w="840" w:type="dxa"/>
            <w:vAlign w:val="bottom"/>
            <w:tcBorders>
              <w:bottom w:val="single" w:sz="8" w:color="183964"/>
            </w:tcBorders>
          </w:tcPr>
          <w:p>
            <w:pPr>
              <w:spacing w:after="0" w:line="20" w:lineRule="exact"/>
              <w:rPr>
                <w:sz w:val="1"/>
                <w:szCs w:val="1"/>
                <w:color w:val="auto"/>
              </w:rPr>
            </w:pPr>
          </w:p>
        </w:tc>
      </w:tr>
      <w:tr>
        <w:trPr>
          <w:trHeight w:val="203"/>
        </w:trPr>
        <w:tc>
          <w:tcPr>
            <w:tcW w:w="7340" w:type="dxa"/>
            <w:vAlign w:val="bottom"/>
          </w:tcPr>
          <w:p>
            <w:pPr>
              <w:ind w:left="20"/>
              <w:spacing w:after="0"/>
              <w:rPr>
                <w:sz w:val="20"/>
                <w:szCs w:val="20"/>
                <w:color w:val="auto"/>
              </w:rPr>
            </w:pPr>
            <w:r>
              <w:rPr>
                <w:rFonts w:ascii="Arial" w:cs="Arial" w:eastAsia="Arial" w:hAnsi="Arial"/>
                <w:sz w:val="15"/>
                <w:szCs w:val="15"/>
                <w:color w:val="auto"/>
              </w:rPr>
              <w:t>General and Administrative Expenses:</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51"/>
        </w:trPr>
        <w:tc>
          <w:tcPr>
            <w:tcW w:w="7340" w:type="dxa"/>
            <w:vAlign w:val="bottom"/>
          </w:tcPr>
          <w:p>
            <w:pPr>
              <w:ind w:left="120"/>
              <w:spacing w:after="0"/>
              <w:rPr>
                <w:sz w:val="20"/>
                <w:szCs w:val="20"/>
                <w:color w:val="auto"/>
              </w:rPr>
            </w:pPr>
            <w:r>
              <w:rPr>
                <w:rFonts w:ascii="Arial" w:cs="Arial" w:eastAsia="Arial" w:hAnsi="Arial"/>
                <w:sz w:val="15"/>
                <w:szCs w:val="15"/>
                <w:color w:val="auto"/>
              </w:rPr>
              <w:t>Wholly-Owned Programs</w:t>
            </w:r>
          </w:p>
        </w:tc>
        <w:tc>
          <w:tcPr>
            <w:tcW w:w="400" w:type="dxa"/>
            <w:vAlign w:val="bottom"/>
          </w:tcPr>
          <w:p>
            <w:pPr>
              <w:jc w:val="right"/>
              <w:ind w:right="224"/>
              <w:spacing w:after="0"/>
              <w:rPr>
                <w:sz w:val="20"/>
                <w:szCs w:val="20"/>
                <w:color w:val="auto"/>
              </w:rPr>
            </w:pPr>
            <w:r>
              <w:rPr>
                <w:rFonts w:ascii="Arial" w:cs="Arial" w:eastAsia="Arial" w:hAnsi="Arial"/>
                <w:sz w:val="15"/>
                <w:szCs w:val="15"/>
                <w:b w:val="1"/>
                <w:bCs w:val="1"/>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(4,450)</w:t>
            </w:r>
          </w:p>
        </w:tc>
        <w:tc>
          <w:tcPr>
            <w:tcW w:w="400" w:type="dxa"/>
            <w:vAlign w:val="bottom"/>
          </w:tcPr>
          <w:p>
            <w:pPr>
              <w:jc w:val="right"/>
              <w:ind w:right="224"/>
              <w:spacing w:after="0"/>
              <w:rPr>
                <w:sz w:val="20"/>
                <w:szCs w:val="20"/>
                <w:color w:val="auto"/>
              </w:rPr>
            </w:pPr>
            <w:r>
              <w:rPr>
                <w:rFonts w:ascii="Arial" w:cs="Arial" w:eastAsia="Arial" w:hAnsi="Arial"/>
                <w:sz w:val="15"/>
                <w:szCs w:val="15"/>
                <w:color w:val="183964"/>
                <w:w w:val="95"/>
              </w:rPr>
              <w:t>$</w:t>
            </w:r>
          </w:p>
        </w:tc>
        <w:tc>
          <w:tcPr>
            <w:tcW w:w="900" w:type="dxa"/>
            <w:vAlign w:val="bottom"/>
          </w:tcPr>
          <w:p>
            <w:pPr>
              <w:jc w:val="right"/>
              <w:spacing w:after="0"/>
              <w:rPr>
                <w:sz w:val="20"/>
                <w:szCs w:val="20"/>
                <w:color w:val="auto"/>
              </w:rPr>
            </w:pPr>
            <w:r>
              <w:rPr>
                <w:rFonts w:ascii="Arial" w:cs="Arial" w:eastAsia="Arial" w:hAnsi="Arial"/>
                <w:sz w:val="15"/>
                <w:szCs w:val="15"/>
                <w:color w:val="183964"/>
              </w:rPr>
              <w:t>(6,981)</w:t>
            </w:r>
          </w:p>
        </w:tc>
        <w:tc>
          <w:tcPr>
            <w:tcW w:w="440" w:type="dxa"/>
            <w:vAlign w:val="bottom"/>
          </w:tcPr>
          <w:p>
            <w:pPr>
              <w:jc w:val="right"/>
              <w:ind w:right="264"/>
              <w:spacing w:after="0"/>
              <w:rPr>
                <w:sz w:val="20"/>
                <w:szCs w:val="20"/>
                <w:color w:val="auto"/>
              </w:rPr>
            </w:pPr>
            <w:r>
              <w:rPr>
                <w:rFonts w:ascii="Arial" w:cs="Arial" w:eastAsia="Arial" w:hAnsi="Arial"/>
                <w:sz w:val="15"/>
                <w:szCs w:val="15"/>
                <w:color w:val="183964"/>
                <w:w w:val="95"/>
              </w:rPr>
              <w:t>$</w:t>
            </w:r>
          </w:p>
        </w:tc>
        <w:tc>
          <w:tcPr>
            <w:tcW w:w="840" w:type="dxa"/>
            <w:vAlign w:val="bottom"/>
          </w:tcPr>
          <w:p>
            <w:pPr>
              <w:jc w:val="right"/>
              <w:spacing w:after="0"/>
              <w:rPr>
                <w:sz w:val="20"/>
                <w:szCs w:val="20"/>
                <w:color w:val="auto"/>
              </w:rPr>
            </w:pPr>
            <w:r>
              <w:rPr>
                <w:rFonts w:ascii="Arial" w:cs="Arial" w:eastAsia="Arial" w:hAnsi="Arial"/>
                <w:sz w:val="15"/>
                <w:szCs w:val="15"/>
                <w:color w:val="183964"/>
              </w:rPr>
              <w:t>(2,531)</w:t>
            </w:r>
          </w:p>
        </w:tc>
      </w:tr>
      <w:tr>
        <w:trPr>
          <w:trHeight w:val="243"/>
        </w:trPr>
        <w:tc>
          <w:tcPr>
            <w:tcW w:w="7340" w:type="dxa"/>
            <w:vAlign w:val="bottom"/>
          </w:tcPr>
          <w:p>
            <w:pPr>
              <w:ind w:left="120"/>
              <w:spacing w:after="0"/>
              <w:rPr>
                <w:sz w:val="20"/>
                <w:szCs w:val="20"/>
                <w:color w:val="auto"/>
              </w:rPr>
            </w:pPr>
            <w:r>
              <w:rPr>
                <w:rFonts w:ascii="Arial" w:cs="Arial" w:eastAsia="Arial" w:hAnsi="Arial"/>
                <w:sz w:val="15"/>
                <w:szCs w:val="15"/>
                <w:color w:val="auto"/>
              </w:rPr>
              <w:t>Controlled Founded Entities</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(6,548)</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183964"/>
              </w:rPr>
              <w:t>(237)</w:t>
            </w: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183964"/>
              </w:rPr>
              <w:t>6,311</w:t>
            </w:r>
          </w:p>
        </w:tc>
      </w:tr>
      <w:tr>
        <w:trPr>
          <w:trHeight w:val="243"/>
        </w:trPr>
        <w:tc>
          <w:tcPr>
            <w:tcW w:w="7340" w:type="dxa"/>
            <w:vAlign w:val="bottom"/>
          </w:tcPr>
          <w:p>
            <w:pPr>
              <w:ind w:left="120"/>
              <w:spacing w:after="0"/>
              <w:rPr>
                <w:sz w:val="20"/>
                <w:szCs w:val="20"/>
                <w:color w:val="auto"/>
              </w:rPr>
            </w:pPr>
            <w:r>
              <w:rPr>
                <w:rFonts w:ascii="Arial" w:cs="Arial" w:eastAsia="Arial" w:hAnsi="Arial"/>
                <w:sz w:val="15"/>
                <w:szCs w:val="15"/>
                <w:color w:val="auto"/>
              </w:rPr>
              <w:t>Parent Company and Other</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(16,759)</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183964"/>
              </w:rPr>
              <w:t>(18,947)</w:t>
            </w: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183964"/>
              </w:rPr>
              <w:t>(2,188)</w:t>
            </w:r>
          </w:p>
        </w:tc>
      </w:tr>
      <w:tr>
        <w:trPr>
          <w:trHeight w:val="25"/>
        </w:trPr>
        <w:tc>
          <w:tcPr>
            <w:tcW w:w="7340" w:type="dxa"/>
            <w:vAlign w:val="bottom"/>
            <w:tcBorders>
              <w:bottom w:val="single" w:sz="8" w:color="183964"/>
            </w:tcBorders>
          </w:tcPr>
          <w:p>
            <w:pPr>
              <w:spacing w:after="0"/>
              <w:rPr>
                <w:sz w:val="2"/>
                <w:szCs w:val="2"/>
                <w:color w:val="auto"/>
              </w:rPr>
            </w:pPr>
          </w:p>
        </w:tc>
        <w:tc>
          <w:tcPr>
            <w:tcW w:w="400" w:type="dxa"/>
            <w:vAlign w:val="bottom"/>
            <w:tcBorders>
              <w:bottom w:val="single" w:sz="8" w:color="183964"/>
            </w:tcBorders>
          </w:tcPr>
          <w:p>
            <w:pPr>
              <w:spacing w:after="0"/>
              <w:rPr>
                <w:sz w:val="2"/>
                <w:szCs w:val="2"/>
                <w:color w:val="auto"/>
              </w:rPr>
            </w:pPr>
          </w:p>
        </w:tc>
        <w:tc>
          <w:tcPr>
            <w:tcW w:w="900" w:type="dxa"/>
            <w:vAlign w:val="bottom"/>
            <w:tcBorders>
              <w:bottom w:val="single" w:sz="8" w:color="183964"/>
            </w:tcBorders>
          </w:tcPr>
          <w:p>
            <w:pPr>
              <w:spacing w:after="0"/>
              <w:rPr>
                <w:sz w:val="2"/>
                <w:szCs w:val="2"/>
                <w:color w:val="auto"/>
              </w:rPr>
            </w:pPr>
          </w:p>
        </w:tc>
        <w:tc>
          <w:tcPr>
            <w:tcW w:w="400" w:type="dxa"/>
            <w:vAlign w:val="bottom"/>
            <w:tcBorders>
              <w:bottom w:val="single" w:sz="8" w:color="183964"/>
            </w:tcBorders>
          </w:tcPr>
          <w:p>
            <w:pPr>
              <w:spacing w:after="0"/>
              <w:rPr>
                <w:sz w:val="2"/>
                <w:szCs w:val="2"/>
                <w:color w:val="auto"/>
              </w:rPr>
            </w:pPr>
          </w:p>
        </w:tc>
        <w:tc>
          <w:tcPr>
            <w:tcW w:w="900" w:type="dxa"/>
            <w:vAlign w:val="bottom"/>
            <w:tcBorders>
              <w:bottom w:val="single" w:sz="8" w:color="183964"/>
            </w:tcBorders>
          </w:tcPr>
          <w:p>
            <w:pPr>
              <w:spacing w:after="0"/>
              <w:rPr>
                <w:sz w:val="2"/>
                <w:szCs w:val="2"/>
                <w:color w:val="auto"/>
              </w:rPr>
            </w:pPr>
          </w:p>
        </w:tc>
        <w:tc>
          <w:tcPr>
            <w:tcW w:w="440" w:type="dxa"/>
            <w:vAlign w:val="bottom"/>
            <w:tcBorders>
              <w:bottom w:val="single" w:sz="8" w:color="183964"/>
            </w:tcBorders>
          </w:tcPr>
          <w:p>
            <w:pPr>
              <w:spacing w:after="0"/>
              <w:rPr>
                <w:sz w:val="2"/>
                <w:szCs w:val="2"/>
                <w:color w:val="auto"/>
              </w:rPr>
            </w:pPr>
          </w:p>
        </w:tc>
        <w:tc>
          <w:tcPr>
            <w:tcW w:w="840" w:type="dxa"/>
            <w:vAlign w:val="bottom"/>
            <w:tcBorders>
              <w:bottom w:val="single" w:sz="8" w:color="183964"/>
            </w:tcBorders>
          </w:tcPr>
          <w:p>
            <w:pPr>
              <w:spacing w:after="0"/>
              <w:rPr>
                <w:sz w:val="2"/>
                <w:szCs w:val="2"/>
                <w:color w:val="auto"/>
              </w:rPr>
            </w:pPr>
          </w:p>
        </w:tc>
      </w:tr>
      <w:tr>
        <w:trPr>
          <w:trHeight w:val="211"/>
        </w:trPr>
        <w:tc>
          <w:tcPr>
            <w:tcW w:w="7340" w:type="dxa"/>
            <w:vAlign w:val="bottom"/>
          </w:tcPr>
          <w:p>
            <w:pPr>
              <w:ind w:left="20"/>
              <w:spacing w:after="0"/>
              <w:rPr>
                <w:sz w:val="20"/>
                <w:szCs w:val="20"/>
                <w:color w:val="auto"/>
              </w:rPr>
            </w:pPr>
            <w:r>
              <w:rPr>
                <w:rFonts w:ascii="Arial" w:cs="Arial" w:eastAsia="Arial" w:hAnsi="Arial"/>
                <w:sz w:val="15"/>
                <w:szCs w:val="15"/>
                <w:b w:val="1"/>
                <w:bCs w:val="1"/>
                <w:color w:val="auto"/>
              </w:rPr>
              <w:t>Total General and Administrative Expenses</w:t>
            </w:r>
          </w:p>
        </w:tc>
        <w:tc>
          <w:tcPr>
            <w:tcW w:w="400" w:type="dxa"/>
            <w:vAlign w:val="bottom"/>
          </w:tcPr>
          <w:p>
            <w:pPr>
              <w:jc w:val="right"/>
              <w:ind w:right="224"/>
              <w:spacing w:after="0"/>
              <w:rPr>
                <w:sz w:val="20"/>
                <w:szCs w:val="20"/>
                <w:color w:val="auto"/>
              </w:rPr>
            </w:pPr>
            <w:r>
              <w:rPr>
                <w:rFonts w:ascii="Arial" w:cs="Arial" w:eastAsia="Arial" w:hAnsi="Arial"/>
                <w:sz w:val="15"/>
                <w:szCs w:val="15"/>
                <w:b w:val="1"/>
                <w:bCs w:val="1"/>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(27,758)</w:t>
            </w:r>
          </w:p>
        </w:tc>
        <w:tc>
          <w:tcPr>
            <w:tcW w:w="400" w:type="dxa"/>
            <w:vAlign w:val="bottom"/>
          </w:tcPr>
          <w:p>
            <w:pPr>
              <w:jc w:val="right"/>
              <w:ind w:right="224"/>
              <w:spacing w:after="0"/>
              <w:rPr>
                <w:sz w:val="20"/>
                <w:szCs w:val="20"/>
                <w:color w:val="auto"/>
              </w:rPr>
            </w:pPr>
            <w:r>
              <w:rPr>
                <w:rFonts w:ascii="Arial" w:cs="Arial" w:eastAsia="Arial" w:hAnsi="Arial"/>
                <w:sz w:val="15"/>
                <w:szCs w:val="15"/>
                <w:color w:val="183964"/>
                <w:w w:val="95"/>
              </w:rPr>
              <w:t>$</w:t>
            </w:r>
          </w:p>
        </w:tc>
        <w:tc>
          <w:tcPr>
            <w:tcW w:w="900" w:type="dxa"/>
            <w:vAlign w:val="bottom"/>
          </w:tcPr>
          <w:p>
            <w:pPr>
              <w:jc w:val="right"/>
              <w:spacing w:after="0"/>
              <w:rPr>
                <w:sz w:val="20"/>
                <w:szCs w:val="20"/>
                <w:color w:val="auto"/>
              </w:rPr>
            </w:pPr>
            <w:r>
              <w:rPr>
                <w:rFonts w:ascii="Arial" w:cs="Arial" w:eastAsia="Arial" w:hAnsi="Arial"/>
                <w:sz w:val="15"/>
                <w:szCs w:val="15"/>
                <w:color w:val="183964"/>
              </w:rPr>
              <w:t>(26,166)</w:t>
            </w:r>
          </w:p>
        </w:tc>
        <w:tc>
          <w:tcPr>
            <w:tcW w:w="440" w:type="dxa"/>
            <w:vAlign w:val="bottom"/>
          </w:tcPr>
          <w:p>
            <w:pPr>
              <w:jc w:val="right"/>
              <w:ind w:right="264"/>
              <w:spacing w:after="0"/>
              <w:rPr>
                <w:sz w:val="20"/>
                <w:szCs w:val="20"/>
                <w:color w:val="auto"/>
              </w:rPr>
            </w:pPr>
            <w:r>
              <w:rPr>
                <w:rFonts w:ascii="Arial" w:cs="Arial" w:eastAsia="Arial" w:hAnsi="Arial"/>
                <w:sz w:val="15"/>
                <w:szCs w:val="15"/>
                <w:color w:val="183964"/>
                <w:w w:val="95"/>
              </w:rPr>
              <w:t>$</w:t>
            </w:r>
          </w:p>
        </w:tc>
        <w:tc>
          <w:tcPr>
            <w:tcW w:w="840" w:type="dxa"/>
            <w:vAlign w:val="bottom"/>
          </w:tcPr>
          <w:p>
            <w:pPr>
              <w:jc w:val="right"/>
              <w:spacing w:after="0"/>
              <w:rPr>
                <w:sz w:val="20"/>
                <w:szCs w:val="20"/>
                <w:color w:val="auto"/>
              </w:rPr>
            </w:pPr>
            <w:r>
              <w:rPr>
                <w:rFonts w:ascii="Arial" w:cs="Arial" w:eastAsia="Arial" w:hAnsi="Arial"/>
                <w:sz w:val="15"/>
                <w:szCs w:val="15"/>
                <w:color w:val="183964"/>
              </w:rPr>
              <w:t>1,592</w:t>
            </w:r>
          </w:p>
        </w:tc>
      </w:tr>
      <w:tr>
        <w:trPr>
          <w:trHeight w:val="25"/>
        </w:trPr>
        <w:tc>
          <w:tcPr>
            <w:tcW w:w="7340" w:type="dxa"/>
            <w:vAlign w:val="bottom"/>
            <w:tcBorders>
              <w:bottom w:val="single" w:sz="8" w:color="183964"/>
            </w:tcBorders>
          </w:tcPr>
          <w:p>
            <w:pPr>
              <w:spacing w:after="0"/>
              <w:rPr>
                <w:sz w:val="2"/>
                <w:szCs w:val="2"/>
                <w:color w:val="auto"/>
              </w:rPr>
            </w:pPr>
          </w:p>
        </w:tc>
        <w:tc>
          <w:tcPr>
            <w:tcW w:w="400" w:type="dxa"/>
            <w:vAlign w:val="bottom"/>
            <w:tcBorders>
              <w:bottom w:val="single" w:sz="8" w:color="183964"/>
            </w:tcBorders>
          </w:tcPr>
          <w:p>
            <w:pPr>
              <w:spacing w:after="0"/>
              <w:rPr>
                <w:sz w:val="2"/>
                <w:szCs w:val="2"/>
                <w:color w:val="auto"/>
              </w:rPr>
            </w:pPr>
          </w:p>
        </w:tc>
        <w:tc>
          <w:tcPr>
            <w:tcW w:w="900" w:type="dxa"/>
            <w:vAlign w:val="bottom"/>
            <w:tcBorders>
              <w:bottom w:val="single" w:sz="8" w:color="183964"/>
            </w:tcBorders>
          </w:tcPr>
          <w:p>
            <w:pPr>
              <w:spacing w:after="0"/>
              <w:rPr>
                <w:sz w:val="2"/>
                <w:szCs w:val="2"/>
                <w:color w:val="auto"/>
              </w:rPr>
            </w:pPr>
          </w:p>
        </w:tc>
        <w:tc>
          <w:tcPr>
            <w:tcW w:w="400" w:type="dxa"/>
            <w:vAlign w:val="bottom"/>
            <w:tcBorders>
              <w:bottom w:val="single" w:sz="8" w:color="183964"/>
            </w:tcBorders>
          </w:tcPr>
          <w:p>
            <w:pPr>
              <w:spacing w:after="0"/>
              <w:rPr>
                <w:sz w:val="2"/>
                <w:szCs w:val="2"/>
                <w:color w:val="auto"/>
              </w:rPr>
            </w:pPr>
          </w:p>
        </w:tc>
        <w:tc>
          <w:tcPr>
            <w:tcW w:w="900" w:type="dxa"/>
            <w:vAlign w:val="bottom"/>
            <w:tcBorders>
              <w:bottom w:val="single" w:sz="8" w:color="183964"/>
            </w:tcBorders>
          </w:tcPr>
          <w:p>
            <w:pPr>
              <w:spacing w:after="0"/>
              <w:rPr>
                <w:sz w:val="2"/>
                <w:szCs w:val="2"/>
                <w:color w:val="auto"/>
              </w:rPr>
            </w:pPr>
          </w:p>
        </w:tc>
        <w:tc>
          <w:tcPr>
            <w:tcW w:w="440" w:type="dxa"/>
            <w:vAlign w:val="bottom"/>
            <w:tcBorders>
              <w:bottom w:val="single" w:sz="8" w:color="183964"/>
            </w:tcBorders>
          </w:tcPr>
          <w:p>
            <w:pPr>
              <w:spacing w:after="0"/>
              <w:rPr>
                <w:sz w:val="2"/>
                <w:szCs w:val="2"/>
                <w:color w:val="auto"/>
              </w:rPr>
            </w:pPr>
          </w:p>
        </w:tc>
        <w:tc>
          <w:tcPr>
            <w:tcW w:w="840" w:type="dxa"/>
            <w:vAlign w:val="bottom"/>
            <w:tcBorders>
              <w:bottom w:val="single" w:sz="8" w:color="183964"/>
            </w:tcBorders>
          </w:tcPr>
          <w:p>
            <w:pPr>
              <w:spacing w:after="0"/>
              <w:rPr>
                <w:sz w:val="2"/>
                <w:szCs w:val="2"/>
                <w:color w:val="auto"/>
              </w:rPr>
            </w:pPr>
          </w:p>
        </w:tc>
      </w:tr>
    </w:tbl>
    <w:p>
      <w:pPr>
        <w:spacing w:after="0" w:line="158" w:lineRule="exact"/>
        <w:rPr>
          <w:sz w:val="20"/>
          <w:szCs w:val="20"/>
          <w:color w:val="auto"/>
        </w:rPr>
      </w:pPr>
    </w:p>
    <w:p>
      <w:pPr>
        <w:ind w:right="160"/>
        <w:spacing w:after="0" w:line="282" w:lineRule="auto"/>
        <w:rPr>
          <w:sz w:val="20"/>
          <w:szCs w:val="20"/>
          <w:color w:val="auto"/>
        </w:rPr>
      </w:pPr>
      <w:r>
        <w:rPr>
          <w:rFonts w:ascii="Arial" w:cs="Arial" w:eastAsia="Arial" w:hAnsi="Arial"/>
          <w:sz w:val="15"/>
          <w:szCs w:val="15"/>
          <w:color w:val="auto"/>
        </w:rPr>
        <w:t>Our general and administrative expenses were $27.8 million for the six months ended June 30, 2024, an increase of $1.6 million, or 6 percent compared to the six months ended June 30, 2023. The increase was primarily due to a $4.0 million increase in stock based compensation largely resulting from stock awards granted to Seaport employees, offset by a $2.9 million decrease from the deconsolidation of Vedanta in March 2023.</w:t>
      </w:r>
    </w:p>
    <w:p>
      <w:pPr>
        <w:spacing w:after="0" w:line="40" w:lineRule="exact"/>
        <w:rPr>
          <w:sz w:val="20"/>
          <w:szCs w:val="20"/>
          <w:color w:val="auto"/>
        </w:rPr>
      </w:pPr>
    </w:p>
    <w:p>
      <w:pPr>
        <w:ind w:right="180"/>
        <w:spacing w:after="0" w:line="283" w:lineRule="auto"/>
        <w:rPr>
          <w:sz w:val="20"/>
          <w:szCs w:val="20"/>
          <w:color w:val="auto"/>
        </w:rPr>
      </w:pPr>
      <w:r>
        <w:rPr>
          <w:rFonts w:ascii="Arial" w:cs="Arial" w:eastAsia="Arial" w:hAnsi="Arial"/>
          <w:sz w:val="15"/>
          <w:szCs w:val="15"/>
          <w:color w:val="auto"/>
        </w:rPr>
        <w:t>Wholly-Owned Programs: a decrease of $2.5 million in general and administrative expenses was primarily driven by a decrease of $2.0 million in management fees charged by the parent company.</w:t>
      </w:r>
    </w:p>
    <w:p>
      <w:pPr>
        <w:spacing w:after="0" w:line="52" w:lineRule="exact"/>
        <w:rPr>
          <w:sz w:val="20"/>
          <w:szCs w:val="20"/>
          <w:color w:val="auto"/>
        </w:rPr>
      </w:pPr>
    </w:p>
    <w:p>
      <w:pPr>
        <w:ind w:right="320"/>
        <w:spacing w:after="0" w:line="283" w:lineRule="auto"/>
        <w:rPr>
          <w:sz w:val="20"/>
          <w:szCs w:val="20"/>
          <w:color w:val="auto"/>
        </w:rPr>
      </w:pPr>
      <w:r>
        <w:rPr>
          <w:rFonts w:ascii="Arial" w:cs="Arial" w:eastAsia="Arial" w:hAnsi="Arial"/>
          <w:sz w:val="15"/>
          <w:szCs w:val="15"/>
          <w:color w:val="auto"/>
        </w:rPr>
        <w:t>Controlled Founded Entity: an increase of $6.3 million in general and administrative expenses was primarily driven by the establishment and operation of Seaport including a $1.6 million increase in legal and advisory fees, $3.2 million increase in stock based compensation expense and a $1.3 million increase in payroll.</w:t>
      </w:r>
    </w:p>
    <w:p>
      <w:pPr>
        <w:spacing w:after="0" w:line="52" w:lineRule="exact"/>
        <w:rPr>
          <w:sz w:val="20"/>
          <w:szCs w:val="20"/>
          <w:color w:val="auto"/>
        </w:rPr>
      </w:pPr>
    </w:p>
    <w:p>
      <w:pPr>
        <w:ind w:right="120"/>
        <w:spacing w:after="0" w:line="273" w:lineRule="auto"/>
        <w:rPr>
          <w:sz w:val="20"/>
          <w:szCs w:val="20"/>
          <w:color w:val="auto"/>
        </w:rPr>
      </w:pPr>
      <w:r>
        <w:rPr>
          <w:rFonts w:ascii="Arial" w:cs="Arial" w:eastAsia="Arial" w:hAnsi="Arial"/>
          <w:sz w:val="15"/>
          <w:szCs w:val="15"/>
          <w:color w:val="auto"/>
        </w:rPr>
        <w:t>Parent Company and Other: a $2.2 million decrease in general and administrative expenses was primarily attributable to a $2.9 million decrease due to the deconsolidation of Vedanta in March 2023, a $1.5 million decrease in legal advisory costs primarily related to Gelesis notes and Merger Agreement in 2023, partially offset by a $2.2 million increase in management fee.</w:t>
      </w:r>
    </w:p>
    <w:p>
      <w:pPr>
        <w:sectPr>
          <w:pgSz w:w="11900" w:h="16838" w:orient="portrait"/>
          <w:cols w:equalWidth="0" w:num="1">
            <w:col w:w="11220"/>
          </w:cols>
          <w:pgMar w:left="320" w:top="1241" w:right="359" w:bottom="1440" w:gutter="0" w:footer="0" w:header="0"/>
        </w:sectPr>
      </w:pPr>
    </w:p>
    <w:bookmarkStart w:id="15" w:name="page16"/>
    <w:bookmarkEnd w:id="15"/>
    <w:p>
      <w:pPr>
        <w:spacing w:after="0"/>
        <w:rPr>
          <w:sz w:val="20"/>
          <w:szCs w:val="20"/>
          <w:color w:val="auto"/>
        </w:rPr>
      </w:pPr>
      <w:r>
        <w:rPr>
          <w:rFonts w:ascii="Arial" w:cs="Arial" w:eastAsia="Arial" w:hAnsi="Arial"/>
          <w:sz w:val="15"/>
          <w:szCs w:val="15"/>
          <w:color w:val="183964"/>
        </w:rPr>
        <w:t>Total Other Income/(Expense)</w:t>
      </w:r>
    </w:p>
    <w:p>
      <w:pPr>
        <w:spacing w:after="0" w:line="17" w:lineRule="exact"/>
        <w:rPr>
          <w:sz w:val="20"/>
          <w:szCs w:val="20"/>
          <w:color w:val="auto"/>
        </w:rPr>
      </w:pPr>
    </w:p>
    <w:p>
      <w:pPr>
        <w:ind w:right="460"/>
        <w:spacing w:after="0" w:line="282" w:lineRule="auto"/>
        <w:rPr>
          <w:sz w:val="20"/>
          <w:szCs w:val="20"/>
          <w:color w:val="auto"/>
        </w:rPr>
      </w:pPr>
      <w:r>
        <w:rPr>
          <w:rFonts w:ascii="Arial" w:cs="Arial" w:eastAsia="Arial" w:hAnsi="Arial"/>
          <w:sz w:val="15"/>
          <w:szCs w:val="15"/>
          <w:color w:val="auto"/>
        </w:rPr>
        <w:t>Total other income was $16.2 million for the six months ended June 30, 2024 compared to $62.4 million for the six months ended June 30, 2023, a decrease of $46.2 million, or 74 percent. The decrease in other income was primarily attributable to the following:</w:t>
      </w:r>
    </w:p>
    <w:p>
      <w:pPr>
        <w:spacing w:after="0" w:line="40" w:lineRule="exact"/>
        <w:rPr>
          <w:sz w:val="20"/>
          <w:szCs w:val="20"/>
          <w:color w:val="auto"/>
        </w:rPr>
      </w:pPr>
    </w:p>
    <w:p>
      <w:pPr>
        <w:ind w:left="220" w:right="440" w:hanging="212"/>
        <w:spacing w:after="0" w:line="263" w:lineRule="auto"/>
        <w:tabs>
          <w:tab w:leader="none" w:pos="191" w:val="left"/>
        </w:tabs>
        <w:numPr>
          <w:ilvl w:val="0"/>
          <w:numId w:val="10"/>
        </w:numPr>
        <w:rPr>
          <w:rFonts w:ascii="Arial" w:cs="Arial" w:eastAsia="Arial" w:hAnsi="Arial"/>
          <w:sz w:val="15"/>
          <w:szCs w:val="15"/>
          <w:color w:val="auto"/>
        </w:rPr>
      </w:pPr>
      <w:r>
        <w:rPr>
          <w:rFonts w:ascii="Arial" w:cs="Arial" w:eastAsia="Arial" w:hAnsi="Arial"/>
          <w:sz w:val="15"/>
          <w:szCs w:val="15"/>
          <w:color w:val="auto"/>
        </w:rPr>
        <w:t>one time gain of $61.8 million recognized in 2023 as a result of the deconsolidation of Vedanta in March 2023, reflecting a decrease in other income of $61.8 million.</w:t>
      </w:r>
    </w:p>
    <w:p>
      <w:pPr>
        <w:ind w:left="220" w:right="60" w:hanging="212"/>
        <w:spacing w:after="0" w:line="282" w:lineRule="auto"/>
        <w:tabs>
          <w:tab w:leader="none" w:pos="191" w:val="left"/>
        </w:tabs>
        <w:numPr>
          <w:ilvl w:val="0"/>
          <w:numId w:val="10"/>
        </w:numPr>
        <w:rPr>
          <w:rFonts w:ascii="Arial" w:cs="Arial" w:eastAsia="Arial" w:hAnsi="Arial"/>
          <w:sz w:val="15"/>
          <w:szCs w:val="15"/>
          <w:color w:val="auto"/>
        </w:rPr>
      </w:pPr>
      <w:r>
        <w:rPr>
          <w:rFonts w:ascii="Arial" w:cs="Arial" w:eastAsia="Arial" w:hAnsi="Arial"/>
          <w:sz w:val="15"/>
          <w:szCs w:val="15"/>
          <w:color w:val="auto"/>
        </w:rPr>
        <w:t>a gain of $11.6 million in investments in notes from associates for the six months ended June 30, 2024 compared to a loss of $6.0 million for the six months ended June 30, 2023, reflecting an increase in other income of $17.7 million.</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183964"/>
        </w:rPr>
        <w:t>Net Finance Income/(Costs)</w:t>
      </w:r>
    </w:p>
    <w:p>
      <w:pPr>
        <w:spacing w:after="0" w:line="28" w:lineRule="exact"/>
        <w:rPr>
          <w:sz w:val="20"/>
          <w:szCs w:val="20"/>
          <w:color w:val="auto"/>
        </w:rPr>
      </w:pPr>
    </w:p>
    <w:p>
      <w:pPr>
        <w:ind w:right="140"/>
        <w:spacing w:after="0" w:line="267" w:lineRule="auto"/>
        <w:rPr>
          <w:sz w:val="20"/>
          <w:szCs w:val="20"/>
          <w:color w:val="auto"/>
        </w:rPr>
      </w:pPr>
      <w:r>
        <w:rPr>
          <w:rFonts w:ascii="Arial" w:cs="Arial" w:eastAsia="Arial" w:hAnsi="Arial"/>
          <w:sz w:val="15"/>
          <w:szCs w:val="15"/>
          <w:color w:val="auto"/>
        </w:rPr>
        <w:t>Net finance costs was $1.5 million for the six months ended June 30, 2024, compared to net finance income of $5.3 million for the six months ended June 30, 2023, an increase in net finance cost of $6.8 million or 128 percent. The increase was primarily attributable to the following:</w:t>
      </w:r>
    </w:p>
    <w:p>
      <w:pPr>
        <w:spacing w:after="0" w:line="50" w:lineRule="exact"/>
        <w:rPr>
          <w:sz w:val="20"/>
          <w:szCs w:val="20"/>
          <w:color w:val="auto"/>
        </w:rPr>
      </w:pPr>
    </w:p>
    <w:p>
      <w:pPr>
        <w:ind w:left="220" w:right="60" w:hanging="212"/>
        <w:spacing w:after="0" w:line="263" w:lineRule="auto"/>
        <w:tabs>
          <w:tab w:leader="none" w:pos="191" w:val="left"/>
        </w:tabs>
        <w:numPr>
          <w:ilvl w:val="0"/>
          <w:numId w:val="11"/>
        </w:numPr>
        <w:rPr>
          <w:rFonts w:ascii="Arial" w:cs="Arial" w:eastAsia="Arial" w:hAnsi="Arial"/>
          <w:sz w:val="15"/>
          <w:szCs w:val="15"/>
          <w:color w:val="auto"/>
        </w:rPr>
      </w:pPr>
      <w:r>
        <w:rPr>
          <w:rFonts w:ascii="Arial" w:cs="Arial" w:eastAsia="Arial" w:hAnsi="Arial"/>
          <w:sz w:val="15"/>
          <w:szCs w:val="15"/>
          <w:color w:val="auto"/>
        </w:rPr>
        <w:t>an increase in non-cash interest expense of $6.8 million related to the sale of future royalties liability due to the six months' accretion of the liability as well as the change to the liability based on the updated cash flow forecast in the six months ended June 30, 2024 as compared to the four months' accretion of the liability for the six months ended June 30, 2023.</w:t>
      </w:r>
    </w:p>
    <w:p>
      <w:pPr>
        <w:ind w:left="220" w:right="60" w:hanging="212"/>
        <w:spacing w:after="0" w:line="263" w:lineRule="auto"/>
        <w:tabs>
          <w:tab w:leader="none" w:pos="191" w:val="left"/>
        </w:tabs>
        <w:numPr>
          <w:ilvl w:val="0"/>
          <w:numId w:val="11"/>
        </w:numPr>
        <w:rPr>
          <w:rFonts w:ascii="Arial" w:cs="Arial" w:eastAsia="Arial" w:hAnsi="Arial"/>
          <w:sz w:val="15"/>
          <w:szCs w:val="15"/>
          <w:color w:val="auto"/>
        </w:rPr>
      </w:pPr>
      <w:r>
        <w:rPr>
          <w:rFonts w:ascii="Arial" w:cs="Arial" w:eastAsia="Arial" w:hAnsi="Arial"/>
          <w:sz w:val="15"/>
          <w:szCs w:val="15"/>
          <w:color w:val="auto"/>
        </w:rPr>
        <w:t>an increase in finance costs of $4.3 million related to changes in the fair value of subsidiary preferred share liabilities: an income of $2.6 million for the reduction in fair value of Vedanta and Follica preferred share liability for the six months ended June 30, 2023 compared to an expense of $1.6 million for the increase in fair value of Seaport preferred share liability for the six months ended June 30, 2024.</w:t>
      </w:r>
    </w:p>
    <w:p>
      <w:pPr>
        <w:spacing w:after="0" w:line="67" w:lineRule="exact"/>
        <w:rPr>
          <w:sz w:val="20"/>
          <w:szCs w:val="20"/>
          <w:color w:val="auto"/>
        </w:rPr>
      </w:pPr>
    </w:p>
    <w:p>
      <w:pPr>
        <w:ind w:right="160"/>
        <w:spacing w:after="0" w:line="283" w:lineRule="auto"/>
        <w:rPr>
          <w:sz w:val="20"/>
          <w:szCs w:val="20"/>
          <w:color w:val="auto"/>
        </w:rPr>
      </w:pPr>
      <w:r>
        <w:rPr>
          <w:rFonts w:ascii="Arial" w:cs="Arial" w:eastAsia="Arial" w:hAnsi="Arial"/>
          <w:sz w:val="15"/>
          <w:szCs w:val="15"/>
          <w:color w:val="auto"/>
        </w:rPr>
        <w:t>The above increases in finance costs were partially offset by an increase in interest income of $4.0 million for the six months ended June 30, 2024 due to increased cash and cash equivalent and short-term investment balances as well as higher interest rates earned for the period.</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color w:val="183964"/>
        </w:rPr>
        <w:t>Share of Net Income/(Loss) of Associates Accounted for Using the Equity Method</w:t>
      </w:r>
    </w:p>
    <w:p>
      <w:pPr>
        <w:spacing w:after="0" w:line="17" w:lineRule="exact"/>
        <w:rPr>
          <w:sz w:val="20"/>
          <w:szCs w:val="20"/>
          <w:color w:val="auto"/>
        </w:rPr>
      </w:pPr>
    </w:p>
    <w:p>
      <w:pPr>
        <w:ind w:right="120"/>
        <w:spacing w:after="0" w:line="263" w:lineRule="auto"/>
        <w:rPr>
          <w:sz w:val="20"/>
          <w:szCs w:val="20"/>
          <w:color w:val="auto"/>
        </w:rPr>
      </w:pPr>
      <w:r>
        <w:rPr>
          <w:rFonts w:ascii="Arial" w:cs="Arial" w:eastAsia="Arial" w:hAnsi="Arial"/>
          <w:sz w:val="15"/>
          <w:szCs w:val="15"/>
          <w:color w:val="auto"/>
        </w:rPr>
        <w:t>For the six months ended June 30, 2024, the share in net loss of associates reported under the equity method was $3.4 million as compared to the share in net loss of associates of $5.3 million for the six months ended June 30, 2023, a decrease in loss of $2.0 million or 37 percent. The decrease was primarily attributable to a decrease in Gelesis losses as it went bankrupt in October 2023 and the carrying value of our investment in Gelesis was reduced to zero as of December 31, 2023.</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color w:val="183964"/>
        </w:rPr>
        <w:t>Taxation</w:t>
      </w:r>
    </w:p>
    <w:p>
      <w:pPr>
        <w:spacing w:after="0" w:line="17"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For the six months ended June 30, 2024, the income tax benefit was $6.1 million, compared to an income tax expense of $11.8 million for the six months ended June 30, 2023. The decrease in income tax expense was primarily due to recording an income tax benefit for the six months ended June 30, 2024, related to generated tax credits, recognizing a capital loss from the Akili investment, partially offset by a discrete income tax expense related to the market-to-market investment adjustments, compared to the recording of an income tax expense in the six months ended June 30, 2023 due to nonrecurring events of the sale of future royalties to Royalty Pharma, partially offset by the deconsolidation of Vedanta.</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b w:val="1"/>
          <w:bCs w:val="1"/>
          <w:color w:val="183964"/>
        </w:rPr>
        <w:t>Material Accounting Policies and Significant Judgments and Estimates</w:t>
      </w:r>
    </w:p>
    <w:p>
      <w:pPr>
        <w:spacing w:after="0" w:line="100"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color w:val="auto"/>
        </w:rPr>
        <w:t xml:space="preserve">Our financial review of the financial condition and results of operations is based on our interim financial statements, which we have prepared in accordance with International Accounting Standards (“IAS”) </w:t>
      </w:r>
      <w:r>
        <w:rPr>
          <w:rFonts w:ascii="Arial" w:cs="Arial" w:eastAsia="Arial" w:hAnsi="Arial"/>
          <w:sz w:val="15"/>
          <w:szCs w:val="15"/>
          <w:i w:val="1"/>
          <w:iCs w:val="1"/>
          <w:color w:val="auto"/>
        </w:rPr>
        <w:t>34 Interim Financial Reporting</w:t>
      </w:r>
      <w:r>
        <w:rPr>
          <w:rFonts w:ascii="Arial" w:cs="Arial" w:eastAsia="Arial" w:hAnsi="Arial"/>
          <w:sz w:val="15"/>
          <w:szCs w:val="15"/>
          <w:color w:val="auto"/>
        </w:rPr>
        <w:t xml:space="preserve"> as adopted for use in the UK and also comply fully with IAS 34 as issued by the International Accounting Standards Board (“IASB”). In the preparation of these financial statements, we are required to make judgments, estimates and assumptions about the carrying amounts of assets and liabilities that are not readily apparent from other sources. The estimates and associated assumptions are based on historical experience and other factors that are considered to be relevant. Actual results may differ from these estimates under different assumptions or conditions.</w:t>
      </w:r>
    </w:p>
    <w:p>
      <w:pPr>
        <w:spacing w:after="0" w:line="67" w:lineRule="exact"/>
        <w:rPr>
          <w:sz w:val="20"/>
          <w:szCs w:val="20"/>
          <w:color w:val="auto"/>
        </w:rPr>
      </w:pPr>
    </w:p>
    <w:p>
      <w:pPr>
        <w:ind w:right="100"/>
        <w:spacing w:after="0" w:line="283" w:lineRule="auto"/>
        <w:rPr>
          <w:sz w:val="20"/>
          <w:szCs w:val="20"/>
          <w:color w:val="auto"/>
        </w:rPr>
      </w:pPr>
      <w:r>
        <w:rPr>
          <w:rFonts w:ascii="Arial" w:cs="Arial" w:eastAsia="Arial" w:hAnsi="Arial"/>
          <w:sz w:val="15"/>
          <w:szCs w:val="15"/>
          <w:color w:val="auto"/>
        </w:rPr>
        <w:t>Our estimates and assumptions are reviewed on an ongoing basis. Revisions to accounting estimates are recognized in the period in which the estimate is revised if the revision affects only that period or in the period of the revisions and future periods if the revision affects both current and future periods.</w:t>
      </w:r>
    </w:p>
    <w:p>
      <w:pPr>
        <w:spacing w:after="0" w:line="52"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color w:val="auto"/>
        </w:rPr>
        <w:t>The accounting policies most critical to the judgments and estimates used in the preparation of our financial statements have not changed from those disclosed in Note 1, Material Accounting policies of the accompanying notes to the Consolidated Financial Statements included in our 2023 Annual Report and Accounts except for the adoption of new and amended IFRS Accounting Standards as set out in Note 2. New Standards and Interpretations to our Condensed Consolidated Financial Statements.</w:t>
      </w:r>
    </w:p>
    <w:p>
      <w:pPr>
        <w:sectPr>
          <w:pgSz w:w="11900" w:h="16838" w:orient="portrait"/>
          <w:cols w:equalWidth="0" w:num="1">
            <w:col w:w="11200"/>
          </w:cols>
          <w:pgMar w:left="320" w:top="1243" w:right="379" w:bottom="1440" w:gutter="0" w:footer="0" w:header="0"/>
        </w:sectPr>
      </w:pPr>
    </w:p>
    <w:bookmarkStart w:id="16" w:name="page17"/>
    <w:bookmarkEnd w:id="16"/>
    <w:p>
      <w:pPr>
        <w:spacing w:after="0"/>
        <w:rPr>
          <w:sz w:val="20"/>
          <w:szCs w:val="20"/>
          <w:color w:val="auto"/>
        </w:rPr>
      </w:pPr>
      <w:r>
        <w:rPr>
          <w:rFonts w:ascii="Arial" w:cs="Arial" w:eastAsia="Arial" w:hAnsi="Arial"/>
          <w:sz w:val="15"/>
          <w:szCs w:val="15"/>
          <w:b w:val="1"/>
          <w:bCs w:val="1"/>
          <w:color w:val="183964"/>
        </w:rPr>
        <w:t>Cash Flow and Liquidity</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color w:val="auto"/>
        </w:rPr>
        <w:t>Our cash flows may fluctuate and are difficult to forecast and will depend on many factors, including:</w:t>
      </w:r>
    </w:p>
    <w:p>
      <w:pPr>
        <w:spacing w:after="0" w:line="98"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expenses incurred in the development of wholly-owned and Controlled Founded Entity therapeutic candidates;</w:t>
      </w:r>
    </w:p>
    <w:p>
      <w:pPr>
        <w:spacing w:after="0" w:line="27" w:lineRule="exact"/>
        <w:rPr>
          <w:rFonts w:ascii="Arial" w:cs="Arial" w:eastAsia="Arial" w:hAnsi="Arial"/>
          <w:sz w:val="15"/>
          <w:szCs w:val="15"/>
          <w:color w:val="auto"/>
        </w:rPr>
      </w:pPr>
    </w:p>
    <w:p>
      <w:pPr>
        <w:ind w:left="180" w:hanging="172"/>
        <w:spacing w:after="0"/>
        <w:tabs>
          <w:tab w:leader="none" w:pos="1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revenue, if any, generated by wholly-owned and Controlled-Founded Entity therapeutic candidates;</w:t>
      </w:r>
    </w:p>
    <w:p>
      <w:pPr>
        <w:spacing w:after="0" w:line="16" w:lineRule="exact"/>
        <w:rPr>
          <w:rFonts w:ascii="Arial" w:cs="Arial" w:eastAsia="Arial" w:hAnsi="Arial"/>
          <w:sz w:val="15"/>
          <w:szCs w:val="15"/>
          <w:color w:val="auto"/>
        </w:rPr>
      </w:pPr>
    </w:p>
    <w:p>
      <w:pPr>
        <w:ind w:left="180" w:hanging="172"/>
        <w:spacing w:after="0"/>
        <w:tabs>
          <w:tab w:leader="none" w:pos="1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revenue, if any, generated from licensing and royalty agreements with Founded Entities;</w:t>
      </w:r>
    </w:p>
    <w:p>
      <w:pPr>
        <w:spacing w:after="0" w:line="5" w:lineRule="exact"/>
        <w:rPr>
          <w:rFonts w:ascii="Arial" w:cs="Arial" w:eastAsia="Arial" w:hAnsi="Arial"/>
          <w:sz w:val="15"/>
          <w:szCs w:val="15"/>
          <w:color w:val="auto"/>
        </w:rPr>
      </w:pPr>
    </w:p>
    <w:p>
      <w:pPr>
        <w:ind w:left="180" w:hanging="172"/>
        <w:spacing w:after="0"/>
        <w:tabs>
          <w:tab w:leader="none" w:pos="1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financing requirements of the Wholly-Owned Programs and our Founded Entities;</w:t>
      </w:r>
    </w:p>
    <w:p>
      <w:pPr>
        <w:spacing w:after="0" w:line="13" w:lineRule="exact"/>
        <w:rPr>
          <w:rFonts w:ascii="Arial" w:cs="Arial" w:eastAsia="Arial" w:hAnsi="Arial"/>
          <w:sz w:val="15"/>
          <w:szCs w:val="15"/>
          <w:color w:val="auto"/>
        </w:rPr>
      </w:pPr>
    </w:p>
    <w:p>
      <w:pPr>
        <w:ind w:left="180" w:hanging="172"/>
        <w:spacing w:after="0"/>
        <w:tabs>
          <w:tab w:leader="none" w:pos="1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investing activities including the monetization, through sale, of shares held in our public Founded Entities; and</w:t>
      </w:r>
    </w:p>
    <w:p>
      <w:pPr>
        <w:spacing w:after="0" w:line="5" w:lineRule="exact"/>
        <w:rPr>
          <w:rFonts w:ascii="Arial" w:cs="Arial" w:eastAsia="Arial" w:hAnsi="Arial"/>
          <w:sz w:val="15"/>
          <w:szCs w:val="15"/>
          <w:color w:val="auto"/>
        </w:rPr>
      </w:pPr>
    </w:p>
    <w:p>
      <w:pPr>
        <w:ind w:left="180" w:hanging="172"/>
        <w:spacing w:after="0"/>
        <w:tabs>
          <w:tab w:leader="none" w:pos="1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repurchases of our shares</w:t>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color w:val="auto"/>
        </w:rPr>
        <w:t>As of June 30, 2024, we had consolidated cash and cash equivalents of $308.5 million and short term investments of $191.9 million. As of June 30, 2024, we had</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PureTech Level cash, cash equivalents and short-term investments of $400.6 million. PureTech Level cash, cash equivalents and short term investments is a non-</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IFRS measure (for a definition of PureTech Level cash, cash equivalents and short term investments and a reconciliation to the IFRS number, see the section</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Measuring Performance earlier in this Financial review).</w:t>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color w:val="183964"/>
        </w:rPr>
        <w:t>Cash Flows</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our cash flows for each of the periods presented: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580" w:type="dxa"/>
            <w:vAlign w:val="bottom"/>
            <w:gridSpan w:val="4"/>
          </w:tcPr>
          <w:p>
            <w:pPr>
              <w:jc w:val="right"/>
              <w:ind w:right="184"/>
              <w:spacing w:after="0"/>
              <w:rPr>
                <w:sz w:val="20"/>
                <w:szCs w:val="20"/>
                <w:color w:val="auto"/>
              </w:rPr>
            </w:pPr>
            <w:r>
              <w:rPr>
                <w:rFonts w:ascii="Arial" w:cs="Arial" w:eastAsia="Arial" w:hAnsi="Arial"/>
                <w:sz w:val="13"/>
                <w:szCs w:val="13"/>
                <w:color w:val="183964"/>
              </w:rPr>
              <w:t>Six Months Ended June 30,</w:t>
            </w:r>
          </w:p>
        </w:tc>
        <w:tc>
          <w:tcPr>
            <w:tcW w:w="920" w:type="dxa"/>
            <w:vAlign w:val="bottom"/>
          </w:tcPr>
          <w:p>
            <w:pPr>
              <w:spacing w:after="0"/>
              <w:rPr>
                <w:sz w:val="14"/>
                <w:szCs w:val="14"/>
                <w:color w:val="auto"/>
              </w:rPr>
            </w:pPr>
          </w:p>
        </w:tc>
      </w:tr>
      <w:tr>
        <w:trPr>
          <w:trHeight w:val="28"/>
        </w:trPr>
        <w:tc>
          <w:tcPr>
            <w:tcW w:w="7360" w:type="dxa"/>
            <w:vAlign w:val="bottom"/>
          </w:tcPr>
          <w:p>
            <w:pPr>
              <w:spacing w:after="0"/>
              <w:rPr>
                <w:sz w:val="2"/>
                <w:szCs w:val="2"/>
                <w:color w:val="auto"/>
              </w:rPr>
            </w:pPr>
          </w:p>
        </w:tc>
        <w:tc>
          <w:tcPr>
            <w:tcW w:w="380" w:type="dxa"/>
            <w:vAlign w:val="bottom"/>
            <w:tcBorders>
              <w:bottom w:val="single" w:sz="8" w:color="183964"/>
            </w:tcBorders>
          </w:tcPr>
          <w:p>
            <w:pPr>
              <w:spacing w:after="0"/>
              <w:rPr>
                <w:sz w:val="2"/>
                <w:szCs w:val="2"/>
                <w:color w:val="auto"/>
              </w:rPr>
            </w:pPr>
          </w:p>
        </w:tc>
        <w:tc>
          <w:tcPr>
            <w:tcW w:w="900" w:type="dxa"/>
            <w:vAlign w:val="bottom"/>
            <w:tcBorders>
              <w:bottom w:val="single" w:sz="8" w:color="183964"/>
            </w:tcBorders>
          </w:tcPr>
          <w:p>
            <w:pPr>
              <w:spacing w:after="0"/>
              <w:rPr>
                <w:sz w:val="2"/>
                <w:szCs w:val="2"/>
                <w:color w:val="auto"/>
              </w:rPr>
            </w:pPr>
          </w:p>
        </w:tc>
        <w:tc>
          <w:tcPr>
            <w:tcW w:w="400" w:type="dxa"/>
            <w:vAlign w:val="bottom"/>
            <w:tcBorders>
              <w:bottom w:val="single" w:sz="8" w:color="183964"/>
            </w:tcBorders>
          </w:tcPr>
          <w:p>
            <w:pPr>
              <w:spacing w:after="0"/>
              <w:rPr>
                <w:sz w:val="2"/>
                <w:szCs w:val="2"/>
                <w:color w:val="auto"/>
              </w:rPr>
            </w:pPr>
          </w:p>
        </w:tc>
        <w:tc>
          <w:tcPr>
            <w:tcW w:w="900" w:type="dxa"/>
            <w:vAlign w:val="bottom"/>
            <w:tcBorders>
              <w:bottom w:val="single" w:sz="8" w:color="183964"/>
            </w:tcBorders>
          </w:tcPr>
          <w:p>
            <w:pPr>
              <w:spacing w:after="0"/>
              <w:rPr>
                <w:sz w:val="2"/>
                <w:szCs w:val="2"/>
                <w:color w:val="auto"/>
              </w:rPr>
            </w:pPr>
          </w:p>
        </w:tc>
        <w:tc>
          <w:tcPr>
            <w:tcW w:w="380" w:type="dxa"/>
            <w:vAlign w:val="bottom"/>
            <w:tcBorders>
              <w:bottom w:val="single" w:sz="8" w:color="183964"/>
            </w:tcBorders>
          </w:tcPr>
          <w:p>
            <w:pPr>
              <w:spacing w:after="0"/>
              <w:rPr>
                <w:sz w:val="2"/>
                <w:szCs w:val="2"/>
                <w:color w:val="auto"/>
              </w:rPr>
            </w:pPr>
          </w:p>
        </w:tc>
        <w:tc>
          <w:tcPr>
            <w:tcW w:w="920" w:type="dxa"/>
            <w:vAlign w:val="bottom"/>
            <w:tcBorders>
              <w:bottom w:val="single" w:sz="8" w:color="183964"/>
            </w:tcBorders>
          </w:tcPr>
          <w:p>
            <w:pPr>
              <w:spacing w:after="0"/>
              <w:rPr>
                <w:sz w:val="2"/>
                <w:szCs w:val="2"/>
                <w:color w:val="auto"/>
              </w:rPr>
            </w:pPr>
          </w:p>
        </w:tc>
      </w:tr>
      <w:tr>
        <w:trPr>
          <w:trHeight w:val="174"/>
        </w:trPr>
        <w:tc>
          <w:tcPr>
            <w:tcW w:w="7360" w:type="dxa"/>
            <w:vAlign w:val="bottom"/>
          </w:tcPr>
          <w:p>
            <w:pPr>
              <w:ind w:left="20"/>
              <w:spacing w:after="0"/>
              <w:rPr>
                <w:sz w:val="20"/>
                <w:szCs w:val="20"/>
                <w:color w:val="auto"/>
              </w:rPr>
            </w:pPr>
            <w:r>
              <w:rPr>
                <w:rFonts w:ascii="Arial" w:cs="Arial" w:eastAsia="Arial" w:hAnsi="Arial"/>
                <w:sz w:val="13"/>
                <w:szCs w:val="13"/>
                <w:color w:val="auto"/>
              </w:rPr>
              <w:t>(in thousands)</w:t>
            </w:r>
          </w:p>
        </w:tc>
        <w:tc>
          <w:tcPr>
            <w:tcW w:w="3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4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183964"/>
              </w:rPr>
              <w:t>2023</w:t>
            </w:r>
          </w:p>
        </w:tc>
        <w:tc>
          <w:tcPr>
            <w:tcW w:w="3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183964"/>
              </w:rPr>
              <w:t>Change</w:t>
            </w:r>
          </w:p>
        </w:tc>
      </w:tr>
      <w:tr>
        <w:trPr>
          <w:trHeight w:val="22"/>
        </w:trPr>
        <w:tc>
          <w:tcPr>
            <w:tcW w:w="7360" w:type="dxa"/>
            <w:vAlign w:val="bottom"/>
            <w:tcBorders>
              <w:bottom w:val="single" w:sz="8" w:color="183964"/>
            </w:tcBorders>
          </w:tcPr>
          <w:p>
            <w:pPr>
              <w:spacing w:after="0" w:line="20" w:lineRule="exact"/>
              <w:rPr>
                <w:sz w:val="1"/>
                <w:szCs w:val="1"/>
                <w:color w:val="auto"/>
              </w:rPr>
            </w:pPr>
          </w:p>
        </w:tc>
        <w:tc>
          <w:tcPr>
            <w:tcW w:w="380" w:type="dxa"/>
            <w:vAlign w:val="bottom"/>
            <w:tcBorders>
              <w:bottom w:val="single" w:sz="8" w:color="183964"/>
            </w:tcBorders>
          </w:tcPr>
          <w:p>
            <w:pPr>
              <w:spacing w:after="0" w:line="20" w:lineRule="exact"/>
              <w:rPr>
                <w:sz w:val="1"/>
                <w:szCs w:val="1"/>
                <w:color w:val="auto"/>
              </w:rPr>
            </w:pPr>
          </w:p>
        </w:tc>
        <w:tc>
          <w:tcPr>
            <w:tcW w:w="900" w:type="dxa"/>
            <w:vAlign w:val="bottom"/>
            <w:tcBorders>
              <w:bottom w:val="single" w:sz="8" w:color="183964"/>
            </w:tcBorders>
          </w:tcPr>
          <w:p>
            <w:pPr>
              <w:spacing w:after="0" w:line="20" w:lineRule="exact"/>
              <w:rPr>
                <w:sz w:val="1"/>
                <w:szCs w:val="1"/>
                <w:color w:val="auto"/>
              </w:rPr>
            </w:pPr>
          </w:p>
        </w:tc>
        <w:tc>
          <w:tcPr>
            <w:tcW w:w="400" w:type="dxa"/>
            <w:vAlign w:val="bottom"/>
            <w:tcBorders>
              <w:bottom w:val="single" w:sz="8" w:color="183964"/>
            </w:tcBorders>
          </w:tcPr>
          <w:p>
            <w:pPr>
              <w:spacing w:after="0" w:line="20" w:lineRule="exact"/>
              <w:rPr>
                <w:sz w:val="1"/>
                <w:szCs w:val="1"/>
                <w:color w:val="auto"/>
              </w:rPr>
            </w:pPr>
          </w:p>
        </w:tc>
        <w:tc>
          <w:tcPr>
            <w:tcW w:w="900" w:type="dxa"/>
            <w:vAlign w:val="bottom"/>
            <w:tcBorders>
              <w:bottom w:val="single" w:sz="8" w:color="183964"/>
            </w:tcBorders>
          </w:tcPr>
          <w:p>
            <w:pPr>
              <w:spacing w:after="0" w:line="20" w:lineRule="exact"/>
              <w:rPr>
                <w:sz w:val="1"/>
                <w:szCs w:val="1"/>
                <w:color w:val="auto"/>
              </w:rPr>
            </w:pPr>
          </w:p>
        </w:tc>
        <w:tc>
          <w:tcPr>
            <w:tcW w:w="380" w:type="dxa"/>
            <w:vAlign w:val="bottom"/>
            <w:tcBorders>
              <w:bottom w:val="single" w:sz="8" w:color="183964"/>
            </w:tcBorders>
          </w:tcPr>
          <w:p>
            <w:pPr>
              <w:spacing w:after="0" w:line="20" w:lineRule="exact"/>
              <w:rPr>
                <w:sz w:val="1"/>
                <w:szCs w:val="1"/>
                <w:color w:val="auto"/>
              </w:rPr>
            </w:pPr>
          </w:p>
        </w:tc>
        <w:tc>
          <w:tcPr>
            <w:tcW w:w="920" w:type="dxa"/>
            <w:vAlign w:val="bottom"/>
            <w:tcBorders>
              <w:bottom w:val="single" w:sz="8" w:color="183964"/>
            </w:tcBorders>
          </w:tcPr>
          <w:p>
            <w:pPr>
              <w:spacing w:after="0" w:line="20" w:lineRule="exact"/>
              <w:rPr>
                <w:sz w:val="1"/>
                <w:szCs w:val="1"/>
                <w:color w:val="auto"/>
              </w:rPr>
            </w:pPr>
          </w:p>
        </w:tc>
      </w:tr>
      <w:tr>
        <w:trPr>
          <w:trHeight w:val="212"/>
        </w:trPr>
        <w:tc>
          <w:tcPr>
            <w:tcW w:w="7360" w:type="dxa"/>
            <w:vAlign w:val="bottom"/>
          </w:tcPr>
          <w:p>
            <w:pPr>
              <w:ind w:left="20"/>
              <w:spacing w:after="0"/>
              <w:rPr>
                <w:sz w:val="20"/>
                <w:szCs w:val="20"/>
                <w:color w:val="auto"/>
              </w:rPr>
            </w:pPr>
            <w:r>
              <w:rPr>
                <w:rFonts w:ascii="Arial" w:cs="Arial" w:eastAsia="Arial" w:hAnsi="Arial"/>
                <w:sz w:val="15"/>
                <w:szCs w:val="15"/>
                <w:color w:val="auto"/>
              </w:rPr>
              <w:t>Net cash used in operating activities</w:t>
            </w:r>
          </w:p>
        </w:tc>
        <w:tc>
          <w:tcPr>
            <w:tcW w:w="380" w:type="dxa"/>
            <w:vAlign w:val="bottom"/>
          </w:tcPr>
          <w:p>
            <w:pPr>
              <w:jc w:val="right"/>
              <w:ind w:right="204"/>
              <w:spacing w:after="0"/>
              <w:rPr>
                <w:sz w:val="20"/>
                <w:szCs w:val="20"/>
                <w:color w:val="auto"/>
              </w:rPr>
            </w:pPr>
            <w:r>
              <w:rPr>
                <w:rFonts w:ascii="Arial" w:cs="Arial" w:eastAsia="Arial" w:hAnsi="Arial"/>
                <w:sz w:val="15"/>
                <w:szCs w:val="15"/>
                <w:b w:val="1"/>
                <w:bCs w:val="1"/>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(80,014)</w:t>
            </w:r>
          </w:p>
        </w:tc>
        <w:tc>
          <w:tcPr>
            <w:tcW w:w="400" w:type="dxa"/>
            <w:vAlign w:val="bottom"/>
          </w:tcPr>
          <w:p>
            <w:pPr>
              <w:jc w:val="right"/>
              <w:ind w:right="204"/>
              <w:spacing w:after="0"/>
              <w:rPr>
                <w:sz w:val="20"/>
                <w:szCs w:val="20"/>
                <w:color w:val="auto"/>
              </w:rPr>
            </w:pPr>
            <w:r>
              <w:rPr>
                <w:rFonts w:ascii="Arial" w:cs="Arial" w:eastAsia="Arial" w:hAnsi="Arial"/>
                <w:sz w:val="15"/>
                <w:szCs w:val="15"/>
                <w:color w:val="183964"/>
              </w:rPr>
              <w:t>$</w:t>
            </w:r>
          </w:p>
        </w:tc>
        <w:tc>
          <w:tcPr>
            <w:tcW w:w="900" w:type="dxa"/>
            <w:vAlign w:val="bottom"/>
          </w:tcPr>
          <w:p>
            <w:pPr>
              <w:jc w:val="right"/>
              <w:spacing w:after="0"/>
              <w:rPr>
                <w:sz w:val="20"/>
                <w:szCs w:val="20"/>
                <w:color w:val="auto"/>
              </w:rPr>
            </w:pPr>
            <w:r>
              <w:rPr>
                <w:rFonts w:ascii="Arial" w:cs="Arial" w:eastAsia="Arial" w:hAnsi="Arial"/>
                <w:sz w:val="15"/>
                <w:szCs w:val="15"/>
                <w:color w:val="183964"/>
              </w:rPr>
              <w:t>(65,133)</w:t>
            </w:r>
          </w:p>
        </w:tc>
        <w:tc>
          <w:tcPr>
            <w:tcW w:w="380" w:type="dxa"/>
            <w:vAlign w:val="bottom"/>
          </w:tcPr>
          <w:p>
            <w:pPr>
              <w:jc w:val="right"/>
              <w:ind w:right="204"/>
              <w:spacing w:after="0"/>
              <w:rPr>
                <w:sz w:val="20"/>
                <w:szCs w:val="20"/>
                <w:color w:val="auto"/>
              </w:rPr>
            </w:pPr>
            <w:r>
              <w:rPr>
                <w:rFonts w:ascii="Arial" w:cs="Arial" w:eastAsia="Arial" w:hAnsi="Arial"/>
                <w:sz w:val="15"/>
                <w:szCs w:val="15"/>
                <w:color w:val="183964"/>
                <w:w w:val="95"/>
              </w:rPr>
              <w:t>$</w:t>
            </w:r>
          </w:p>
        </w:tc>
        <w:tc>
          <w:tcPr>
            <w:tcW w:w="920" w:type="dxa"/>
            <w:vAlign w:val="bottom"/>
          </w:tcPr>
          <w:p>
            <w:pPr>
              <w:jc w:val="right"/>
              <w:spacing w:after="0"/>
              <w:rPr>
                <w:sz w:val="20"/>
                <w:szCs w:val="20"/>
                <w:color w:val="auto"/>
              </w:rPr>
            </w:pPr>
            <w:r>
              <w:rPr>
                <w:rFonts w:ascii="Arial" w:cs="Arial" w:eastAsia="Arial" w:hAnsi="Arial"/>
                <w:sz w:val="15"/>
                <w:szCs w:val="15"/>
                <w:color w:val="183964"/>
              </w:rPr>
              <w:t>(14,881)</w:t>
            </w:r>
          </w:p>
        </w:tc>
      </w:tr>
      <w:tr>
        <w:trPr>
          <w:trHeight w:val="243"/>
        </w:trPr>
        <w:tc>
          <w:tcPr>
            <w:tcW w:w="7360" w:type="dxa"/>
            <w:vAlign w:val="bottom"/>
          </w:tcPr>
          <w:p>
            <w:pPr>
              <w:ind w:left="20"/>
              <w:spacing w:after="0"/>
              <w:rPr>
                <w:sz w:val="20"/>
                <w:szCs w:val="20"/>
                <w:color w:val="auto"/>
              </w:rPr>
            </w:pPr>
            <w:r>
              <w:rPr>
                <w:rFonts w:ascii="Arial" w:cs="Arial" w:eastAsia="Arial" w:hAnsi="Arial"/>
                <w:sz w:val="15"/>
                <w:szCs w:val="15"/>
                <w:color w:val="auto"/>
              </w:rPr>
              <w:t>Net cash provided by investing activities</w:t>
            </w: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236,512</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183964"/>
              </w:rPr>
              <w:t>173,885</w:t>
            </w: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183964"/>
              </w:rPr>
              <w:t>62,627</w:t>
            </w:r>
          </w:p>
        </w:tc>
      </w:tr>
      <w:tr>
        <w:trPr>
          <w:trHeight w:val="243"/>
        </w:trPr>
        <w:tc>
          <w:tcPr>
            <w:tcW w:w="7360" w:type="dxa"/>
            <w:vAlign w:val="bottom"/>
          </w:tcPr>
          <w:p>
            <w:pPr>
              <w:ind w:left="20"/>
              <w:spacing w:after="0"/>
              <w:rPr>
                <w:sz w:val="20"/>
                <w:szCs w:val="20"/>
                <w:color w:val="auto"/>
              </w:rPr>
            </w:pPr>
            <w:r>
              <w:rPr>
                <w:rFonts w:ascii="Arial" w:cs="Arial" w:eastAsia="Arial" w:hAnsi="Arial"/>
                <w:sz w:val="15"/>
                <w:szCs w:val="15"/>
                <w:color w:val="auto"/>
              </w:rPr>
              <w:t>Net cash provided by (used in) financing activities</w:t>
            </w: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(39,101)</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183964"/>
              </w:rPr>
              <w:t>91,897</w:t>
            </w: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183964"/>
              </w:rPr>
              <w:t>(130,998)</w:t>
            </w:r>
          </w:p>
        </w:tc>
      </w:tr>
      <w:tr>
        <w:trPr>
          <w:trHeight w:val="25"/>
        </w:trPr>
        <w:tc>
          <w:tcPr>
            <w:tcW w:w="7360" w:type="dxa"/>
            <w:vAlign w:val="bottom"/>
            <w:tcBorders>
              <w:bottom w:val="single" w:sz="8" w:color="183964"/>
            </w:tcBorders>
          </w:tcPr>
          <w:p>
            <w:pPr>
              <w:spacing w:after="0"/>
              <w:rPr>
                <w:sz w:val="2"/>
                <w:szCs w:val="2"/>
                <w:color w:val="auto"/>
              </w:rPr>
            </w:pPr>
          </w:p>
        </w:tc>
        <w:tc>
          <w:tcPr>
            <w:tcW w:w="380" w:type="dxa"/>
            <w:vAlign w:val="bottom"/>
            <w:tcBorders>
              <w:bottom w:val="single" w:sz="8" w:color="183964"/>
            </w:tcBorders>
          </w:tcPr>
          <w:p>
            <w:pPr>
              <w:spacing w:after="0"/>
              <w:rPr>
                <w:sz w:val="2"/>
                <w:szCs w:val="2"/>
                <w:color w:val="auto"/>
              </w:rPr>
            </w:pPr>
          </w:p>
        </w:tc>
        <w:tc>
          <w:tcPr>
            <w:tcW w:w="900" w:type="dxa"/>
            <w:vAlign w:val="bottom"/>
            <w:tcBorders>
              <w:bottom w:val="single" w:sz="8" w:color="183964"/>
            </w:tcBorders>
          </w:tcPr>
          <w:p>
            <w:pPr>
              <w:spacing w:after="0"/>
              <w:rPr>
                <w:sz w:val="2"/>
                <w:szCs w:val="2"/>
                <w:color w:val="auto"/>
              </w:rPr>
            </w:pPr>
          </w:p>
        </w:tc>
        <w:tc>
          <w:tcPr>
            <w:tcW w:w="400" w:type="dxa"/>
            <w:vAlign w:val="bottom"/>
            <w:tcBorders>
              <w:bottom w:val="single" w:sz="8" w:color="183964"/>
            </w:tcBorders>
          </w:tcPr>
          <w:p>
            <w:pPr>
              <w:spacing w:after="0"/>
              <w:rPr>
                <w:sz w:val="2"/>
                <w:szCs w:val="2"/>
                <w:color w:val="auto"/>
              </w:rPr>
            </w:pPr>
          </w:p>
        </w:tc>
        <w:tc>
          <w:tcPr>
            <w:tcW w:w="900" w:type="dxa"/>
            <w:vAlign w:val="bottom"/>
            <w:tcBorders>
              <w:bottom w:val="single" w:sz="8" w:color="183964"/>
            </w:tcBorders>
          </w:tcPr>
          <w:p>
            <w:pPr>
              <w:spacing w:after="0"/>
              <w:rPr>
                <w:sz w:val="2"/>
                <w:szCs w:val="2"/>
                <w:color w:val="auto"/>
              </w:rPr>
            </w:pPr>
          </w:p>
        </w:tc>
        <w:tc>
          <w:tcPr>
            <w:tcW w:w="380" w:type="dxa"/>
            <w:vAlign w:val="bottom"/>
            <w:tcBorders>
              <w:bottom w:val="single" w:sz="8" w:color="183964"/>
            </w:tcBorders>
          </w:tcPr>
          <w:p>
            <w:pPr>
              <w:spacing w:after="0"/>
              <w:rPr>
                <w:sz w:val="2"/>
                <w:szCs w:val="2"/>
                <w:color w:val="auto"/>
              </w:rPr>
            </w:pPr>
          </w:p>
        </w:tc>
        <w:tc>
          <w:tcPr>
            <w:tcW w:w="920" w:type="dxa"/>
            <w:vAlign w:val="bottom"/>
            <w:tcBorders>
              <w:bottom w:val="single" w:sz="8" w:color="183964"/>
            </w:tcBorders>
          </w:tcPr>
          <w:p>
            <w:pPr>
              <w:spacing w:after="0"/>
              <w:rPr>
                <w:sz w:val="2"/>
                <w:szCs w:val="2"/>
                <w:color w:val="auto"/>
              </w:rPr>
            </w:pPr>
          </w:p>
        </w:tc>
      </w:tr>
      <w:tr>
        <w:trPr>
          <w:trHeight w:val="212"/>
        </w:trPr>
        <w:tc>
          <w:tcPr>
            <w:tcW w:w="7360" w:type="dxa"/>
            <w:vAlign w:val="bottom"/>
          </w:tcPr>
          <w:p>
            <w:pPr>
              <w:ind w:left="20"/>
              <w:spacing w:after="0"/>
              <w:rPr>
                <w:sz w:val="20"/>
                <w:szCs w:val="20"/>
                <w:color w:val="auto"/>
              </w:rPr>
            </w:pPr>
            <w:r>
              <w:rPr>
                <w:rFonts w:ascii="Arial" w:cs="Arial" w:eastAsia="Arial" w:hAnsi="Arial"/>
                <w:sz w:val="15"/>
                <w:szCs w:val="15"/>
                <w:b w:val="1"/>
                <w:bCs w:val="1"/>
                <w:color w:val="auto"/>
              </w:rPr>
              <w:t>Net increase (decrease) in cash and cash equivalents</w:t>
            </w:r>
          </w:p>
        </w:tc>
        <w:tc>
          <w:tcPr>
            <w:tcW w:w="380" w:type="dxa"/>
            <w:vAlign w:val="bottom"/>
          </w:tcPr>
          <w:p>
            <w:pPr>
              <w:jc w:val="right"/>
              <w:ind w:right="204"/>
              <w:spacing w:after="0"/>
              <w:rPr>
                <w:sz w:val="20"/>
                <w:szCs w:val="20"/>
                <w:color w:val="auto"/>
              </w:rPr>
            </w:pPr>
            <w:r>
              <w:rPr>
                <w:rFonts w:ascii="Arial" w:cs="Arial" w:eastAsia="Arial" w:hAnsi="Arial"/>
                <w:sz w:val="15"/>
                <w:szCs w:val="15"/>
                <w:b w:val="1"/>
                <w:bCs w:val="1"/>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117,397</w:t>
            </w:r>
          </w:p>
        </w:tc>
        <w:tc>
          <w:tcPr>
            <w:tcW w:w="400" w:type="dxa"/>
            <w:vAlign w:val="bottom"/>
          </w:tcPr>
          <w:p>
            <w:pPr>
              <w:jc w:val="right"/>
              <w:ind w:right="204"/>
              <w:spacing w:after="0"/>
              <w:rPr>
                <w:sz w:val="20"/>
                <w:szCs w:val="20"/>
                <w:color w:val="auto"/>
              </w:rPr>
            </w:pPr>
            <w:r>
              <w:rPr>
                <w:rFonts w:ascii="Arial" w:cs="Arial" w:eastAsia="Arial" w:hAnsi="Arial"/>
                <w:sz w:val="15"/>
                <w:szCs w:val="15"/>
                <w:color w:val="183964"/>
              </w:rPr>
              <w:t>$</w:t>
            </w:r>
          </w:p>
        </w:tc>
        <w:tc>
          <w:tcPr>
            <w:tcW w:w="900" w:type="dxa"/>
            <w:vAlign w:val="bottom"/>
          </w:tcPr>
          <w:p>
            <w:pPr>
              <w:jc w:val="right"/>
              <w:spacing w:after="0"/>
              <w:rPr>
                <w:sz w:val="20"/>
                <w:szCs w:val="20"/>
                <w:color w:val="auto"/>
              </w:rPr>
            </w:pPr>
            <w:r>
              <w:rPr>
                <w:rFonts w:ascii="Arial" w:cs="Arial" w:eastAsia="Arial" w:hAnsi="Arial"/>
                <w:sz w:val="15"/>
                <w:szCs w:val="15"/>
                <w:color w:val="183964"/>
              </w:rPr>
              <w:t>200,649</w:t>
            </w:r>
          </w:p>
        </w:tc>
        <w:tc>
          <w:tcPr>
            <w:tcW w:w="380" w:type="dxa"/>
            <w:vAlign w:val="bottom"/>
          </w:tcPr>
          <w:p>
            <w:pPr>
              <w:jc w:val="right"/>
              <w:ind w:right="204"/>
              <w:spacing w:after="0"/>
              <w:rPr>
                <w:sz w:val="20"/>
                <w:szCs w:val="20"/>
                <w:color w:val="auto"/>
              </w:rPr>
            </w:pPr>
            <w:r>
              <w:rPr>
                <w:rFonts w:ascii="Arial" w:cs="Arial" w:eastAsia="Arial" w:hAnsi="Arial"/>
                <w:sz w:val="15"/>
                <w:szCs w:val="15"/>
                <w:color w:val="183964"/>
                <w:w w:val="95"/>
              </w:rPr>
              <w:t>$</w:t>
            </w:r>
          </w:p>
        </w:tc>
        <w:tc>
          <w:tcPr>
            <w:tcW w:w="920" w:type="dxa"/>
            <w:vAlign w:val="bottom"/>
          </w:tcPr>
          <w:p>
            <w:pPr>
              <w:jc w:val="right"/>
              <w:spacing w:after="0"/>
              <w:rPr>
                <w:sz w:val="20"/>
                <w:szCs w:val="20"/>
                <w:color w:val="auto"/>
              </w:rPr>
            </w:pPr>
            <w:r>
              <w:rPr>
                <w:rFonts w:ascii="Arial" w:cs="Arial" w:eastAsia="Arial" w:hAnsi="Arial"/>
                <w:sz w:val="15"/>
                <w:szCs w:val="15"/>
                <w:color w:val="183964"/>
              </w:rPr>
              <w:t>(83,252)</w:t>
            </w:r>
          </w:p>
        </w:tc>
      </w:tr>
      <w:tr>
        <w:trPr>
          <w:trHeight w:val="25"/>
        </w:trPr>
        <w:tc>
          <w:tcPr>
            <w:tcW w:w="7360" w:type="dxa"/>
            <w:vAlign w:val="bottom"/>
            <w:tcBorders>
              <w:bottom w:val="single" w:sz="8" w:color="183964"/>
            </w:tcBorders>
          </w:tcPr>
          <w:p>
            <w:pPr>
              <w:spacing w:after="0"/>
              <w:rPr>
                <w:sz w:val="2"/>
                <w:szCs w:val="2"/>
                <w:color w:val="auto"/>
              </w:rPr>
            </w:pPr>
          </w:p>
        </w:tc>
        <w:tc>
          <w:tcPr>
            <w:tcW w:w="380" w:type="dxa"/>
            <w:vAlign w:val="bottom"/>
            <w:tcBorders>
              <w:bottom w:val="single" w:sz="8" w:color="183964"/>
            </w:tcBorders>
          </w:tcPr>
          <w:p>
            <w:pPr>
              <w:spacing w:after="0"/>
              <w:rPr>
                <w:sz w:val="2"/>
                <w:szCs w:val="2"/>
                <w:color w:val="auto"/>
              </w:rPr>
            </w:pPr>
          </w:p>
        </w:tc>
        <w:tc>
          <w:tcPr>
            <w:tcW w:w="900" w:type="dxa"/>
            <w:vAlign w:val="bottom"/>
            <w:tcBorders>
              <w:bottom w:val="single" w:sz="8" w:color="183964"/>
            </w:tcBorders>
          </w:tcPr>
          <w:p>
            <w:pPr>
              <w:spacing w:after="0"/>
              <w:rPr>
                <w:sz w:val="2"/>
                <w:szCs w:val="2"/>
                <w:color w:val="auto"/>
              </w:rPr>
            </w:pPr>
          </w:p>
        </w:tc>
        <w:tc>
          <w:tcPr>
            <w:tcW w:w="400" w:type="dxa"/>
            <w:vAlign w:val="bottom"/>
            <w:tcBorders>
              <w:bottom w:val="single" w:sz="8" w:color="183964"/>
            </w:tcBorders>
          </w:tcPr>
          <w:p>
            <w:pPr>
              <w:spacing w:after="0"/>
              <w:rPr>
                <w:sz w:val="2"/>
                <w:szCs w:val="2"/>
                <w:color w:val="auto"/>
              </w:rPr>
            </w:pPr>
          </w:p>
        </w:tc>
        <w:tc>
          <w:tcPr>
            <w:tcW w:w="900" w:type="dxa"/>
            <w:vAlign w:val="bottom"/>
            <w:tcBorders>
              <w:bottom w:val="single" w:sz="8" w:color="183964"/>
            </w:tcBorders>
          </w:tcPr>
          <w:p>
            <w:pPr>
              <w:spacing w:after="0"/>
              <w:rPr>
                <w:sz w:val="2"/>
                <w:szCs w:val="2"/>
                <w:color w:val="auto"/>
              </w:rPr>
            </w:pPr>
          </w:p>
        </w:tc>
        <w:tc>
          <w:tcPr>
            <w:tcW w:w="380" w:type="dxa"/>
            <w:vAlign w:val="bottom"/>
            <w:tcBorders>
              <w:bottom w:val="single" w:sz="8" w:color="183964"/>
            </w:tcBorders>
          </w:tcPr>
          <w:p>
            <w:pPr>
              <w:spacing w:after="0"/>
              <w:rPr>
                <w:sz w:val="2"/>
                <w:szCs w:val="2"/>
                <w:color w:val="auto"/>
              </w:rPr>
            </w:pPr>
          </w:p>
        </w:tc>
        <w:tc>
          <w:tcPr>
            <w:tcW w:w="920" w:type="dxa"/>
            <w:vAlign w:val="bottom"/>
            <w:tcBorders>
              <w:bottom w:val="single" w:sz="8" w:color="183964"/>
            </w:tcBorders>
          </w:tcPr>
          <w:p>
            <w:pPr>
              <w:spacing w:after="0"/>
              <w:rPr>
                <w:sz w:val="2"/>
                <w:szCs w:val="2"/>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5"/>
          <w:szCs w:val="15"/>
          <w:color w:val="183964"/>
        </w:rPr>
        <w:t>Operating Activities</w:t>
      </w:r>
    </w:p>
    <w:p>
      <w:pPr>
        <w:spacing w:after="0" w:line="28" w:lineRule="exact"/>
        <w:rPr>
          <w:sz w:val="20"/>
          <w:szCs w:val="20"/>
          <w:color w:val="auto"/>
        </w:rPr>
      </w:pPr>
    </w:p>
    <w:p>
      <w:pPr>
        <w:ind w:right="20"/>
        <w:spacing w:after="0" w:line="259" w:lineRule="auto"/>
        <w:rPr>
          <w:sz w:val="20"/>
          <w:szCs w:val="20"/>
          <w:color w:val="auto"/>
        </w:rPr>
      </w:pPr>
      <w:r>
        <w:rPr>
          <w:rFonts w:ascii="Arial" w:cs="Arial" w:eastAsia="Arial" w:hAnsi="Arial"/>
          <w:sz w:val="15"/>
          <w:szCs w:val="15"/>
          <w:color w:val="auto"/>
        </w:rPr>
        <w:t>Net cash used in operating activities was $80.0 million for the six months ended June 30, 2024, as compared to $65.1 million for the six months ended June 30, 2023, an increase of $14.9 million in net cash used in operating activities. The increase in cash outflows is primarily attributable to $ 15.1 million increase in estimated tax payments related to the sale of the Karuna shares and $19.0 million change in operating assets and liabilities including $10.8 million change in operating assets largely related to accounts receivable and $8.2 million change in operating liabilities due to the timing of payments in the normal course of business, partially offset by $9.8 million decrease in operating loss and $7.2 million increase in cash receipts from interest income.</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183964"/>
        </w:rPr>
        <w:t>Investing Activities</w:t>
      </w:r>
    </w:p>
    <w:p>
      <w:pPr>
        <w:spacing w:after="0" w:line="17" w:lineRule="exact"/>
        <w:rPr>
          <w:sz w:val="20"/>
          <w:szCs w:val="20"/>
          <w:color w:val="auto"/>
        </w:rPr>
      </w:pPr>
    </w:p>
    <w:p>
      <w:pPr>
        <w:ind w:right="460"/>
        <w:spacing w:after="0" w:line="282" w:lineRule="auto"/>
        <w:rPr>
          <w:sz w:val="20"/>
          <w:szCs w:val="20"/>
          <w:color w:val="auto"/>
        </w:rPr>
      </w:pPr>
      <w:r>
        <w:rPr>
          <w:rFonts w:ascii="Arial" w:cs="Arial" w:eastAsia="Arial" w:hAnsi="Arial"/>
          <w:sz w:val="15"/>
          <w:szCs w:val="15"/>
          <w:color w:val="auto"/>
        </w:rPr>
        <w:t>Net cash provided by investing activities was $236.5 million for the six months ended June 30, 2024, as compared to net cash provided by investing activities of $173.9 million for the six months ended June 30, 2023, an increase of $62.6 million in net cash provided by investing activities.</w:t>
      </w:r>
    </w:p>
    <w:p>
      <w:pPr>
        <w:spacing w:after="0" w:line="40" w:lineRule="exact"/>
        <w:rPr>
          <w:sz w:val="20"/>
          <w:szCs w:val="20"/>
          <w:color w:val="auto"/>
        </w:rPr>
      </w:pPr>
    </w:p>
    <w:p>
      <w:pPr>
        <w:ind w:right="120"/>
        <w:spacing w:after="0" w:line="273" w:lineRule="auto"/>
        <w:rPr>
          <w:sz w:val="20"/>
          <w:szCs w:val="20"/>
          <w:color w:val="auto"/>
        </w:rPr>
      </w:pPr>
      <w:r>
        <w:rPr>
          <w:rFonts w:ascii="Arial" w:cs="Arial" w:eastAsia="Arial" w:hAnsi="Arial"/>
          <w:sz w:val="15"/>
          <w:szCs w:val="15"/>
          <w:color w:val="auto"/>
        </w:rPr>
        <w:t>The increase in the net cash inflow was primarily attributed to the $292.7 million proceeds received from the sale of Karuna shares in 2024, and two investing cash outflows in 2023 that did not occur in 2024 ($15.4 million investments in subsidiary notes, $13.8 million cash deduction from the deconsolidation of Vedanta) partially offset by increased cash outflow from short-term investment activities (redemptions, net of purchases) amounting to $258.8 million.</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color w:val="183964"/>
        </w:rPr>
        <w:t>Financing Activities</w:t>
      </w:r>
    </w:p>
    <w:p>
      <w:pPr>
        <w:spacing w:after="0" w:line="17" w:lineRule="exact"/>
        <w:rPr>
          <w:sz w:val="20"/>
          <w:szCs w:val="20"/>
          <w:color w:val="auto"/>
        </w:rPr>
      </w:pPr>
    </w:p>
    <w:p>
      <w:pPr>
        <w:ind w:right="220"/>
        <w:spacing w:after="0" w:line="259" w:lineRule="auto"/>
        <w:rPr>
          <w:sz w:val="20"/>
          <w:szCs w:val="20"/>
          <w:color w:val="auto"/>
        </w:rPr>
      </w:pPr>
      <w:r>
        <w:rPr>
          <w:rFonts w:ascii="Arial" w:cs="Arial" w:eastAsia="Arial" w:hAnsi="Arial"/>
          <w:sz w:val="15"/>
          <w:szCs w:val="15"/>
          <w:color w:val="auto"/>
        </w:rPr>
        <w:t>Net cash used by financing activities was $39.1 million for the six months ended June 30, 2024, as compared to net cash provided by financing activities of $91.9 million for the six months ended June 30, 2023, a decrease of $131.0 million in net cash from financing activities. The decrease in net cash from financing activities was primarily attributable to $100.0 million received during the six months ended June 30, 2023 in respect of the sale of future Karuna royalties, and no such proceeds received during the six months ended June 30, 2024. The decrease is further attributable to the $101.6 million cash used for the purchase of shares in connection with the Tender Offer (see note 10. Equity). The decreases were partially offset by an increase of $68.1 million proceeds received from the sale of preferred shares of Seaport.</w:t>
      </w:r>
    </w:p>
    <w:p>
      <w:pPr>
        <w:sectPr>
          <w:pgSz w:w="11900" w:h="16838" w:orient="portrait"/>
          <w:cols w:equalWidth="0" w:num="1">
            <w:col w:w="11240"/>
          </w:cols>
          <w:pgMar w:left="320" w:top="1322" w:right="339" w:bottom="1440" w:gutter="0" w:footer="0" w:header="0"/>
        </w:sectPr>
      </w:pPr>
    </w:p>
    <w:bookmarkStart w:id="17" w:name="page18"/>
    <w:bookmarkEnd w:id="17"/>
    <w:p>
      <w:pPr>
        <w:spacing w:after="0"/>
        <w:rPr>
          <w:sz w:val="20"/>
          <w:szCs w:val="20"/>
          <w:color w:val="auto"/>
        </w:rPr>
      </w:pPr>
      <w:r>
        <w:rPr>
          <w:rFonts w:ascii="Arial" w:cs="Arial" w:eastAsia="Arial" w:hAnsi="Arial"/>
          <w:sz w:val="15"/>
          <w:szCs w:val="15"/>
          <w:color w:val="183964"/>
        </w:rPr>
        <w:t>Funding Requirements</w:t>
      </w:r>
    </w:p>
    <w:p>
      <w:pPr>
        <w:spacing w:after="0" w:line="17"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We have incurred operating losses since inception. Based on our current plans, we believe our existing financial assets as of June 30, 2024 will be sufficient to fund our operations and capital expenditure requirements for at least three years. We expect to incur substantial additional expenditures in the near term to support our ongoing and future activities. We anticipate we will continue to incur net operating losses for the foreseeable future to support our existing Founded Entities and newly launched Founded Entities (Seaport Therapeutics and Gallop Oncology), and our strategy around creating and supporting other Founded Entities, should they require it, to reach significant development milestones over the period of the assessment in conjunction with our external partners. We also expect to incur significant costs to advance our Wholly-Owned Programs, to continue research and development efforts, to discover and progress new therapeutic candidates and to fund the Group’s operating costs for at least three years. Our ability to fund our therapeutic development and clinical operations as well as ability to fund our existing, newly founded and future Founded Entities, will depend on the amount and timing of cash received from planned financings, monetization of shares of public Founded Entities and potential business development activities. Our future capital requirements will depend on many factors, including:</w:t>
      </w:r>
    </w:p>
    <w:p>
      <w:pPr>
        <w:spacing w:after="0" w:line="59"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costs, timing and outcomes of clinical trials and regulatory reviews associated with our wholly-owned therapeutic candidates;</w:t>
      </w:r>
    </w:p>
    <w:p>
      <w:pPr>
        <w:spacing w:after="0" w:line="27" w:lineRule="exact"/>
        <w:rPr>
          <w:rFonts w:ascii="Arial" w:cs="Arial" w:eastAsia="Arial" w:hAnsi="Arial"/>
          <w:sz w:val="15"/>
          <w:szCs w:val="15"/>
          <w:color w:val="auto"/>
        </w:rPr>
      </w:pPr>
    </w:p>
    <w:p>
      <w:pPr>
        <w:ind w:left="180" w:hanging="172"/>
        <w:spacing w:after="0"/>
        <w:tabs>
          <w:tab w:leader="none" w:pos="1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costs of preparing, filing and prosecuting patent applications and maintaining, enforcing and defending intellectual property related claims;</w:t>
      </w:r>
    </w:p>
    <w:p>
      <w:pPr>
        <w:spacing w:after="0" w:line="5" w:lineRule="exact"/>
        <w:rPr>
          <w:rFonts w:ascii="Arial" w:cs="Arial" w:eastAsia="Arial" w:hAnsi="Arial"/>
          <w:sz w:val="15"/>
          <w:szCs w:val="15"/>
          <w:color w:val="auto"/>
        </w:rPr>
      </w:pPr>
    </w:p>
    <w:p>
      <w:pPr>
        <w:ind w:left="180" w:hanging="172"/>
        <w:spacing w:after="0"/>
        <w:tabs>
          <w:tab w:leader="none" w:pos="1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emergence of competing technologies and products and other adverse marketing developments;</w:t>
      </w:r>
    </w:p>
    <w:p>
      <w:pPr>
        <w:spacing w:after="0" w:line="13" w:lineRule="exact"/>
        <w:rPr>
          <w:rFonts w:ascii="Arial" w:cs="Arial" w:eastAsia="Arial" w:hAnsi="Arial"/>
          <w:sz w:val="15"/>
          <w:szCs w:val="15"/>
          <w:color w:val="auto"/>
        </w:rPr>
      </w:pPr>
    </w:p>
    <w:p>
      <w:pPr>
        <w:ind w:left="220" w:right="460" w:hanging="212"/>
        <w:spacing w:after="0" w:line="255" w:lineRule="auto"/>
        <w:tabs>
          <w:tab w:leader="none" w:pos="191"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effect on our therapeutic and product development activities of actions taken by the U.S. Food and Drug Administration (“FDA”), the European Medicines Agency (“EMA”) or other regulatory authorities;</w:t>
      </w:r>
    </w:p>
    <w:p>
      <w:pPr>
        <w:ind w:left="180" w:hanging="172"/>
        <w:spacing w:after="0"/>
        <w:tabs>
          <w:tab w:leader="none" w:pos="1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number and types of future therapeutics we develop and support with the goal of commercialization;</w:t>
      </w:r>
    </w:p>
    <w:p>
      <w:pPr>
        <w:spacing w:after="0" w:line="13" w:lineRule="exact"/>
        <w:rPr>
          <w:rFonts w:ascii="Arial" w:cs="Arial" w:eastAsia="Arial" w:hAnsi="Arial"/>
          <w:sz w:val="15"/>
          <w:szCs w:val="15"/>
          <w:color w:val="auto"/>
        </w:rPr>
      </w:pPr>
    </w:p>
    <w:p>
      <w:pPr>
        <w:ind w:left="220" w:right="40" w:hanging="212"/>
        <w:spacing w:after="0" w:line="253" w:lineRule="auto"/>
        <w:tabs>
          <w:tab w:leader="none" w:pos="191"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costs, timing and outcomes of identifying, evaluating, and investing in technologies and drug candidates to develop as Wholly-Owned Programs or as Founded Entities;</w:t>
      </w:r>
    </w:p>
    <w:p>
      <w:pPr>
        <w:ind w:left="220" w:right="120" w:hanging="212"/>
        <w:spacing w:after="0" w:line="256" w:lineRule="auto"/>
        <w:tabs>
          <w:tab w:leader="none" w:pos="191"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costs of commercialization activities for any of the therapeutic candidates within our Wholly Owned Program that receive marketing approval, including the costs and timing of establishing therapeutic sales, marketing, distribution and manufacturing capabilities, or entering into strategic collaborations with third parties to leverage or access these capabilities; and</w:t>
      </w:r>
    </w:p>
    <w:p>
      <w:pPr>
        <w:spacing w:after="0" w:line="1" w:lineRule="exact"/>
        <w:rPr>
          <w:rFonts w:ascii="Arial" w:cs="Arial" w:eastAsia="Arial" w:hAnsi="Arial"/>
          <w:sz w:val="15"/>
          <w:szCs w:val="15"/>
          <w:color w:val="auto"/>
        </w:rPr>
      </w:pPr>
    </w:p>
    <w:p>
      <w:pPr>
        <w:ind w:left="180" w:hanging="172"/>
        <w:spacing w:after="0"/>
        <w:tabs>
          <w:tab w:leader="none" w:pos="1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success of our Founded Entities and their need for additional capital.</w:t>
      </w:r>
    </w:p>
    <w:p>
      <w:pPr>
        <w:spacing w:after="0" w:line="86" w:lineRule="exact"/>
        <w:rPr>
          <w:sz w:val="20"/>
          <w:szCs w:val="20"/>
          <w:color w:val="auto"/>
        </w:rPr>
      </w:pPr>
    </w:p>
    <w:p>
      <w:pPr>
        <w:ind w:right="360"/>
        <w:spacing w:after="0" w:line="301" w:lineRule="auto"/>
        <w:rPr>
          <w:sz w:val="20"/>
          <w:szCs w:val="20"/>
          <w:color w:val="auto"/>
        </w:rPr>
      </w:pPr>
      <w:r>
        <w:rPr>
          <w:rFonts w:ascii="Arial" w:cs="Arial" w:eastAsia="Arial" w:hAnsi="Arial"/>
          <w:sz w:val="15"/>
          <w:szCs w:val="15"/>
          <w:color w:val="auto"/>
        </w:rPr>
        <w:t>A change in the outcome of any of these or other variables with respect to the development of any of our wholly-owned therapeutic candidates could significantly change the costs and timing associated with the development of that therapeutic candidate.</w:t>
      </w:r>
    </w:p>
    <w:p>
      <w:pPr>
        <w:spacing w:after="0" w:line="26" w:lineRule="exact"/>
        <w:rPr>
          <w:sz w:val="20"/>
          <w:szCs w:val="20"/>
          <w:color w:val="auto"/>
        </w:rPr>
      </w:pPr>
    </w:p>
    <w:p>
      <w:pPr>
        <w:ind w:right="100"/>
        <w:spacing w:after="0" w:line="263" w:lineRule="auto"/>
        <w:rPr>
          <w:sz w:val="20"/>
          <w:szCs w:val="20"/>
          <w:color w:val="auto"/>
        </w:rPr>
      </w:pPr>
      <w:r>
        <w:rPr>
          <w:rFonts w:ascii="Arial" w:cs="Arial" w:eastAsia="Arial" w:hAnsi="Arial"/>
          <w:sz w:val="15"/>
          <w:szCs w:val="15"/>
          <w:color w:val="auto"/>
        </w:rPr>
        <w:t>Further, our operating plans may change, and we may need additional funds to meet operational needs and capital requirements for clinical trials and other research and development activities. We currently have no credit facility or other committed sources of capital beyond our existing financial assets. Because of the numerous risks and uncertainties associated with the development and commercialization of our wholly-owned therapeutic candidates, we have only a general estimate of the amounts of increased capital outlays and operating expenditures associated with our current and anticipated therapeutic development programs and these may change in the future.</w:t>
      </w:r>
    </w:p>
    <w:p>
      <w:pPr>
        <w:sectPr>
          <w:pgSz w:w="11900" w:h="16838" w:orient="portrait"/>
          <w:cols w:equalWidth="0" w:num="1">
            <w:col w:w="11220"/>
          </w:cols>
          <w:pgMar w:left="320" w:top="1243" w:right="359" w:bottom="1440" w:gutter="0" w:footer="0" w:header="0"/>
        </w:sectPr>
      </w:pPr>
    </w:p>
    <w:bookmarkStart w:id="18" w:name="page19"/>
    <w:bookmarkEnd w:id="18"/>
    <w:p>
      <w:pPr>
        <w:jc w:val="right"/>
        <w:spacing w:after="0"/>
        <w:rPr>
          <w:sz w:val="20"/>
          <w:szCs w:val="20"/>
          <w:color w:val="auto"/>
        </w:rPr>
      </w:pPr>
      <w:r>
        <w:rPr>
          <w:rFonts w:ascii="Arial" w:cs="Arial" w:eastAsia="Arial" w:hAnsi="Arial"/>
          <w:sz w:val="22"/>
          <w:szCs w:val="22"/>
          <w:b w:val="1"/>
          <w:bCs w:val="1"/>
          <w:color w:val="183964"/>
        </w:rPr>
        <w:t>Exhibit 99.3</w:t>
      </w:r>
    </w:p>
    <w:p>
      <w:pPr>
        <w:spacing w:after="0" w:line="344" w:lineRule="exact"/>
        <w:rPr>
          <w:sz w:val="20"/>
          <w:szCs w:val="20"/>
          <w:color w:val="auto"/>
        </w:rPr>
      </w:pPr>
    </w:p>
    <w:p>
      <w:pPr>
        <w:spacing w:after="0"/>
        <w:rPr>
          <w:sz w:val="20"/>
          <w:szCs w:val="20"/>
          <w:color w:val="auto"/>
        </w:rPr>
      </w:pPr>
      <w:r>
        <w:rPr>
          <w:rFonts w:ascii="Arial" w:cs="Arial" w:eastAsia="Arial" w:hAnsi="Arial"/>
          <w:sz w:val="31"/>
          <w:szCs w:val="31"/>
          <w:b w:val="1"/>
          <w:bCs w:val="1"/>
          <w:color w:val="183964"/>
        </w:rPr>
        <w:t>Condensed Consolidated Statement of Comprehensive Income/(Loss)</w:t>
      </w:r>
    </w:p>
    <w:p>
      <w:pPr>
        <w:spacing w:after="0" w:line="54" w:lineRule="exact"/>
        <w:rPr>
          <w:sz w:val="20"/>
          <w:szCs w:val="20"/>
          <w:color w:val="auto"/>
        </w:rPr>
      </w:pPr>
    </w:p>
    <w:p>
      <w:pPr>
        <w:spacing w:after="0"/>
        <w:rPr>
          <w:sz w:val="20"/>
          <w:szCs w:val="20"/>
          <w:color w:val="auto"/>
        </w:rPr>
      </w:pPr>
      <w:r>
        <w:rPr>
          <w:rFonts w:ascii="Arial" w:cs="Arial" w:eastAsia="Arial" w:hAnsi="Arial"/>
          <w:sz w:val="31"/>
          <w:szCs w:val="31"/>
          <w:b w:val="1"/>
          <w:bCs w:val="1"/>
          <w:color w:val="183964"/>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b w:val="1"/>
          <w:bCs w:val="1"/>
          <w:color w:val="183964"/>
        </w:rPr>
        <w:t>For the six months ended June 30</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3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280" w:type="dxa"/>
            <w:vAlign w:val="bottom"/>
          </w:tcPr>
          <w:p>
            <w:pPr>
              <w:jc w:val="right"/>
              <w:spacing w:after="0"/>
              <w:rPr>
                <w:sz w:val="20"/>
                <w:szCs w:val="20"/>
                <w:color w:val="auto"/>
              </w:rPr>
            </w:pPr>
            <w:r>
              <w:rPr>
                <w:rFonts w:ascii="Arial" w:cs="Arial" w:eastAsia="Arial" w:hAnsi="Arial"/>
                <w:sz w:val="13"/>
                <w:szCs w:val="13"/>
                <w:color w:val="183964"/>
              </w:rPr>
              <w:t>2023</w:t>
            </w:r>
          </w:p>
        </w:tc>
      </w:tr>
      <w:tr>
        <w:trPr>
          <w:trHeight w:val="172"/>
        </w:trPr>
        <w:tc>
          <w:tcPr>
            <w:tcW w:w="73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183964"/>
              </w:rPr>
              <w:t>Note</w:t>
            </w:r>
          </w:p>
        </w:tc>
        <w:tc>
          <w:tcPr>
            <w:tcW w:w="1300" w:type="dxa"/>
            <w:vAlign w:val="bottom"/>
          </w:tcPr>
          <w:p>
            <w:pPr>
              <w:jc w:val="right"/>
              <w:spacing w:after="0"/>
              <w:rPr>
                <w:sz w:val="20"/>
                <w:szCs w:val="20"/>
                <w:color w:val="auto"/>
              </w:rPr>
            </w:pPr>
            <w:r>
              <w:rPr>
                <w:rFonts w:ascii="Arial" w:cs="Arial" w:eastAsia="Arial" w:hAnsi="Arial"/>
                <w:sz w:val="13"/>
                <w:szCs w:val="13"/>
                <w:b w:val="1"/>
                <w:bCs w:val="1"/>
                <w:color w:val="auto"/>
              </w:rPr>
              <w:t>$000s</w:t>
            </w:r>
          </w:p>
        </w:tc>
        <w:tc>
          <w:tcPr>
            <w:tcW w:w="1280" w:type="dxa"/>
            <w:vAlign w:val="bottom"/>
          </w:tcPr>
          <w:p>
            <w:pPr>
              <w:jc w:val="right"/>
              <w:spacing w:after="0"/>
              <w:rPr>
                <w:sz w:val="20"/>
                <w:szCs w:val="20"/>
                <w:color w:val="auto"/>
              </w:rPr>
            </w:pPr>
            <w:r>
              <w:rPr>
                <w:rFonts w:ascii="Arial" w:cs="Arial" w:eastAsia="Arial" w:hAnsi="Arial"/>
                <w:sz w:val="13"/>
                <w:szCs w:val="13"/>
                <w:color w:val="183964"/>
              </w:rPr>
              <w:t>$000s</w:t>
            </w:r>
          </w:p>
        </w:tc>
      </w:tr>
      <w:tr>
        <w:trPr>
          <w:trHeight w:val="22"/>
        </w:trPr>
        <w:tc>
          <w:tcPr>
            <w:tcW w:w="7340" w:type="dxa"/>
            <w:vAlign w:val="bottom"/>
            <w:tcBorders>
              <w:bottom w:val="single" w:sz="8" w:color="001544"/>
            </w:tcBorders>
          </w:tcPr>
          <w:p>
            <w:pPr>
              <w:spacing w:after="0" w:line="20" w:lineRule="exact"/>
              <w:rPr>
                <w:sz w:val="1"/>
                <w:szCs w:val="1"/>
                <w:color w:val="auto"/>
              </w:rPr>
            </w:pPr>
          </w:p>
        </w:tc>
        <w:tc>
          <w:tcPr>
            <w:tcW w:w="1300" w:type="dxa"/>
            <w:vAlign w:val="bottom"/>
            <w:tcBorders>
              <w:bottom w:val="single" w:sz="8" w:color="183964"/>
            </w:tcBorders>
          </w:tcPr>
          <w:p>
            <w:pPr>
              <w:spacing w:after="0" w:line="20" w:lineRule="exact"/>
              <w:rPr>
                <w:sz w:val="1"/>
                <w:szCs w:val="1"/>
                <w:color w:val="auto"/>
              </w:rPr>
            </w:pPr>
          </w:p>
        </w:tc>
        <w:tc>
          <w:tcPr>
            <w:tcW w:w="1300" w:type="dxa"/>
            <w:vAlign w:val="bottom"/>
            <w:tcBorders>
              <w:bottom w:val="single" w:sz="8" w:color="001544"/>
            </w:tcBorders>
          </w:tcPr>
          <w:p>
            <w:pPr>
              <w:spacing w:after="0" w:line="20" w:lineRule="exact"/>
              <w:rPr>
                <w:sz w:val="1"/>
                <w:szCs w:val="1"/>
                <w:color w:val="auto"/>
              </w:rPr>
            </w:pPr>
          </w:p>
        </w:tc>
        <w:tc>
          <w:tcPr>
            <w:tcW w:w="1280" w:type="dxa"/>
            <w:vAlign w:val="bottom"/>
            <w:tcBorders>
              <w:bottom w:val="single" w:sz="8" w:color="001544"/>
            </w:tcBorders>
          </w:tcPr>
          <w:p>
            <w:pPr>
              <w:spacing w:after="0" w:line="20" w:lineRule="exact"/>
              <w:rPr>
                <w:sz w:val="1"/>
                <w:szCs w:val="1"/>
                <w:color w:val="auto"/>
              </w:rPr>
            </w:pPr>
          </w:p>
        </w:tc>
      </w:tr>
      <w:tr>
        <w:trPr>
          <w:trHeight w:val="211"/>
        </w:trPr>
        <w:tc>
          <w:tcPr>
            <w:tcW w:w="7340" w:type="dxa"/>
            <w:vAlign w:val="bottom"/>
          </w:tcPr>
          <w:p>
            <w:pPr>
              <w:ind w:left="20"/>
              <w:spacing w:after="0"/>
              <w:rPr>
                <w:sz w:val="20"/>
                <w:szCs w:val="20"/>
                <w:color w:val="auto"/>
              </w:rPr>
            </w:pPr>
            <w:r>
              <w:rPr>
                <w:rFonts w:ascii="Arial" w:cs="Arial" w:eastAsia="Arial" w:hAnsi="Arial"/>
                <w:sz w:val="15"/>
                <w:szCs w:val="15"/>
                <w:color w:val="auto"/>
              </w:rPr>
              <w:t>Contract revenue</w:t>
            </w:r>
          </w:p>
        </w:tc>
        <w:tc>
          <w:tcPr>
            <w:tcW w:w="1300" w:type="dxa"/>
            <w:vAlign w:val="bottom"/>
          </w:tcPr>
          <w:p>
            <w:pPr>
              <w:spacing w:after="0"/>
              <w:rPr>
                <w:sz w:val="18"/>
                <w:szCs w:val="18"/>
                <w:color w:val="auto"/>
              </w:rPr>
            </w:pPr>
          </w:p>
        </w:tc>
        <w:tc>
          <w:tcPr>
            <w:tcW w:w="1300" w:type="dxa"/>
            <w:vAlign w:val="bottom"/>
          </w:tcPr>
          <w:p>
            <w:pPr>
              <w:jc w:val="right"/>
              <w:ind w:right="5"/>
              <w:spacing w:after="0"/>
              <w:rPr>
                <w:sz w:val="20"/>
                <w:szCs w:val="20"/>
                <w:color w:val="auto"/>
              </w:rPr>
            </w:pPr>
            <w:r>
              <w:rPr>
                <w:rFonts w:ascii="Arial" w:cs="Arial" w:eastAsia="Arial" w:hAnsi="Arial"/>
                <w:sz w:val="15"/>
                <w:szCs w:val="15"/>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183964"/>
              </w:rPr>
              <w:t>750</w:t>
            </w:r>
          </w:p>
        </w:tc>
      </w:tr>
      <w:tr>
        <w:trPr>
          <w:trHeight w:val="243"/>
        </w:trPr>
        <w:tc>
          <w:tcPr>
            <w:tcW w:w="7340" w:type="dxa"/>
            <w:vAlign w:val="bottom"/>
          </w:tcPr>
          <w:p>
            <w:pPr>
              <w:ind w:left="20"/>
              <w:spacing w:after="0"/>
              <w:rPr>
                <w:sz w:val="20"/>
                <w:szCs w:val="20"/>
                <w:color w:val="auto"/>
              </w:rPr>
            </w:pPr>
            <w:r>
              <w:rPr>
                <w:rFonts w:ascii="Arial" w:cs="Arial" w:eastAsia="Arial" w:hAnsi="Arial"/>
                <w:sz w:val="15"/>
                <w:szCs w:val="15"/>
                <w:color w:val="auto"/>
              </w:rPr>
              <w:t>Grant revenue</w:t>
            </w:r>
          </w:p>
        </w:tc>
        <w:tc>
          <w:tcPr>
            <w:tcW w:w="1300" w:type="dxa"/>
            <w:vAlign w:val="bottom"/>
          </w:tcPr>
          <w:p>
            <w:pPr>
              <w:spacing w:after="0"/>
              <w:rPr>
                <w:sz w:val="21"/>
                <w:szCs w:val="21"/>
                <w:color w:val="auto"/>
              </w:rPr>
            </w:pPr>
          </w:p>
        </w:tc>
        <w:tc>
          <w:tcPr>
            <w:tcW w:w="1300" w:type="dxa"/>
            <w:vAlign w:val="bottom"/>
          </w:tcPr>
          <w:p>
            <w:pPr>
              <w:jc w:val="right"/>
              <w:ind w:right="5"/>
              <w:spacing w:after="0"/>
              <w:rPr>
                <w:sz w:val="20"/>
                <w:szCs w:val="20"/>
                <w:color w:val="auto"/>
              </w:rPr>
            </w:pPr>
            <w:r>
              <w:rPr>
                <w:rFonts w:ascii="Arial" w:cs="Arial" w:eastAsia="Arial" w:hAnsi="Arial"/>
                <w:sz w:val="15"/>
                <w:szCs w:val="15"/>
                <w:b w:val="1"/>
                <w:bCs w:val="1"/>
                <w:color w:val="auto"/>
              </w:rPr>
              <w:t>288</w:t>
            </w:r>
          </w:p>
        </w:tc>
        <w:tc>
          <w:tcPr>
            <w:tcW w:w="1280" w:type="dxa"/>
            <w:vAlign w:val="bottom"/>
          </w:tcPr>
          <w:p>
            <w:pPr>
              <w:jc w:val="right"/>
              <w:spacing w:after="0"/>
              <w:rPr>
                <w:sz w:val="20"/>
                <w:szCs w:val="20"/>
                <w:color w:val="auto"/>
              </w:rPr>
            </w:pPr>
            <w:r>
              <w:rPr>
                <w:rFonts w:ascii="Arial" w:cs="Arial" w:eastAsia="Arial" w:hAnsi="Arial"/>
                <w:sz w:val="15"/>
                <w:szCs w:val="15"/>
                <w:color w:val="183964"/>
              </w:rPr>
              <w:t>2,400</w:t>
            </w:r>
          </w:p>
        </w:tc>
      </w:tr>
      <w:tr>
        <w:trPr>
          <w:trHeight w:val="25"/>
        </w:trPr>
        <w:tc>
          <w:tcPr>
            <w:tcW w:w="7340" w:type="dxa"/>
            <w:vAlign w:val="bottom"/>
            <w:tcBorders>
              <w:bottom w:val="single" w:sz="8" w:color="183964"/>
            </w:tcBorders>
          </w:tcPr>
          <w:p>
            <w:pPr>
              <w:spacing w:after="0"/>
              <w:rPr>
                <w:sz w:val="2"/>
                <w:szCs w:val="2"/>
                <w:color w:val="auto"/>
              </w:rPr>
            </w:pPr>
          </w:p>
        </w:tc>
        <w:tc>
          <w:tcPr>
            <w:tcW w:w="1300" w:type="dxa"/>
            <w:vAlign w:val="bottom"/>
            <w:tcBorders>
              <w:bottom w:val="single" w:sz="8" w:color="183964"/>
            </w:tcBorders>
          </w:tcPr>
          <w:p>
            <w:pPr>
              <w:spacing w:after="0"/>
              <w:rPr>
                <w:sz w:val="2"/>
                <w:szCs w:val="2"/>
                <w:color w:val="auto"/>
              </w:rPr>
            </w:pPr>
          </w:p>
        </w:tc>
        <w:tc>
          <w:tcPr>
            <w:tcW w:w="1300" w:type="dxa"/>
            <w:vAlign w:val="bottom"/>
            <w:tcBorders>
              <w:bottom w:val="single" w:sz="8" w:color="183964"/>
            </w:tcBorders>
          </w:tcPr>
          <w:p>
            <w:pPr>
              <w:spacing w:after="0"/>
              <w:rPr>
                <w:sz w:val="2"/>
                <w:szCs w:val="2"/>
                <w:color w:val="auto"/>
              </w:rPr>
            </w:pPr>
          </w:p>
        </w:tc>
        <w:tc>
          <w:tcPr>
            <w:tcW w:w="1280" w:type="dxa"/>
            <w:vAlign w:val="bottom"/>
            <w:tcBorders>
              <w:bottom w:val="single" w:sz="8" w:color="183964"/>
            </w:tcBorders>
          </w:tcPr>
          <w:p>
            <w:pPr>
              <w:spacing w:after="0"/>
              <w:rPr>
                <w:sz w:val="2"/>
                <w:szCs w:val="2"/>
                <w:color w:val="auto"/>
              </w:rPr>
            </w:pPr>
          </w:p>
        </w:tc>
      </w:tr>
      <w:tr>
        <w:trPr>
          <w:trHeight w:val="211"/>
        </w:trPr>
        <w:tc>
          <w:tcPr>
            <w:tcW w:w="7340" w:type="dxa"/>
            <w:vAlign w:val="bottom"/>
          </w:tcPr>
          <w:p>
            <w:pPr>
              <w:ind w:left="20"/>
              <w:spacing w:after="0"/>
              <w:rPr>
                <w:sz w:val="20"/>
                <w:szCs w:val="20"/>
                <w:color w:val="auto"/>
              </w:rPr>
            </w:pPr>
            <w:r>
              <w:rPr>
                <w:rFonts w:ascii="Arial" w:cs="Arial" w:eastAsia="Arial" w:hAnsi="Arial"/>
                <w:sz w:val="15"/>
                <w:szCs w:val="15"/>
                <w:b w:val="1"/>
                <w:bCs w:val="1"/>
                <w:color w:val="auto"/>
              </w:rPr>
              <w:t>Total revenue</w:t>
            </w:r>
          </w:p>
        </w:tc>
        <w:tc>
          <w:tcPr>
            <w:tcW w:w="1300" w:type="dxa"/>
            <w:vAlign w:val="bottom"/>
          </w:tcPr>
          <w:p>
            <w:pPr>
              <w:spacing w:after="0"/>
              <w:rPr>
                <w:sz w:val="18"/>
                <w:szCs w:val="18"/>
                <w:color w:val="auto"/>
              </w:rPr>
            </w:pPr>
          </w:p>
        </w:tc>
        <w:tc>
          <w:tcPr>
            <w:tcW w:w="1300" w:type="dxa"/>
            <w:vAlign w:val="bottom"/>
          </w:tcPr>
          <w:p>
            <w:pPr>
              <w:jc w:val="right"/>
              <w:ind w:right="5"/>
              <w:spacing w:after="0"/>
              <w:rPr>
                <w:sz w:val="20"/>
                <w:szCs w:val="20"/>
                <w:color w:val="auto"/>
              </w:rPr>
            </w:pPr>
            <w:r>
              <w:rPr>
                <w:rFonts w:ascii="Arial" w:cs="Arial" w:eastAsia="Arial" w:hAnsi="Arial"/>
                <w:sz w:val="15"/>
                <w:szCs w:val="15"/>
                <w:b w:val="1"/>
                <w:bCs w:val="1"/>
                <w:color w:val="auto"/>
              </w:rPr>
              <w:t>288</w:t>
            </w:r>
          </w:p>
        </w:tc>
        <w:tc>
          <w:tcPr>
            <w:tcW w:w="1280" w:type="dxa"/>
            <w:vAlign w:val="bottom"/>
          </w:tcPr>
          <w:p>
            <w:pPr>
              <w:jc w:val="right"/>
              <w:spacing w:after="0"/>
              <w:rPr>
                <w:sz w:val="20"/>
                <w:szCs w:val="20"/>
                <w:color w:val="auto"/>
              </w:rPr>
            </w:pPr>
            <w:r>
              <w:rPr>
                <w:rFonts w:ascii="Arial" w:cs="Arial" w:eastAsia="Arial" w:hAnsi="Arial"/>
                <w:sz w:val="15"/>
                <w:szCs w:val="15"/>
                <w:color w:val="183964"/>
              </w:rPr>
              <w:t>3,150</w:t>
            </w:r>
          </w:p>
        </w:tc>
      </w:tr>
      <w:tr>
        <w:trPr>
          <w:trHeight w:val="25"/>
        </w:trPr>
        <w:tc>
          <w:tcPr>
            <w:tcW w:w="7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3"/>
        </w:trPr>
        <w:tc>
          <w:tcPr>
            <w:tcW w:w="7340" w:type="dxa"/>
            <w:vAlign w:val="bottom"/>
          </w:tcPr>
          <w:p>
            <w:pPr>
              <w:ind w:left="20"/>
              <w:spacing w:after="0"/>
              <w:rPr>
                <w:sz w:val="20"/>
                <w:szCs w:val="20"/>
                <w:color w:val="auto"/>
              </w:rPr>
            </w:pPr>
            <w:r>
              <w:rPr>
                <w:rFonts w:ascii="Arial" w:cs="Arial" w:eastAsia="Arial" w:hAnsi="Arial"/>
                <w:sz w:val="15"/>
                <w:szCs w:val="15"/>
                <w:color w:val="auto"/>
              </w:rPr>
              <w:t>Operating expenses:</w:t>
            </w:r>
          </w:p>
        </w:tc>
        <w:tc>
          <w:tcPr>
            <w:tcW w:w="1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51"/>
        </w:trPr>
        <w:tc>
          <w:tcPr>
            <w:tcW w:w="7340" w:type="dxa"/>
            <w:vAlign w:val="bottom"/>
          </w:tcPr>
          <w:p>
            <w:pPr>
              <w:ind w:left="120"/>
              <w:spacing w:after="0"/>
              <w:rPr>
                <w:sz w:val="20"/>
                <w:szCs w:val="20"/>
                <w:color w:val="auto"/>
              </w:rPr>
            </w:pPr>
            <w:r>
              <w:rPr>
                <w:rFonts w:ascii="Arial" w:cs="Arial" w:eastAsia="Arial" w:hAnsi="Arial"/>
                <w:sz w:val="15"/>
                <w:szCs w:val="15"/>
                <w:color w:val="auto"/>
              </w:rPr>
              <w:t>General and administrative expenses</w:t>
            </w:r>
          </w:p>
        </w:tc>
        <w:tc>
          <w:tcPr>
            <w:tcW w:w="1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5"/>
                <w:szCs w:val="15"/>
                <w:b w:val="1"/>
                <w:bCs w:val="1"/>
                <w:color w:val="auto"/>
              </w:rPr>
              <w:t>(27,758)</w:t>
            </w:r>
          </w:p>
        </w:tc>
        <w:tc>
          <w:tcPr>
            <w:tcW w:w="1280" w:type="dxa"/>
            <w:vAlign w:val="bottom"/>
          </w:tcPr>
          <w:p>
            <w:pPr>
              <w:jc w:val="right"/>
              <w:spacing w:after="0"/>
              <w:rPr>
                <w:sz w:val="20"/>
                <w:szCs w:val="20"/>
                <w:color w:val="auto"/>
              </w:rPr>
            </w:pPr>
            <w:r>
              <w:rPr>
                <w:rFonts w:ascii="Arial" w:cs="Arial" w:eastAsia="Arial" w:hAnsi="Arial"/>
                <w:sz w:val="15"/>
                <w:szCs w:val="15"/>
                <w:color w:val="183964"/>
              </w:rPr>
              <w:t>(26,166)</w:t>
            </w:r>
          </w:p>
        </w:tc>
      </w:tr>
      <w:tr>
        <w:trPr>
          <w:trHeight w:val="243"/>
        </w:trPr>
        <w:tc>
          <w:tcPr>
            <w:tcW w:w="7340" w:type="dxa"/>
            <w:vAlign w:val="bottom"/>
          </w:tcPr>
          <w:p>
            <w:pPr>
              <w:ind w:left="120"/>
              <w:spacing w:after="0"/>
              <w:rPr>
                <w:sz w:val="20"/>
                <w:szCs w:val="20"/>
                <w:color w:val="auto"/>
              </w:rPr>
            </w:pPr>
            <w:r>
              <w:rPr>
                <w:rFonts w:ascii="Arial" w:cs="Arial" w:eastAsia="Arial" w:hAnsi="Arial"/>
                <w:sz w:val="15"/>
                <w:szCs w:val="15"/>
                <w:color w:val="auto"/>
              </w:rPr>
              <w:t>Research and development expenses</w:t>
            </w:r>
          </w:p>
        </w:tc>
        <w:tc>
          <w:tcPr>
            <w:tcW w:w="1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5"/>
                <w:szCs w:val="15"/>
                <w:b w:val="1"/>
                <w:bCs w:val="1"/>
                <w:color w:val="auto"/>
              </w:rPr>
              <w:t>(38,928)</w:t>
            </w:r>
          </w:p>
        </w:tc>
        <w:tc>
          <w:tcPr>
            <w:tcW w:w="1280" w:type="dxa"/>
            <w:vAlign w:val="bottom"/>
          </w:tcPr>
          <w:p>
            <w:pPr>
              <w:jc w:val="right"/>
              <w:spacing w:after="0"/>
              <w:rPr>
                <w:sz w:val="20"/>
                <w:szCs w:val="20"/>
                <w:color w:val="auto"/>
              </w:rPr>
            </w:pPr>
            <w:r>
              <w:rPr>
                <w:rFonts w:ascii="Arial" w:cs="Arial" w:eastAsia="Arial" w:hAnsi="Arial"/>
                <w:sz w:val="15"/>
                <w:szCs w:val="15"/>
                <w:color w:val="183964"/>
              </w:rPr>
              <w:t>(53,146)</w:t>
            </w:r>
          </w:p>
        </w:tc>
      </w:tr>
      <w:tr>
        <w:trPr>
          <w:trHeight w:val="25"/>
        </w:trPr>
        <w:tc>
          <w:tcPr>
            <w:tcW w:w="7340" w:type="dxa"/>
            <w:vAlign w:val="bottom"/>
            <w:tcBorders>
              <w:bottom w:val="single" w:sz="8" w:color="183964"/>
            </w:tcBorders>
          </w:tcPr>
          <w:p>
            <w:pPr>
              <w:spacing w:after="0"/>
              <w:rPr>
                <w:sz w:val="2"/>
                <w:szCs w:val="2"/>
                <w:color w:val="auto"/>
              </w:rPr>
            </w:pPr>
          </w:p>
        </w:tc>
        <w:tc>
          <w:tcPr>
            <w:tcW w:w="1300" w:type="dxa"/>
            <w:vAlign w:val="bottom"/>
            <w:tcBorders>
              <w:bottom w:val="single" w:sz="8" w:color="183964"/>
            </w:tcBorders>
          </w:tcPr>
          <w:p>
            <w:pPr>
              <w:spacing w:after="0"/>
              <w:rPr>
                <w:sz w:val="2"/>
                <w:szCs w:val="2"/>
                <w:color w:val="auto"/>
              </w:rPr>
            </w:pPr>
          </w:p>
        </w:tc>
        <w:tc>
          <w:tcPr>
            <w:tcW w:w="1300" w:type="dxa"/>
            <w:vAlign w:val="bottom"/>
            <w:tcBorders>
              <w:bottom w:val="single" w:sz="8" w:color="183964"/>
            </w:tcBorders>
          </w:tcPr>
          <w:p>
            <w:pPr>
              <w:spacing w:after="0"/>
              <w:rPr>
                <w:sz w:val="2"/>
                <w:szCs w:val="2"/>
                <w:color w:val="auto"/>
              </w:rPr>
            </w:pPr>
          </w:p>
        </w:tc>
        <w:tc>
          <w:tcPr>
            <w:tcW w:w="1280" w:type="dxa"/>
            <w:vAlign w:val="bottom"/>
            <w:tcBorders>
              <w:bottom w:val="single" w:sz="8" w:color="183964"/>
            </w:tcBorders>
          </w:tcPr>
          <w:p>
            <w:pPr>
              <w:spacing w:after="0"/>
              <w:rPr>
                <w:sz w:val="2"/>
                <w:szCs w:val="2"/>
                <w:color w:val="auto"/>
              </w:rPr>
            </w:pPr>
          </w:p>
        </w:tc>
      </w:tr>
      <w:tr>
        <w:trPr>
          <w:trHeight w:val="211"/>
        </w:trPr>
        <w:tc>
          <w:tcPr>
            <w:tcW w:w="7340" w:type="dxa"/>
            <w:vAlign w:val="bottom"/>
          </w:tcPr>
          <w:p>
            <w:pPr>
              <w:ind w:left="20"/>
              <w:spacing w:after="0"/>
              <w:rPr>
                <w:sz w:val="20"/>
                <w:szCs w:val="20"/>
                <w:color w:val="auto"/>
              </w:rPr>
            </w:pPr>
            <w:r>
              <w:rPr>
                <w:rFonts w:ascii="Arial" w:cs="Arial" w:eastAsia="Arial" w:hAnsi="Arial"/>
                <w:sz w:val="15"/>
                <w:szCs w:val="15"/>
                <w:b w:val="1"/>
                <w:bCs w:val="1"/>
                <w:color w:val="auto"/>
              </w:rPr>
              <w:t>Operating income/(loss)</w:t>
            </w:r>
          </w:p>
        </w:tc>
        <w:tc>
          <w:tcPr>
            <w:tcW w:w="1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5"/>
                <w:szCs w:val="15"/>
                <w:b w:val="1"/>
                <w:bCs w:val="1"/>
                <w:color w:val="auto"/>
              </w:rPr>
              <w:t>(66,398)</w:t>
            </w:r>
          </w:p>
        </w:tc>
        <w:tc>
          <w:tcPr>
            <w:tcW w:w="1280" w:type="dxa"/>
            <w:vAlign w:val="bottom"/>
          </w:tcPr>
          <w:p>
            <w:pPr>
              <w:jc w:val="right"/>
              <w:spacing w:after="0"/>
              <w:rPr>
                <w:sz w:val="20"/>
                <w:szCs w:val="20"/>
                <w:color w:val="auto"/>
              </w:rPr>
            </w:pPr>
            <w:r>
              <w:rPr>
                <w:rFonts w:ascii="Arial" w:cs="Arial" w:eastAsia="Arial" w:hAnsi="Arial"/>
                <w:sz w:val="15"/>
                <w:szCs w:val="15"/>
                <w:color w:val="183964"/>
              </w:rPr>
              <w:t>(76,163)</w:t>
            </w:r>
          </w:p>
        </w:tc>
      </w:tr>
      <w:tr>
        <w:trPr>
          <w:trHeight w:val="235"/>
        </w:trPr>
        <w:tc>
          <w:tcPr>
            <w:tcW w:w="7340" w:type="dxa"/>
            <w:vAlign w:val="bottom"/>
          </w:tcPr>
          <w:p>
            <w:pPr>
              <w:ind w:left="20"/>
              <w:spacing w:after="0"/>
              <w:rPr>
                <w:sz w:val="20"/>
                <w:szCs w:val="20"/>
                <w:color w:val="auto"/>
              </w:rPr>
            </w:pPr>
            <w:r>
              <w:rPr>
                <w:rFonts w:ascii="Arial" w:cs="Arial" w:eastAsia="Arial" w:hAnsi="Arial"/>
                <w:sz w:val="15"/>
                <w:szCs w:val="15"/>
                <w:color w:val="auto"/>
              </w:rPr>
              <w:t>Other income/(expense):</w:t>
            </w:r>
          </w:p>
        </w:tc>
        <w:tc>
          <w:tcPr>
            <w:tcW w:w="1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51"/>
        </w:trPr>
        <w:tc>
          <w:tcPr>
            <w:tcW w:w="7340" w:type="dxa"/>
            <w:vAlign w:val="bottom"/>
          </w:tcPr>
          <w:p>
            <w:pPr>
              <w:ind w:left="120"/>
              <w:spacing w:after="0"/>
              <w:rPr>
                <w:sz w:val="20"/>
                <w:szCs w:val="20"/>
                <w:color w:val="auto"/>
              </w:rPr>
            </w:pPr>
            <w:r>
              <w:rPr>
                <w:rFonts w:ascii="Arial" w:cs="Arial" w:eastAsia="Arial" w:hAnsi="Arial"/>
                <w:sz w:val="15"/>
                <w:szCs w:val="15"/>
                <w:color w:val="auto"/>
              </w:rPr>
              <w:t>Gain/(loss) on deconsolidation of subsidiary</w:t>
            </w:r>
          </w:p>
        </w:tc>
        <w:tc>
          <w:tcPr>
            <w:tcW w:w="1300" w:type="dxa"/>
            <w:vAlign w:val="bottom"/>
          </w:tcPr>
          <w:p>
            <w:pPr>
              <w:jc w:val="right"/>
              <w:spacing w:after="0"/>
              <w:rPr>
                <w:sz w:val="20"/>
                <w:szCs w:val="20"/>
                <w:color w:val="auto"/>
              </w:rPr>
            </w:pPr>
            <w:r>
              <w:rPr>
                <w:rFonts w:ascii="Arial" w:cs="Arial" w:eastAsia="Arial" w:hAnsi="Arial"/>
                <w:sz w:val="15"/>
                <w:szCs w:val="15"/>
                <w:color w:val="183964"/>
              </w:rPr>
              <w:t>4</w:t>
            </w:r>
          </w:p>
        </w:tc>
        <w:tc>
          <w:tcPr>
            <w:tcW w:w="1300" w:type="dxa"/>
            <w:vAlign w:val="bottom"/>
          </w:tcPr>
          <w:p>
            <w:pPr>
              <w:jc w:val="right"/>
              <w:ind w:right="5"/>
              <w:spacing w:after="0"/>
              <w:rPr>
                <w:sz w:val="20"/>
                <w:szCs w:val="20"/>
                <w:color w:val="auto"/>
              </w:rPr>
            </w:pPr>
            <w:r>
              <w:rPr>
                <w:rFonts w:ascii="Arial" w:cs="Arial" w:eastAsia="Arial" w:hAnsi="Arial"/>
                <w:sz w:val="15"/>
                <w:szCs w:val="15"/>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183964"/>
              </w:rPr>
              <w:t>61,787</w:t>
            </w:r>
          </w:p>
        </w:tc>
      </w:tr>
      <w:tr>
        <w:trPr>
          <w:trHeight w:val="243"/>
        </w:trPr>
        <w:tc>
          <w:tcPr>
            <w:tcW w:w="7340" w:type="dxa"/>
            <w:vAlign w:val="bottom"/>
          </w:tcPr>
          <w:p>
            <w:pPr>
              <w:ind w:left="120"/>
              <w:spacing w:after="0"/>
              <w:rPr>
                <w:sz w:val="20"/>
                <w:szCs w:val="20"/>
                <w:color w:val="auto"/>
              </w:rPr>
            </w:pPr>
            <w:r>
              <w:rPr>
                <w:rFonts w:ascii="Arial" w:cs="Arial" w:eastAsia="Arial" w:hAnsi="Arial"/>
                <w:sz w:val="15"/>
                <w:szCs w:val="15"/>
                <w:color w:val="auto"/>
              </w:rPr>
              <w:t>Gain/(loss) on investments held at fair value</w:t>
            </w:r>
          </w:p>
        </w:tc>
        <w:tc>
          <w:tcPr>
            <w:tcW w:w="1300" w:type="dxa"/>
            <w:vAlign w:val="bottom"/>
          </w:tcPr>
          <w:p>
            <w:pPr>
              <w:jc w:val="right"/>
              <w:spacing w:after="0"/>
              <w:rPr>
                <w:sz w:val="20"/>
                <w:szCs w:val="20"/>
                <w:color w:val="auto"/>
              </w:rPr>
            </w:pPr>
            <w:r>
              <w:rPr>
                <w:rFonts w:ascii="Arial" w:cs="Arial" w:eastAsia="Arial" w:hAnsi="Arial"/>
                <w:sz w:val="15"/>
                <w:szCs w:val="15"/>
                <w:color w:val="183964"/>
              </w:rPr>
              <w:t>4</w:t>
            </w:r>
          </w:p>
        </w:tc>
        <w:tc>
          <w:tcPr>
            <w:tcW w:w="1300" w:type="dxa"/>
            <w:vAlign w:val="bottom"/>
          </w:tcPr>
          <w:p>
            <w:pPr>
              <w:jc w:val="right"/>
              <w:ind w:right="5"/>
              <w:spacing w:after="0"/>
              <w:rPr>
                <w:sz w:val="20"/>
                <w:szCs w:val="20"/>
                <w:color w:val="auto"/>
              </w:rPr>
            </w:pPr>
            <w:r>
              <w:rPr>
                <w:rFonts w:ascii="Arial" w:cs="Arial" w:eastAsia="Arial" w:hAnsi="Arial"/>
                <w:sz w:val="15"/>
                <w:szCs w:val="15"/>
                <w:b w:val="1"/>
                <w:bCs w:val="1"/>
                <w:color w:val="auto"/>
              </w:rPr>
              <w:t>3,882</w:t>
            </w:r>
          </w:p>
        </w:tc>
        <w:tc>
          <w:tcPr>
            <w:tcW w:w="1280" w:type="dxa"/>
            <w:vAlign w:val="bottom"/>
          </w:tcPr>
          <w:p>
            <w:pPr>
              <w:jc w:val="right"/>
              <w:spacing w:after="0"/>
              <w:rPr>
                <w:sz w:val="20"/>
                <w:szCs w:val="20"/>
                <w:color w:val="auto"/>
              </w:rPr>
            </w:pPr>
            <w:r>
              <w:rPr>
                <w:rFonts w:ascii="Arial" w:cs="Arial" w:eastAsia="Arial" w:hAnsi="Arial"/>
                <w:sz w:val="15"/>
                <w:szCs w:val="15"/>
                <w:color w:val="183964"/>
              </w:rPr>
              <w:t>7,818</w:t>
            </w:r>
          </w:p>
        </w:tc>
      </w:tr>
      <w:tr>
        <w:trPr>
          <w:trHeight w:val="243"/>
        </w:trPr>
        <w:tc>
          <w:tcPr>
            <w:tcW w:w="7340" w:type="dxa"/>
            <w:vAlign w:val="bottom"/>
          </w:tcPr>
          <w:p>
            <w:pPr>
              <w:ind w:left="120"/>
              <w:spacing w:after="0"/>
              <w:rPr>
                <w:sz w:val="20"/>
                <w:szCs w:val="20"/>
                <w:color w:val="auto"/>
              </w:rPr>
            </w:pPr>
            <w:r>
              <w:rPr>
                <w:rFonts w:ascii="Arial" w:cs="Arial" w:eastAsia="Arial" w:hAnsi="Arial"/>
                <w:sz w:val="15"/>
                <w:szCs w:val="15"/>
                <w:color w:val="auto"/>
              </w:rPr>
              <w:t>Realized gain/(loss) on sale of investments</w:t>
            </w:r>
          </w:p>
        </w:tc>
        <w:tc>
          <w:tcPr>
            <w:tcW w:w="1300" w:type="dxa"/>
            <w:vAlign w:val="bottom"/>
          </w:tcPr>
          <w:p>
            <w:pPr>
              <w:jc w:val="right"/>
              <w:spacing w:after="0"/>
              <w:rPr>
                <w:sz w:val="20"/>
                <w:szCs w:val="20"/>
                <w:color w:val="auto"/>
              </w:rPr>
            </w:pPr>
            <w:r>
              <w:rPr>
                <w:rFonts w:ascii="Arial" w:cs="Arial" w:eastAsia="Arial" w:hAnsi="Arial"/>
                <w:sz w:val="15"/>
                <w:szCs w:val="15"/>
                <w:color w:val="183964"/>
              </w:rPr>
              <w:t>4</w:t>
            </w:r>
          </w:p>
        </w:tc>
        <w:tc>
          <w:tcPr>
            <w:tcW w:w="1300" w:type="dxa"/>
            <w:vAlign w:val="bottom"/>
          </w:tcPr>
          <w:p>
            <w:pPr>
              <w:jc w:val="right"/>
              <w:ind w:right="5"/>
              <w:spacing w:after="0"/>
              <w:rPr>
                <w:sz w:val="20"/>
                <w:szCs w:val="20"/>
                <w:color w:val="auto"/>
              </w:rPr>
            </w:pPr>
            <w:r>
              <w:rPr>
                <w:rFonts w:ascii="Arial" w:cs="Arial" w:eastAsia="Arial" w:hAnsi="Arial"/>
                <w:sz w:val="15"/>
                <w:szCs w:val="15"/>
                <w:b w:val="1"/>
                <w:bCs w:val="1"/>
                <w:color w:val="auto"/>
              </w:rPr>
              <w:t>151</w:t>
            </w:r>
          </w:p>
        </w:tc>
        <w:tc>
          <w:tcPr>
            <w:tcW w:w="1280" w:type="dxa"/>
            <w:vAlign w:val="bottom"/>
          </w:tcPr>
          <w:p>
            <w:pPr>
              <w:jc w:val="right"/>
              <w:spacing w:after="0"/>
              <w:rPr>
                <w:sz w:val="20"/>
                <w:szCs w:val="20"/>
                <w:color w:val="auto"/>
              </w:rPr>
            </w:pPr>
            <w:r>
              <w:rPr>
                <w:rFonts w:ascii="Arial" w:cs="Arial" w:eastAsia="Arial" w:hAnsi="Arial"/>
                <w:sz w:val="15"/>
                <w:szCs w:val="15"/>
                <w:color w:val="183964"/>
              </w:rPr>
              <w:t>—</w:t>
            </w:r>
          </w:p>
        </w:tc>
      </w:tr>
      <w:tr>
        <w:trPr>
          <w:trHeight w:val="243"/>
        </w:trPr>
        <w:tc>
          <w:tcPr>
            <w:tcW w:w="7340" w:type="dxa"/>
            <w:vAlign w:val="bottom"/>
          </w:tcPr>
          <w:p>
            <w:pPr>
              <w:ind w:left="120"/>
              <w:spacing w:after="0"/>
              <w:rPr>
                <w:sz w:val="20"/>
                <w:szCs w:val="20"/>
                <w:color w:val="auto"/>
              </w:rPr>
            </w:pPr>
            <w:r>
              <w:rPr>
                <w:rFonts w:ascii="Arial" w:cs="Arial" w:eastAsia="Arial" w:hAnsi="Arial"/>
                <w:sz w:val="15"/>
                <w:szCs w:val="15"/>
                <w:color w:val="auto"/>
              </w:rPr>
              <w:t>Gain/(loss) on investments in notes from associates</w:t>
            </w:r>
          </w:p>
        </w:tc>
        <w:tc>
          <w:tcPr>
            <w:tcW w:w="1300" w:type="dxa"/>
            <w:vAlign w:val="bottom"/>
          </w:tcPr>
          <w:p>
            <w:pPr>
              <w:jc w:val="right"/>
              <w:spacing w:after="0"/>
              <w:rPr>
                <w:sz w:val="20"/>
                <w:szCs w:val="20"/>
                <w:color w:val="auto"/>
              </w:rPr>
            </w:pPr>
            <w:r>
              <w:rPr>
                <w:rFonts w:ascii="Arial" w:cs="Arial" w:eastAsia="Arial" w:hAnsi="Arial"/>
                <w:sz w:val="15"/>
                <w:szCs w:val="15"/>
                <w:color w:val="183964"/>
              </w:rPr>
              <w:t>6</w:t>
            </w:r>
          </w:p>
        </w:tc>
        <w:tc>
          <w:tcPr>
            <w:tcW w:w="1300" w:type="dxa"/>
            <w:vAlign w:val="bottom"/>
          </w:tcPr>
          <w:p>
            <w:pPr>
              <w:jc w:val="right"/>
              <w:ind w:right="5"/>
              <w:spacing w:after="0"/>
              <w:rPr>
                <w:sz w:val="20"/>
                <w:szCs w:val="20"/>
                <w:color w:val="auto"/>
              </w:rPr>
            </w:pPr>
            <w:r>
              <w:rPr>
                <w:rFonts w:ascii="Arial" w:cs="Arial" w:eastAsia="Arial" w:hAnsi="Arial"/>
                <w:sz w:val="15"/>
                <w:szCs w:val="15"/>
                <w:b w:val="1"/>
                <w:bCs w:val="1"/>
                <w:color w:val="auto"/>
              </w:rPr>
              <w:t>11,612</w:t>
            </w:r>
          </w:p>
        </w:tc>
        <w:tc>
          <w:tcPr>
            <w:tcW w:w="1280" w:type="dxa"/>
            <w:vAlign w:val="bottom"/>
          </w:tcPr>
          <w:p>
            <w:pPr>
              <w:jc w:val="right"/>
              <w:spacing w:after="0"/>
              <w:rPr>
                <w:sz w:val="20"/>
                <w:szCs w:val="20"/>
                <w:color w:val="auto"/>
              </w:rPr>
            </w:pPr>
            <w:r>
              <w:rPr>
                <w:rFonts w:ascii="Arial" w:cs="Arial" w:eastAsia="Arial" w:hAnsi="Arial"/>
                <w:sz w:val="15"/>
                <w:szCs w:val="15"/>
                <w:color w:val="183964"/>
              </w:rPr>
              <w:t>(6,045)</w:t>
            </w:r>
          </w:p>
        </w:tc>
      </w:tr>
      <w:tr>
        <w:trPr>
          <w:trHeight w:val="243"/>
        </w:trPr>
        <w:tc>
          <w:tcPr>
            <w:tcW w:w="7340" w:type="dxa"/>
            <w:vAlign w:val="bottom"/>
          </w:tcPr>
          <w:p>
            <w:pPr>
              <w:ind w:left="120"/>
              <w:spacing w:after="0"/>
              <w:rPr>
                <w:sz w:val="20"/>
                <w:szCs w:val="20"/>
                <w:color w:val="auto"/>
              </w:rPr>
            </w:pPr>
            <w:r>
              <w:rPr>
                <w:rFonts w:ascii="Arial" w:cs="Arial" w:eastAsia="Arial" w:hAnsi="Arial"/>
                <w:sz w:val="15"/>
                <w:szCs w:val="15"/>
                <w:color w:val="auto"/>
              </w:rPr>
              <w:t>Other income/(expense)</w:t>
            </w:r>
          </w:p>
        </w:tc>
        <w:tc>
          <w:tcPr>
            <w:tcW w:w="1300" w:type="dxa"/>
            <w:vAlign w:val="bottom"/>
          </w:tcPr>
          <w:p>
            <w:pPr>
              <w:spacing w:after="0"/>
              <w:rPr>
                <w:sz w:val="21"/>
                <w:szCs w:val="21"/>
                <w:color w:val="auto"/>
              </w:rPr>
            </w:pPr>
          </w:p>
        </w:tc>
        <w:tc>
          <w:tcPr>
            <w:tcW w:w="1300" w:type="dxa"/>
            <w:vAlign w:val="bottom"/>
          </w:tcPr>
          <w:p>
            <w:pPr>
              <w:jc w:val="right"/>
              <w:ind w:right="5"/>
              <w:spacing w:after="0"/>
              <w:rPr>
                <w:sz w:val="20"/>
                <w:szCs w:val="20"/>
                <w:color w:val="auto"/>
              </w:rPr>
            </w:pPr>
            <w:r>
              <w:rPr>
                <w:rFonts w:ascii="Arial" w:cs="Arial" w:eastAsia="Arial" w:hAnsi="Arial"/>
                <w:sz w:val="15"/>
                <w:szCs w:val="15"/>
                <w:b w:val="1"/>
                <w:bCs w:val="1"/>
                <w:color w:val="auto"/>
              </w:rPr>
              <w:t>548</w:t>
            </w:r>
          </w:p>
        </w:tc>
        <w:tc>
          <w:tcPr>
            <w:tcW w:w="1280" w:type="dxa"/>
            <w:vAlign w:val="bottom"/>
          </w:tcPr>
          <w:p>
            <w:pPr>
              <w:jc w:val="right"/>
              <w:spacing w:after="0"/>
              <w:rPr>
                <w:sz w:val="20"/>
                <w:szCs w:val="20"/>
                <w:color w:val="auto"/>
              </w:rPr>
            </w:pPr>
            <w:r>
              <w:rPr>
                <w:rFonts w:ascii="Arial" w:cs="Arial" w:eastAsia="Arial" w:hAnsi="Arial"/>
                <w:sz w:val="15"/>
                <w:szCs w:val="15"/>
                <w:color w:val="183964"/>
              </w:rPr>
              <w:t>(1,134)</w:t>
            </w:r>
          </w:p>
        </w:tc>
      </w:tr>
      <w:tr>
        <w:trPr>
          <w:trHeight w:val="25"/>
        </w:trPr>
        <w:tc>
          <w:tcPr>
            <w:tcW w:w="7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1"/>
        </w:trPr>
        <w:tc>
          <w:tcPr>
            <w:tcW w:w="7340" w:type="dxa"/>
            <w:vAlign w:val="bottom"/>
          </w:tcPr>
          <w:p>
            <w:pPr>
              <w:ind w:left="20"/>
              <w:spacing w:after="0"/>
              <w:rPr>
                <w:sz w:val="20"/>
                <w:szCs w:val="20"/>
                <w:color w:val="auto"/>
              </w:rPr>
            </w:pPr>
            <w:r>
              <w:rPr>
                <w:rFonts w:ascii="Arial" w:cs="Arial" w:eastAsia="Arial" w:hAnsi="Arial"/>
                <w:sz w:val="15"/>
                <w:szCs w:val="15"/>
                <w:b w:val="1"/>
                <w:bCs w:val="1"/>
                <w:color w:val="auto"/>
              </w:rPr>
              <w:t>Other income/(expense)</w:t>
            </w:r>
          </w:p>
        </w:tc>
        <w:tc>
          <w:tcPr>
            <w:tcW w:w="1300" w:type="dxa"/>
            <w:vAlign w:val="bottom"/>
          </w:tcPr>
          <w:p>
            <w:pPr>
              <w:spacing w:after="0"/>
              <w:rPr>
                <w:sz w:val="18"/>
                <w:szCs w:val="18"/>
                <w:color w:val="auto"/>
              </w:rPr>
            </w:pPr>
          </w:p>
        </w:tc>
        <w:tc>
          <w:tcPr>
            <w:tcW w:w="1300" w:type="dxa"/>
            <w:vAlign w:val="bottom"/>
          </w:tcPr>
          <w:p>
            <w:pPr>
              <w:jc w:val="right"/>
              <w:ind w:right="5"/>
              <w:spacing w:after="0"/>
              <w:rPr>
                <w:sz w:val="20"/>
                <w:szCs w:val="20"/>
                <w:color w:val="auto"/>
              </w:rPr>
            </w:pPr>
            <w:r>
              <w:rPr>
                <w:rFonts w:ascii="Arial" w:cs="Arial" w:eastAsia="Arial" w:hAnsi="Arial"/>
                <w:sz w:val="15"/>
                <w:szCs w:val="15"/>
                <w:b w:val="1"/>
                <w:bCs w:val="1"/>
                <w:color w:val="auto"/>
              </w:rPr>
              <w:t>16,193</w:t>
            </w:r>
          </w:p>
        </w:tc>
        <w:tc>
          <w:tcPr>
            <w:tcW w:w="1280" w:type="dxa"/>
            <w:vAlign w:val="bottom"/>
          </w:tcPr>
          <w:p>
            <w:pPr>
              <w:jc w:val="right"/>
              <w:spacing w:after="0"/>
              <w:rPr>
                <w:sz w:val="20"/>
                <w:szCs w:val="20"/>
                <w:color w:val="auto"/>
              </w:rPr>
            </w:pPr>
            <w:r>
              <w:rPr>
                <w:rFonts w:ascii="Arial" w:cs="Arial" w:eastAsia="Arial" w:hAnsi="Arial"/>
                <w:sz w:val="15"/>
                <w:szCs w:val="15"/>
                <w:color w:val="183964"/>
              </w:rPr>
              <w:t>62,426</w:t>
            </w:r>
          </w:p>
        </w:tc>
      </w:tr>
      <w:tr>
        <w:trPr>
          <w:trHeight w:val="235"/>
        </w:trPr>
        <w:tc>
          <w:tcPr>
            <w:tcW w:w="7340" w:type="dxa"/>
            <w:vAlign w:val="bottom"/>
          </w:tcPr>
          <w:p>
            <w:pPr>
              <w:ind w:left="20"/>
              <w:spacing w:after="0"/>
              <w:rPr>
                <w:sz w:val="20"/>
                <w:szCs w:val="20"/>
                <w:color w:val="auto"/>
              </w:rPr>
            </w:pPr>
            <w:r>
              <w:rPr>
                <w:rFonts w:ascii="Arial" w:cs="Arial" w:eastAsia="Arial" w:hAnsi="Arial"/>
                <w:sz w:val="15"/>
                <w:szCs w:val="15"/>
                <w:color w:val="auto"/>
              </w:rPr>
              <w:t>Finance income/(costs):</w:t>
            </w:r>
          </w:p>
        </w:tc>
        <w:tc>
          <w:tcPr>
            <w:tcW w:w="1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51"/>
        </w:trPr>
        <w:tc>
          <w:tcPr>
            <w:tcW w:w="7340" w:type="dxa"/>
            <w:vAlign w:val="bottom"/>
          </w:tcPr>
          <w:p>
            <w:pPr>
              <w:ind w:left="120"/>
              <w:spacing w:after="0"/>
              <w:rPr>
                <w:sz w:val="20"/>
                <w:szCs w:val="20"/>
                <w:color w:val="auto"/>
              </w:rPr>
            </w:pPr>
            <w:r>
              <w:rPr>
                <w:rFonts w:ascii="Arial" w:cs="Arial" w:eastAsia="Arial" w:hAnsi="Arial"/>
                <w:sz w:val="15"/>
                <w:szCs w:val="15"/>
                <w:color w:val="auto"/>
              </w:rPr>
              <w:t>Finance income</w:t>
            </w:r>
          </w:p>
        </w:tc>
        <w:tc>
          <w:tcPr>
            <w:tcW w:w="1300" w:type="dxa"/>
            <w:vAlign w:val="bottom"/>
          </w:tcPr>
          <w:p>
            <w:pPr>
              <w:jc w:val="right"/>
              <w:spacing w:after="0"/>
              <w:rPr>
                <w:sz w:val="20"/>
                <w:szCs w:val="20"/>
                <w:color w:val="auto"/>
              </w:rPr>
            </w:pPr>
            <w:r>
              <w:rPr>
                <w:rFonts w:ascii="Arial" w:cs="Arial" w:eastAsia="Arial" w:hAnsi="Arial"/>
                <w:sz w:val="15"/>
                <w:szCs w:val="15"/>
                <w:color w:val="183964"/>
              </w:rPr>
              <w:t>8</w:t>
            </w:r>
          </w:p>
        </w:tc>
        <w:tc>
          <w:tcPr>
            <w:tcW w:w="1300" w:type="dxa"/>
            <w:vAlign w:val="bottom"/>
          </w:tcPr>
          <w:p>
            <w:pPr>
              <w:jc w:val="right"/>
              <w:ind w:right="5"/>
              <w:spacing w:after="0"/>
              <w:rPr>
                <w:sz w:val="20"/>
                <w:szCs w:val="20"/>
                <w:color w:val="auto"/>
              </w:rPr>
            </w:pPr>
            <w:r>
              <w:rPr>
                <w:rFonts w:ascii="Arial" w:cs="Arial" w:eastAsia="Arial" w:hAnsi="Arial"/>
                <w:sz w:val="15"/>
                <w:szCs w:val="15"/>
                <w:b w:val="1"/>
                <w:bCs w:val="1"/>
                <w:color w:val="auto"/>
              </w:rPr>
              <w:t>11,732</w:t>
            </w:r>
          </w:p>
        </w:tc>
        <w:tc>
          <w:tcPr>
            <w:tcW w:w="1280" w:type="dxa"/>
            <w:vAlign w:val="bottom"/>
          </w:tcPr>
          <w:p>
            <w:pPr>
              <w:jc w:val="right"/>
              <w:spacing w:after="0"/>
              <w:rPr>
                <w:sz w:val="20"/>
                <w:szCs w:val="20"/>
                <w:color w:val="auto"/>
              </w:rPr>
            </w:pPr>
            <w:r>
              <w:rPr>
                <w:rFonts w:ascii="Arial" w:cs="Arial" w:eastAsia="Arial" w:hAnsi="Arial"/>
                <w:sz w:val="15"/>
                <w:szCs w:val="15"/>
                <w:color w:val="183964"/>
              </w:rPr>
              <w:t>7,731</w:t>
            </w:r>
          </w:p>
        </w:tc>
      </w:tr>
      <w:tr>
        <w:trPr>
          <w:trHeight w:val="243"/>
        </w:trPr>
        <w:tc>
          <w:tcPr>
            <w:tcW w:w="7340" w:type="dxa"/>
            <w:vAlign w:val="bottom"/>
          </w:tcPr>
          <w:p>
            <w:pPr>
              <w:ind w:left="120"/>
              <w:spacing w:after="0"/>
              <w:rPr>
                <w:sz w:val="20"/>
                <w:szCs w:val="20"/>
                <w:color w:val="auto"/>
              </w:rPr>
            </w:pPr>
            <w:r>
              <w:rPr>
                <w:rFonts w:ascii="Arial" w:cs="Arial" w:eastAsia="Arial" w:hAnsi="Arial"/>
                <w:sz w:val="15"/>
                <w:szCs w:val="15"/>
                <w:color w:val="auto"/>
              </w:rPr>
              <w:t>Finance costs – contractual</w:t>
            </w:r>
          </w:p>
        </w:tc>
        <w:tc>
          <w:tcPr>
            <w:tcW w:w="1300" w:type="dxa"/>
            <w:vAlign w:val="bottom"/>
          </w:tcPr>
          <w:p>
            <w:pPr>
              <w:jc w:val="right"/>
              <w:spacing w:after="0"/>
              <w:rPr>
                <w:sz w:val="20"/>
                <w:szCs w:val="20"/>
                <w:color w:val="auto"/>
              </w:rPr>
            </w:pPr>
            <w:r>
              <w:rPr>
                <w:rFonts w:ascii="Arial" w:cs="Arial" w:eastAsia="Arial" w:hAnsi="Arial"/>
                <w:sz w:val="15"/>
                <w:szCs w:val="15"/>
                <w:color w:val="183964"/>
              </w:rPr>
              <w:t>8</w:t>
            </w:r>
          </w:p>
        </w:tc>
        <w:tc>
          <w:tcPr>
            <w:tcW w:w="1300" w:type="dxa"/>
            <w:vAlign w:val="bottom"/>
          </w:tcPr>
          <w:p>
            <w:pPr>
              <w:jc w:val="right"/>
              <w:spacing w:after="0"/>
              <w:rPr>
                <w:sz w:val="20"/>
                <w:szCs w:val="20"/>
                <w:color w:val="auto"/>
              </w:rPr>
            </w:pPr>
            <w:r>
              <w:rPr>
                <w:rFonts w:ascii="Arial" w:cs="Arial" w:eastAsia="Arial" w:hAnsi="Arial"/>
                <w:sz w:val="15"/>
                <w:szCs w:val="15"/>
                <w:b w:val="1"/>
                <w:bCs w:val="1"/>
                <w:color w:val="auto"/>
              </w:rPr>
              <w:t>(1,036)</w:t>
            </w:r>
          </w:p>
        </w:tc>
        <w:tc>
          <w:tcPr>
            <w:tcW w:w="1280" w:type="dxa"/>
            <w:vAlign w:val="bottom"/>
          </w:tcPr>
          <w:p>
            <w:pPr>
              <w:jc w:val="right"/>
              <w:spacing w:after="0"/>
              <w:rPr>
                <w:sz w:val="20"/>
                <w:szCs w:val="20"/>
                <w:color w:val="auto"/>
              </w:rPr>
            </w:pPr>
            <w:r>
              <w:rPr>
                <w:rFonts w:ascii="Arial" w:cs="Arial" w:eastAsia="Arial" w:hAnsi="Arial"/>
                <w:sz w:val="15"/>
                <w:szCs w:val="15"/>
                <w:color w:val="183964"/>
              </w:rPr>
              <w:t>(1,338)</w:t>
            </w:r>
          </w:p>
        </w:tc>
      </w:tr>
      <w:tr>
        <w:trPr>
          <w:trHeight w:val="243"/>
        </w:trPr>
        <w:tc>
          <w:tcPr>
            <w:tcW w:w="7340" w:type="dxa"/>
            <w:vAlign w:val="bottom"/>
          </w:tcPr>
          <w:p>
            <w:pPr>
              <w:ind w:left="120"/>
              <w:spacing w:after="0"/>
              <w:rPr>
                <w:sz w:val="20"/>
                <w:szCs w:val="20"/>
                <w:color w:val="auto"/>
              </w:rPr>
            </w:pPr>
            <w:r>
              <w:rPr>
                <w:rFonts w:ascii="Arial" w:cs="Arial" w:eastAsia="Arial" w:hAnsi="Arial"/>
                <w:sz w:val="15"/>
                <w:szCs w:val="15"/>
                <w:color w:val="auto"/>
              </w:rPr>
              <w:t>Finance income/(costs) – fair value accounting</w:t>
            </w:r>
          </w:p>
        </w:tc>
        <w:tc>
          <w:tcPr>
            <w:tcW w:w="1300" w:type="dxa"/>
            <w:vAlign w:val="bottom"/>
          </w:tcPr>
          <w:p>
            <w:pPr>
              <w:jc w:val="right"/>
              <w:spacing w:after="0"/>
              <w:rPr>
                <w:sz w:val="20"/>
                <w:szCs w:val="20"/>
                <w:color w:val="auto"/>
              </w:rPr>
            </w:pPr>
            <w:r>
              <w:rPr>
                <w:rFonts w:ascii="Arial" w:cs="Arial" w:eastAsia="Arial" w:hAnsi="Arial"/>
                <w:sz w:val="15"/>
                <w:szCs w:val="15"/>
                <w:color w:val="183964"/>
              </w:rPr>
              <w:t>8</w:t>
            </w:r>
          </w:p>
        </w:tc>
        <w:tc>
          <w:tcPr>
            <w:tcW w:w="1300" w:type="dxa"/>
            <w:vAlign w:val="bottom"/>
          </w:tcPr>
          <w:p>
            <w:pPr>
              <w:jc w:val="right"/>
              <w:spacing w:after="0"/>
              <w:rPr>
                <w:sz w:val="20"/>
                <w:szCs w:val="20"/>
                <w:color w:val="auto"/>
              </w:rPr>
            </w:pPr>
            <w:r>
              <w:rPr>
                <w:rFonts w:ascii="Arial" w:cs="Arial" w:eastAsia="Arial" w:hAnsi="Arial"/>
                <w:sz w:val="15"/>
                <w:szCs w:val="15"/>
                <w:b w:val="1"/>
                <w:bCs w:val="1"/>
                <w:color w:val="auto"/>
              </w:rPr>
              <w:t>(1,613)</w:t>
            </w:r>
          </w:p>
        </w:tc>
        <w:tc>
          <w:tcPr>
            <w:tcW w:w="1280" w:type="dxa"/>
            <w:vAlign w:val="bottom"/>
          </w:tcPr>
          <w:p>
            <w:pPr>
              <w:jc w:val="right"/>
              <w:spacing w:after="0"/>
              <w:rPr>
                <w:sz w:val="20"/>
                <w:szCs w:val="20"/>
                <w:color w:val="auto"/>
              </w:rPr>
            </w:pPr>
            <w:r>
              <w:rPr>
                <w:rFonts w:ascii="Arial" w:cs="Arial" w:eastAsia="Arial" w:hAnsi="Arial"/>
                <w:sz w:val="15"/>
                <w:szCs w:val="15"/>
                <w:color w:val="183964"/>
              </w:rPr>
              <w:t>2,650</w:t>
            </w:r>
          </w:p>
        </w:tc>
      </w:tr>
      <w:tr>
        <w:trPr>
          <w:trHeight w:val="243"/>
        </w:trPr>
        <w:tc>
          <w:tcPr>
            <w:tcW w:w="7340" w:type="dxa"/>
            <w:vAlign w:val="bottom"/>
          </w:tcPr>
          <w:p>
            <w:pPr>
              <w:ind w:left="120"/>
              <w:spacing w:after="0"/>
              <w:rPr>
                <w:sz w:val="20"/>
                <w:szCs w:val="20"/>
                <w:color w:val="auto"/>
              </w:rPr>
            </w:pPr>
            <w:r>
              <w:rPr>
                <w:rFonts w:ascii="Arial" w:cs="Arial" w:eastAsia="Arial" w:hAnsi="Arial"/>
                <w:sz w:val="15"/>
                <w:szCs w:val="15"/>
                <w:color w:val="auto"/>
              </w:rPr>
              <w:t>Finance costs – non cash interest expense related to sale of future royalties</w:t>
            </w:r>
          </w:p>
        </w:tc>
        <w:tc>
          <w:tcPr>
            <w:tcW w:w="1300" w:type="dxa"/>
            <w:vAlign w:val="bottom"/>
          </w:tcPr>
          <w:p>
            <w:pPr>
              <w:jc w:val="right"/>
              <w:spacing w:after="0"/>
              <w:rPr>
                <w:sz w:val="20"/>
                <w:szCs w:val="20"/>
                <w:color w:val="auto"/>
              </w:rPr>
            </w:pPr>
            <w:r>
              <w:rPr>
                <w:rFonts w:ascii="Arial" w:cs="Arial" w:eastAsia="Arial" w:hAnsi="Arial"/>
                <w:sz w:val="15"/>
                <w:szCs w:val="15"/>
                <w:color w:val="183964"/>
              </w:rPr>
              <w:t>12</w:t>
            </w:r>
          </w:p>
        </w:tc>
        <w:tc>
          <w:tcPr>
            <w:tcW w:w="1300" w:type="dxa"/>
            <w:vAlign w:val="bottom"/>
          </w:tcPr>
          <w:p>
            <w:pPr>
              <w:jc w:val="right"/>
              <w:spacing w:after="0"/>
              <w:rPr>
                <w:sz w:val="20"/>
                <w:szCs w:val="20"/>
                <w:color w:val="auto"/>
              </w:rPr>
            </w:pPr>
            <w:r>
              <w:rPr>
                <w:rFonts w:ascii="Arial" w:cs="Arial" w:eastAsia="Arial" w:hAnsi="Arial"/>
                <w:sz w:val="15"/>
                <w:szCs w:val="15"/>
                <w:b w:val="1"/>
                <w:bCs w:val="1"/>
                <w:color w:val="auto"/>
              </w:rPr>
              <w:t>(10,551)</w:t>
            </w:r>
          </w:p>
        </w:tc>
        <w:tc>
          <w:tcPr>
            <w:tcW w:w="1280" w:type="dxa"/>
            <w:vAlign w:val="bottom"/>
          </w:tcPr>
          <w:p>
            <w:pPr>
              <w:jc w:val="right"/>
              <w:spacing w:after="0"/>
              <w:rPr>
                <w:sz w:val="20"/>
                <w:szCs w:val="20"/>
                <w:color w:val="auto"/>
              </w:rPr>
            </w:pPr>
            <w:r>
              <w:rPr>
                <w:rFonts w:ascii="Arial" w:cs="Arial" w:eastAsia="Arial" w:hAnsi="Arial"/>
                <w:sz w:val="15"/>
                <w:szCs w:val="15"/>
                <w:color w:val="183964"/>
              </w:rPr>
              <w:t>(3,726)</w:t>
            </w:r>
          </w:p>
        </w:tc>
      </w:tr>
      <w:tr>
        <w:trPr>
          <w:trHeight w:val="25"/>
        </w:trPr>
        <w:tc>
          <w:tcPr>
            <w:tcW w:w="7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1"/>
        </w:trPr>
        <w:tc>
          <w:tcPr>
            <w:tcW w:w="7340" w:type="dxa"/>
            <w:vAlign w:val="bottom"/>
          </w:tcPr>
          <w:p>
            <w:pPr>
              <w:ind w:left="20"/>
              <w:spacing w:after="0"/>
              <w:rPr>
                <w:sz w:val="20"/>
                <w:szCs w:val="20"/>
                <w:color w:val="auto"/>
              </w:rPr>
            </w:pPr>
            <w:r>
              <w:rPr>
                <w:rFonts w:ascii="Arial" w:cs="Arial" w:eastAsia="Arial" w:hAnsi="Arial"/>
                <w:sz w:val="15"/>
                <w:szCs w:val="15"/>
                <w:b w:val="1"/>
                <w:bCs w:val="1"/>
                <w:color w:val="auto"/>
              </w:rPr>
              <w:t>Net finance income/(costs)</w:t>
            </w:r>
          </w:p>
        </w:tc>
        <w:tc>
          <w:tcPr>
            <w:tcW w:w="1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5"/>
                <w:szCs w:val="15"/>
                <w:b w:val="1"/>
                <w:bCs w:val="1"/>
                <w:color w:val="auto"/>
              </w:rPr>
              <w:t>(1,468)</w:t>
            </w:r>
          </w:p>
        </w:tc>
        <w:tc>
          <w:tcPr>
            <w:tcW w:w="1280" w:type="dxa"/>
            <w:vAlign w:val="bottom"/>
          </w:tcPr>
          <w:p>
            <w:pPr>
              <w:jc w:val="right"/>
              <w:spacing w:after="0"/>
              <w:rPr>
                <w:sz w:val="20"/>
                <w:szCs w:val="20"/>
                <w:color w:val="auto"/>
              </w:rPr>
            </w:pPr>
            <w:r>
              <w:rPr>
                <w:rFonts w:ascii="Arial" w:cs="Arial" w:eastAsia="Arial" w:hAnsi="Arial"/>
                <w:sz w:val="15"/>
                <w:szCs w:val="15"/>
                <w:color w:val="183964"/>
              </w:rPr>
              <w:t>5,316</w:t>
            </w:r>
          </w:p>
        </w:tc>
      </w:tr>
      <w:tr>
        <w:trPr>
          <w:trHeight w:val="243"/>
        </w:trPr>
        <w:tc>
          <w:tcPr>
            <w:tcW w:w="7340" w:type="dxa"/>
            <w:vAlign w:val="bottom"/>
          </w:tcPr>
          <w:p>
            <w:pPr>
              <w:ind w:left="20"/>
              <w:spacing w:after="0"/>
              <w:rPr>
                <w:sz w:val="20"/>
                <w:szCs w:val="20"/>
                <w:color w:val="auto"/>
              </w:rPr>
            </w:pPr>
            <w:r>
              <w:rPr>
                <w:rFonts w:ascii="Arial" w:cs="Arial" w:eastAsia="Arial" w:hAnsi="Arial"/>
                <w:sz w:val="15"/>
                <w:szCs w:val="15"/>
                <w:color w:val="auto"/>
              </w:rPr>
              <w:t>Share of net income/(loss) of associates accounted for using the equity method</w:t>
            </w:r>
          </w:p>
        </w:tc>
        <w:tc>
          <w:tcPr>
            <w:tcW w:w="1300" w:type="dxa"/>
            <w:vAlign w:val="bottom"/>
          </w:tcPr>
          <w:p>
            <w:pPr>
              <w:jc w:val="right"/>
              <w:spacing w:after="0"/>
              <w:rPr>
                <w:sz w:val="20"/>
                <w:szCs w:val="20"/>
                <w:color w:val="auto"/>
              </w:rPr>
            </w:pPr>
            <w:r>
              <w:rPr>
                <w:rFonts w:ascii="Arial" w:cs="Arial" w:eastAsia="Arial" w:hAnsi="Arial"/>
                <w:sz w:val="15"/>
                <w:szCs w:val="15"/>
                <w:color w:val="183964"/>
              </w:rPr>
              <w:t>5</w:t>
            </w:r>
          </w:p>
        </w:tc>
        <w:tc>
          <w:tcPr>
            <w:tcW w:w="1300" w:type="dxa"/>
            <w:vAlign w:val="bottom"/>
          </w:tcPr>
          <w:p>
            <w:pPr>
              <w:jc w:val="right"/>
              <w:spacing w:after="0"/>
              <w:rPr>
                <w:sz w:val="20"/>
                <w:szCs w:val="20"/>
                <w:color w:val="auto"/>
              </w:rPr>
            </w:pPr>
            <w:r>
              <w:rPr>
                <w:rFonts w:ascii="Arial" w:cs="Arial" w:eastAsia="Arial" w:hAnsi="Arial"/>
                <w:sz w:val="15"/>
                <w:szCs w:val="15"/>
                <w:b w:val="1"/>
                <w:bCs w:val="1"/>
                <w:color w:val="auto"/>
              </w:rPr>
              <w:t>(3,357)</w:t>
            </w:r>
          </w:p>
        </w:tc>
        <w:tc>
          <w:tcPr>
            <w:tcW w:w="1280" w:type="dxa"/>
            <w:vAlign w:val="bottom"/>
          </w:tcPr>
          <w:p>
            <w:pPr>
              <w:jc w:val="right"/>
              <w:spacing w:after="0"/>
              <w:rPr>
                <w:sz w:val="20"/>
                <w:szCs w:val="20"/>
                <w:color w:val="auto"/>
              </w:rPr>
            </w:pPr>
            <w:r>
              <w:rPr>
                <w:rFonts w:ascii="Arial" w:cs="Arial" w:eastAsia="Arial" w:hAnsi="Arial"/>
                <w:sz w:val="15"/>
                <w:szCs w:val="15"/>
                <w:color w:val="183964"/>
              </w:rPr>
              <w:t>(5,324)</w:t>
            </w:r>
          </w:p>
        </w:tc>
      </w:tr>
      <w:tr>
        <w:trPr>
          <w:trHeight w:val="25"/>
        </w:trPr>
        <w:tc>
          <w:tcPr>
            <w:tcW w:w="7340" w:type="dxa"/>
            <w:vAlign w:val="bottom"/>
            <w:tcBorders>
              <w:bottom w:val="single" w:sz="8" w:color="929292"/>
            </w:tcBorders>
          </w:tcPr>
          <w:p>
            <w:pPr>
              <w:spacing w:after="0"/>
              <w:rPr>
                <w:sz w:val="2"/>
                <w:szCs w:val="2"/>
                <w:color w:val="auto"/>
              </w:rPr>
            </w:pPr>
          </w:p>
        </w:tc>
        <w:tc>
          <w:tcPr>
            <w:tcW w:w="1300" w:type="dxa"/>
            <w:vAlign w:val="bottom"/>
            <w:tcBorders>
              <w:bottom w:val="single" w:sz="8" w:color="929292"/>
            </w:tcBorders>
          </w:tcPr>
          <w:p>
            <w:pPr>
              <w:spacing w:after="0"/>
              <w:rPr>
                <w:sz w:val="2"/>
                <w:szCs w:val="2"/>
                <w:color w:val="auto"/>
              </w:rPr>
            </w:pPr>
          </w:p>
        </w:tc>
        <w:tc>
          <w:tcPr>
            <w:tcW w:w="1300" w:type="dxa"/>
            <w:vAlign w:val="bottom"/>
            <w:tcBorders>
              <w:bottom w:val="single" w:sz="8" w:color="929292"/>
            </w:tcBorders>
          </w:tcPr>
          <w:p>
            <w:pPr>
              <w:spacing w:after="0"/>
              <w:rPr>
                <w:sz w:val="2"/>
                <w:szCs w:val="2"/>
                <w:color w:val="auto"/>
              </w:rPr>
            </w:pPr>
          </w:p>
        </w:tc>
        <w:tc>
          <w:tcPr>
            <w:tcW w:w="1280" w:type="dxa"/>
            <w:vAlign w:val="bottom"/>
            <w:tcBorders>
              <w:bottom w:val="single" w:sz="8" w:color="929292"/>
            </w:tcBorders>
          </w:tcPr>
          <w:p>
            <w:pPr>
              <w:spacing w:after="0"/>
              <w:rPr>
                <w:sz w:val="2"/>
                <w:szCs w:val="2"/>
                <w:color w:val="auto"/>
              </w:rPr>
            </w:pPr>
          </w:p>
        </w:tc>
      </w:tr>
      <w:tr>
        <w:trPr>
          <w:trHeight w:val="211"/>
        </w:trPr>
        <w:tc>
          <w:tcPr>
            <w:tcW w:w="7340" w:type="dxa"/>
            <w:vAlign w:val="bottom"/>
          </w:tcPr>
          <w:p>
            <w:pPr>
              <w:ind w:left="20"/>
              <w:spacing w:after="0"/>
              <w:rPr>
                <w:sz w:val="20"/>
                <w:szCs w:val="20"/>
                <w:color w:val="auto"/>
              </w:rPr>
            </w:pPr>
            <w:r>
              <w:rPr>
                <w:rFonts w:ascii="Arial" w:cs="Arial" w:eastAsia="Arial" w:hAnsi="Arial"/>
                <w:sz w:val="15"/>
                <w:szCs w:val="15"/>
                <w:b w:val="1"/>
                <w:bCs w:val="1"/>
                <w:color w:val="auto"/>
              </w:rPr>
              <w:t>Income/(loss) before taxes</w:t>
            </w:r>
          </w:p>
        </w:tc>
        <w:tc>
          <w:tcPr>
            <w:tcW w:w="1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5"/>
                <w:szCs w:val="15"/>
                <w:b w:val="1"/>
                <w:bCs w:val="1"/>
                <w:color w:val="auto"/>
              </w:rPr>
              <w:t>(55,030)</w:t>
            </w:r>
          </w:p>
        </w:tc>
        <w:tc>
          <w:tcPr>
            <w:tcW w:w="1280" w:type="dxa"/>
            <w:vAlign w:val="bottom"/>
          </w:tcPr>
          <w:p>
            <w:pPr>
              <w:jc w:val="right"/>
              <w:spacing w:after="0"/>
              <w:rPr>
                <w:sz w:val="20"/>
                <w:szCs w:val="20"/>
                <w:color w:val="auto"/>
              </w:rPr>
            </w:pPr>
            <w:r>
              <w:rPr>
                <w:rFonts w:ascii="Arial" w:cs="Arial" w:eastAsia="Arial" w:hAnsi="Arial"/>
                <w:sz w:val="15"/>
                <w:szCs w:val="15"/>
                <w:color w:val="183964"/>
              </w:rPr>
              <w:t>(13,744)</w:t>
            </w:r>
          </w:p>
        </w:tc>
      </w:tr>
      <w:tr>
        <w:trPr>
          <w:trHeight w:val="243"/>
        </w:trPr>
        <w:tc>
          <w:tcPr>
            <w:tcW w:w="7340" w:type="dxa"/>
            <w:vAlign w:val="bottom"/>
          </w:tcPr>
          <w:p>
            <w:pPr>
              <w:ind w:left="20"/>
              <w:spacing w:after="0"/>
              <w:rPr>
                <w:sz w:val="20"/>
                <w:szCs w:val="20"/>
                <w:color w:val="auto"/>
              </w:rPr>
            </w:pPr>
            <w:r>
              <w:rPr>
                <w:rFonts w:ascii="Arial" w:cs="Arial" w:eastAsia="Arial" w:hAnsi="Arial"/>
                <w:sz w:val="15"/>
                <w:szCs w:val="15"/>
                <w:color w:val="auto"/>
              </w:rPr>
              <w:t>Tax benefit/(expense)</w:t>
            </w:r>
          </w:p>
        </w:tc>
        <w:tc>
          <w:tcPr>
            <w:tcW w:w="1300" w:type="dxa"/>
            <w:vAlign w:val="bottom"/>
          </w:tcPr>
          <w:p>
            <w:pPr>
              <w:jc w:val="right"/>
              <w:spacing w:after="0"/>
              <w:rPr>
                <w:sz w:val="20"/>
                <w:szCs w:val="20"/>
                <w:color w:val="auto"/>
              </w:rPr>
            </w:pPr>
            <w:r>
              <w:rPr>
                <w:rFonts w:ascii="Arial" w:cs="Arial" w:eastAsia="Arial" w:hAnsi="Arial"/>
                <w:sz w:val="15"/>
                <w:szCs w:val="15"/>
                <w:color w:val="183964"/>
              </w:rPr>
              <w:t>18</w:t>
            </w:r>
          </w:p>
        </w:tc>
        <w:tc>
          <w:tcPr>
            <w:tcW w:w="1300" w:type="dxa"/>
            <w:vAlign w:val="bottom"/>
          </w:tcPr>
          <w:p>
            <w:pPr>
              <w:jc w:val="right"/>
              <w:ind w:right="5"/>
              <w:spacing w:after="0"/>
              <w:rPr>
                <w:sz w:val="20"/>
                <w:szCs w:val="20"/>
                <w:color w:val="auto"/>
              </w:rPr>
            </w:pPr>
            <w:r>
              <w:rPr>
                <w:rFonts w:ascii="Arial" w:cs="Arial" w:eastAsia="Arial" w:hAnsi="Arial"/>
                <w:sz w:val="15"/>
                <w:szCs w:val="15"/>
                <w:b w:val="1"/>
                <w:bCs w:val="1"/>
                <w:color w:val="auto"/>
              </w:rPr>
              <w:t>6,147</w:t>
            </w:r>
          </w:p>
        </w:tc>
        <w:tc>
          <w:tcPr>
            <w:tcW w:w="1280" w:type="dxa"/>
            <w:vAlign w:val="bottom"/>
          </w:tcPr>
          <w:p>
            <w:pPr>
              <w:jc w:val="right"/>
              <w:spacing w:after="0"/>
              <w:rPr>
                <w:sz w:val="20"/>
                <w:szCs w:val="20"/>
                <w:color w:val="auto"/>
              </w:rPr>
            </w:pPr>
            <w:r>
              <w:rPr>
                <w:rFonts w:ascii="Arial" w:cs="Arial" w:eastAsia="Arial" w:hAnsi="Arial"/>
                <w:sz w:val="15"/>
                <w:szCs w:val="15"/>
                <w:color w:val="183964"/>
              </w:rPr>
              <w:t>(11,807)</w:t>
            </w:r>
          </w:p>
        </w:tc>
      </w:tr>
      <w:tr>
        <w:trPr>
          <w:trHeight w:val="25"/>
        </w:trPr>
        <w:tc>
          <w:tcPr>
            <w:tcW w:w="7340" w:type="dxa"/>
            <w:vAlign w:val="bottom"/>
            <w:tcBorders>
              <w:bottom w:val="single" w:sz="8" w:color="auto"/>
            </w:tcBorders>
          </w:tcPr>
          <w:p>
            <w:pPr>
              <w:spacing w:after="0"/>
              <w:rPr>
                <w:sz w:val="2"/>
                <w:szCs w:val="2"/>
                <w:color w:val="auto"/>
              </w:rPr>
            </w:pPr>
          </w:p>
        </w:tc>
        <w:tc>
          <w:tcPr>
            <w:tcW w:w="1300" w:type="dxa"/>
            <w:vAlign w:val="bottom"/>
            <w:tcBorders>
              <w:bottom w:val="single" w:sz="8" w:color="183964"/>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80" w:type="dxa"/>
            <w:vAlign w:val="bottom"/>
            <w:tcBorders>
              <w:bottom w:val="single" w:sz="8" w:color="183964"/>
            </w:tcBorders>
          </w:tcPr>
          <w:p>
            <w:pPr>
              <w:spacing w:after="0"/>
              <w:rPr>
                <w:sz w:val="2"/>
                <w:szCs w:val="2"/>
                <w:color w:val="auto"/>
              </w:rPr>
            </w:pPr>
          </w:p>
        </w:tc>
      </w:tr>
      <w:tr>
        <w:trPr>
          <w:trHeight w:val="212"/>
        </w:trPr>
        <w:tc>
          <w:tcPr>
            <w:tcW w:w="7340" w:type="dxa"/>
            <w:vAlign w:val="bottom"/>
          </w:tcPr>
          <w:p>
            <w:pPr>
              <w:ind w:left="20"/>
              <w:spacing w:after="0"/>
              <w:rPr>
                <w:sz w:val="20"/>
                <w:szCs w:val="20"/>
                <w:color w:val="auto"/>
              </w:rPr>
            </w:pPr>
            <w:r>
              <w:rPr>
                <w:rFonts w:ascii="Arial" w:cs="Arial" w:eastAsia="Arial" w:hAnsi="Arial"/>
                <w:sz w:val="15"/>
                <w:szCs w:val="15"/>
                <w:b w:val="1"/>
                <w:bCs w:val="1"/>
                <w:color w:val="auto"/>
              </w:rPr>
              <w:t>Income/(loss) for the period</w:t>
            </w:r>
          </w:p>
        </w:tc>
        <w:tc>
          <w:tcPr>
            <w:tcW w:w="1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5"/>
                <w:szCs w:val="15"/>
                <w:b w:val="1"/>
                <w:bCs w:val="1"/>
                <w:color w:val="auto"/>
              </w:rPr>
              <w:t>(48,883)</w:t>
            </w:r>
          </w:p>
        </w:tc>
        <w:tc>
          <w:tcPr>
            <w:tcW w:w="1280" w:type="dxa"/>
            <w:vAlign w:val="bottom"/>
          </w:tcPr>
          <w:p>
            <w:pPr>
              <w:jc w:val="right"/>
              <w:spacing w:after="0"/>
              <w:rPr>
                <w:sz w:val="20"/>
                <w:szCs w:val="20"/>
                <w:color w:val="auto"/>
              </w:rPr>
            </w:pPr>
            <w:r>
              <w:rPr>
                <w:rFonts w:ascii="Arial" w:cs="Arial" w:eastAsia="Arial" w:hAnsi="Arial"/>
                <w:sz w:val="15"/>
                <w:szCs w:val="15"/>
                <w:color w:val="183964"/>
              </w:rPr>
              <w:t>(25,551)</w:t>
            </w:r>
          </w:p>
        </w:tc>
      </w:tr>
      <w:tr>
        <w:trPr>
          <w:trHeight w:val="25"/>
        </w:trPr>
        <w:tc>
          <w:tcPr>
            <w:tcW w:w="7340" w:type="dxa"/>
            <w:vAlign w:val="bottom"/>
            <w:tcBorders>
              <w:bottom w:val="single" w:sz="8" w:color="183964"/>
            </w:tcBorders>
          </w:tcPr>
          <w:p>
            <w:pPr>
              <w:spacing w:after="0"/>
              <w:rPr>
                <w:sz w:val="2"/>
                <w:szCs w:val="2"/>
                <w:color w:val="auto"/>
              </w:rPr>
            </w:pPr>
          </w:p>
        </w:tc>
        <w:tc>
          <w:tcPr>
            <w:tcW w:w="1300" w:type="dxa"/>
            <w:vAlign w:val="bottom"/>
            <w:tcBorders>
              <w:bottom w:val="single" w:sz="8" w:color="183964"/>
            </w:tcBorders>
          </w:tcPr>
          <w:p>
            <w:pPr>
              <w:spacing w:after="0"/>
              <w:rPr>
                <w:sz w:val="2"/>
                <w:szCs w:val="2"/>
                <w:color w:val="auto"/>
              </w:rPr>
            </w:pPr>
          </w:p>
        </w:tc>
        <w:tc>
          <w:tcPr>
            <w:tcW w:w="1300" w:type="dxa"/>
            <w:vAlign w:val="bottom"/>
            <w:tcBorders>
              <w:bottom w:val="single" w:sz="8" w:color="183964"/>
            </w:tcBorders>
          </w:tcPr>
          <w:p>
            <w:pPr>
              <w:spacing w:after="0"/>
              <w:rPr>
                <w:sz w:val="2"/>
                <w:szCs w:val="2"/>
                <w:color w:val="auto"/>
              </w:rPr>
            </w:pPr>
          </w:p>
        </w:tc>
        <w:tc>
          <w:tcPr>
            <w:tcW w:w="1280" w:type="dxa"/>
            <w:vAlign w:val="bottom"/>
            <w:tcBorders>
              <w:bottom w:val="single" w:sz="8" w:color="183964"/>
            </w:tcBorders>
          </w:tcPr>
          <w:p>
            <w:pPr>
              <w:spacing w:after="0"/>
              <w:rPr>
                <w:sz w:val="2"/>
                <w:szCs w:val="2"/>
                <w:color w:val="auto"/>
              </w:rPr>
            </w:pPr>
          </w:p>
        </w:tc>
      </w:tr>
      <w:tr>
        <w:trPr>
          <w:trHeight w:val="211"/>
        </w:trPr>
        <w:tc>
          <w:tcPr>
            <w:tcW w:w="7340" w:type="dxa"/>
            <w:vAlign w:val="bottom"/>
          </w:tcPr>
          <w:p>
            <w:pPr>
              <w:ind w:left="20"/>
              <w:spacing w:after="0"/>
              <w:rPr>
                <w:sz w:val="20"/>
                <w:szCs w:val="20"/>
                <w:color w:val="auto"/>
              </w:rPr>
            </w:pPr>
            <w:r>
              <w:rPr>
                <w:rFonts w:ascii="Arial" w:cs="Arial" w:eastAsia="Arial" w:hAnsi="Arial"/>
                <w:sz w:val="15"/>
                <w:szCs w:val="15"/>
                <w:b w:val="1"/>
                <w:bCs w:val="1"/>
                <w:color w:val="auto"/>
              </w:rPr>
              <w:t>Other comprehensive income/(loss):</w:t>
            </w: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5"/>
        </w:trPr>
        <w:tc>
          <w:tcPr>
            <w:tcW w:w="7340" w:type="dxa"/>
            <w:vAlign w:val="bottom"/>
          </w:tcPr>
          <w:p>
            <w:pPr>
              <w:ind w:left="20"/>
              <w:spacing w:after="0"/>
              <w:rPr>
                <w:sz w:val="20"/>
                <w:szCs w:val="20"/>
                <w:color w:val="auto"/>
              </w:rPr>
            </w:pPr>
            <w:r>
              <w:rPr>
                <w:rFonts w:ascii="Arial" w:cs="Arial" w:eastAsia="Arial" w:hAnsi="Arial"/>
                <w:sz w:val="15"/>
                <w:szCs w:val="15"/>
                <w:color w:val="auto"/>
              </w:rPr>
              <w:t>Items that are or may be reclassified as profit or loss</w:t>
            </w:r>
          </w:p>
        </w:tc>
        <w:tc>
          <w:tcPr>
            <w:tcW w:w="1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51"/>
        </w:trPr>
        <w:tc>
          <w:tcPr>
            <w:tcW w:w="7340" w:type="dxa"/>
            <w:vAlign w:val="bottom"/>
          </w:tcPr>
          <w:p>
            <w:pPr>
              <w:ind w:left="120"/>
              <w:spacing w:after="0"/>
              <w:rPr>
                <w:sz w:val="20"/>
                <w:szCs w:val="20"/>
                <w:color w:val="auto"/>
              </w:rPr>
            </w:pPr>
            <w:r>
              <w:rPr>
                <w:rFonts w:ascii="Arial" w:cs="Arial" w:eastAsia="Arial" w:hAnsi="Arial"/>
                <w:sz w:val="15"/>
                <w:szCs w:val="15"/>
                <w:color w:val="auto"/>
              </w:rPr>
              <w:t>Equity-accounted associate – share of other comprehensive income (loss)</w:t>
            </w:r>
          </w:p>
        </w:tc>
        <w:tc>
          <w:tcPr>
            <w:tcW w:w="1300" w:type="dxa"/>
            <w:vAlign w:val="bottom"/>
          </w:tcPr>
          <w:p>
            <w:pPr>
              <w:spacing w:after="0"/>
              <w:rPr>
                <w:sz w:val="21"/>
                <w:szCs w:val="21"/>
                <w:color w:val="auto"/>
              </w:rPr>
            </w:pPr>
          </w:p>
        </w:tc>
        <w:tc>
          <w:tcPr>
            <w:tcW w:w="1300" w:type="dxa"/>
            <w:vAlign w:val="bottom"/>
          </w:tcPr>
          <w:p>
            <w:pPr>
              <w:jc w:val="right"/>
              <w:ind w:right="5"/>
              <w:spacing w:after="0"/>
              <w:rPr>
                <w:sz w:val="20"/>
                <w:szCs w:val="20"/>
                <w:color w:val="auto"/>
              </w:rPr>
            </w:pPr>
            <w:r>
              <w:rPr>
                <w:rFonts w:ascii="Arial" w:cs="Arial" w:eastAsia="Arial" w:hAnsi="Arial"/>
                <w:sz w:val="15"/>
                <w:szCs w:val="15"/>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183964"/>
              </w:rPr>
              <w:t>92</w:t>
            </w:r>
          </w:p>
        </w:tc>
      </w:tr>
      <w:tr>
        <w:trPr>
          <w:trHeight w:val="243"/>
        </w:trPr>
        <w:tc>
          <w:tcPr>
            <w:tcW w:w="7340" w:type="dxa"/>
            <w:vAlign w:val="bottom"/>
          </w:tcPr>
          <w:p>
            <w:pPr>
              <w:ind w:left="20"/>
              <w:spacing w:after="0"/>
              <w:rPr>
                <w:sz w:val="20"/>
                <w:szCs w:val="20"/>
                <w:color w:val="auto"/>
              </w:rPr>
            </w:pPr>
            <w:r>
              <w:rPr>
                <w:rFonts w:ascii="Arial" w:cs="Arial" w:eastAsia="Arial" w:hAnsi="Arial"/>
                <w:sz w:val="15"/>
                <w:szCs w:val="15"/>
                <w:color w:val="auto"/>
              </w:rPr>
              <w:t>Total other comprehensive income/(loss)</w:t>
            </w:r>
          </w:p>
        </w:tc>
        <w:tc>
          <w:tcPr>
            <w:tcW w:w="1300" w:type="dxa"/>
            <w:vAlign w:val="bottom"/>
          </w:tcPr>
          <w:p>
            <w:pPr>
              <w:spacing w:after="0"/>
              <w:rPr>
                <w:sz w:val="21"/>
                <w:szCs w:val="21"/>
                <w:color w:val="auto"/>
              </w:rPr>
            </w:pPr>
          </w:p>
        </w:tc>
        <w:tc>
          <w:tcPr>
            <w:tcW w:w="1300" w:type="dxa"/>
            <w:vAlign w:val="bottom"/>
          </w:tcPr>
          <w:p>
            <w:pPr>
              <w:jc w:val="right"/>
              <w:ind w:right="5"/>
              <w:spacing w:after="0"/>
              <w:rPr>
                <w:sz w:val="20"/>
                <w:szCs w:val="20"/>
                <w:color w:val="auto"/>
              </w:rPr>
            </w:pPr>
            <w:r>
              <w:rPr>
                <w:rFonts w:ascii="Arial" w:cs="Arial" w:eastAsia="Arial" w:hAnsi="Arial"/>
                <w:sz w:val="15"/>
                <w:szCs w:val="15"/>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183964"/>
              </w:rPr>
              <w:t>92</w:t>
            </w:r>
          </w:p>
        </w:tc>
      </w:tr>
      <w:tr>
        <w:trPr>
          <w:trHeight w:val="25"/>
        </w:trPr>
        <w:tc>
          <w:tcPr>
            <w:tcW w:w="7340" w:type="dxa"/>
            <w:vAlign w:val="bottom"/>
            <w:tcBorders>
              <w:bottom w:val="single" w:sz="8" w:color="183964"/>
            </w:tcBorders>
          </w:tcPr>
          <w:p>
            <w:pPr>
              <w:spacing w:after="0"/>
              <w:rPr>
                <w:sz w:val="2"/>
                <w:szCs w:val="2"/>
                <w:color w:val="auto"/>
              </w:rPr>
            </w:pPr>
          </w:p>
        </w:tc>
        <w:tc>
          <w:tcPr>
            <w:tcW w:w="1300" w:type="dxa"/>
            <w:vAlign w:val="bottom"/>
            <w:tcBorders>
              <w:bottom w:val="single" w:sz="8" w:color="183964"/>
            </w:tcBorders>
          </w:tcPr>
          <w:p>
            <w:pPr>
              <w:spacing w:after="0"/>
              <w:rPr>
                <w:sz w:val="2"/>
                <w:szCs w:val="2"/>
                <w:color w:val="auto"/>
              </w:rPr>
            </w:pPr>
          </w:p>
        </w:tc>
        <w:tc>
          <w:tcPr>
            <w:tcW w:w="1300" w:type="dxa"/>
            <w:vAlign w:val="bottom"/>
            <w:tcBorders>
              <w:bottom w:val="single" w:sz="8" w:color="183964"/>
            </w:tcBorders>
          </w:tcPr>
          <w:p>
            <w:pPr>
              <w:spacing w:after="0"/>
              <w:rPr>
                <w:sz w:val="2"/>
                <w:szCs w:val="2"/>
                <w:color w:val="auto"/>
              </w:rPr>
            </w:pPr>
          </w:p>
        </w:tc>
        <w:tc>
          <w:tcPr>
            <w:tcW w:w="1280" w:type="dxa"/>
            <w:vAlign w:val="bottom"/>
            <w:tcBorders>
              <w:bottom w:val="single" w:sz="8" w:color="183964"/>
            </w:tcBorders>
          </w:tcPr>
          <w:p>
            <w:pPr>
              <w:spacing w:after="0"/>
              <w:rPr>
                <w:sz w:val="2"/>
                <w:szCs w:val="2"/>
                <w:color w:val="auto"/>
              </w:rPr>
            </w:pPr>
          </w:p>
        </w:tc>
      </w:tr>
      <w:tr>
        <w:trPr>
          <w:trHeight w:val="211"/>
        </w:trPr>
        <w:tc>
          <w:tcPr>
            <w:tcW w:w="7340" w:type="dxa"/>
            <w:vAlign w:val="bottom"/>
          </w:tcPr>
          <w:p>
            <w:pPr>
              <w:ind w:left="20"/>
              <w:spacing w:after="0"/>
              <w:rPr>
                <w:sz w:val="20"/>
                <w:szCs w:val="20"/>
                <w:color w:val="auto"/>
              </w:rPr>
            </w:pPr>
            <w:r>
              <w:rPr>
                <w:rFonts w:ascii="Arial" w:cs="Arial" w:eastAsia="Arial" w:hAnsi="Arial"/>
                <w:sz w:val="15"/>
                <w:szCs w:val="15"/>
                <w:b w:val="1"/>
                <w:bCs w:val="1"/>
                <w:color w:val="auto"/>
              </w:rPr>
              <w:t>Total comprehensive income/(loss) for the period</w:t>
            </w:r>
          </w:p>
        </w:tc>
        <w:tc>
          <w:tcPr>
            <w:tcW w:w="1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5"/>
                <w:szCs w:val="15"/>
                <w:b w:val="1"/>
                <w:bCs w:val="1"/>
                <w:color w:val="auto"/>
              </w:rPr>
              <w:t>(48,883)</w:t>
            </w:r>
          </w:p>
        </w:tc>
        <w:tc>
          <w:tcPr>
            <w:tcW w:w="1280" w:type="dxa"/>
            <w:vAlign w:val="bottom"/>
          </w:tcPr>
          <w:p>
            <w:pPr>
              <w:jc w:val="right"/>
              <w:spacing w:after="0"/>
              <w:rPr>
                <w:sz w:val="20"/>
                <w:szCs w:val="20"/>
                <w:color w:val="auto"/>
              </w:rPr>
            </w:pPr>
            <w:r>
              <w:rPr>
                <w:rFonts w:ascii="Arial" w:cs="Arial" w:eastAsia="Arial" w:hAnsi="Arial"/>
                <w:sz w:val="15"/>
                <w:szCs w:val="15"/>
                <w:color w:val="183964"/>
              </w:rPr>
              <w:t>(25,458)</w:t>
            </w:r>
          </w:p>
        </w:tc>
      </w:tr>
      <w:tr>
        <w:trPr>
          <w:trHeight w:val="25"/>
        </w:trPr>
        <w:tc>
          <w:tcPr>
            <w:tcW w:w="7340" w:type="dxa"/>
            <w:vAlign w:val="bottom"/>
            <w:tcBorders>
              <w:bottom w:val="single" w:sz="8" w:color="183964"/>
            </w:tcBorders>
          </w:tcPr>
          <w:p>
            <w:pPr>
              <w:spacing w:after="0"/>
              <w:rPr>
                <w:sz w:val="2"/>
                <w:szCs w:val="2"/>
                <w:color w:val="auto"/>
              </w:rPr>
            </w:pPr>
          </w:p>
        </w:tc>
        <w:tc>
          <w:tcPr>
            <w:tcW w:w="1300" w:type="dxa"/>
            <w:vAlign w:val="bottom"/>
            <w:tcBorders>
              <w:bottom w:val="single" w:sz="8" w:color="183964"/>
            </w:tcBorders>
          </w:tcPr>
          <w:p>
            <w:pPr>
              <w:spacing w:after="0"/>
              <w:rPr>
                <w:sz w:val="2"/>
                <w:szCs w:val="2"/>
                <w:color w:val="auto"/>
              </w:rPr>
            </w:pPr>
          </w:p>
        </w:tc>
        <w:tc>
          <w:tcPr>
            <w:tcW w:w="1300" w:type="dxa"/>
            <w:vAlign w:val="bottom"/>
            <w:tcBorders>
              <w:bottom w:val="single" w:sz="8" w:color="183964"/>
            </w:tcBorders>
          </w:tcPr>
          <w:p>
            <w:pPr>
              <w:spacing w:after="0"/>
              <w:rPr>
                <w:sz w:val="2"/>
                <w:szCs w:val="2"/>
                <w:color w:val="auto"/>
              </w:rPr>
            </w:pPr>
          </w:p>
        </w:tc>
        <w:tc>
          <w:tcPr>
            <w:tcW w:w="1280" w:type="dxa"/>
            <w:vAlign w:val="bottom"/>
            <w:tcBorders>
              <w:bottom w:val="single" w:sz="8" w:color="183964"/>
            </w:tcBorders>
          </w:tcPr>
          <w:p>
            <w:pPr>
              <w:spacing w:after="0"/>
              <w:rPr>
                <w:sz w:val="2"/>
                <w:szCs w:val="2"/>
                <w:color w:val="auto"/>
              </w:rPr>
            </w:pPr>
          </w:p>
        </w:tc>
      </w:tr>
      <w:tr>
        <w:trPr>
          <w:trHeight w:val="212"/>
        </w:trPr>
        <w:tc>
          <w:tcPr>
            <w:tcW w:w="7340" w:type="dxa"/>
            <w:vAlign w:val="bottom"/>
          </w:tcPr>
          <w:p>
            <w:pPr>
              <w:ind w:left="20"/>
              <w:spacing w:after="0"/>
              <w:rPr>
                <w:sz w:val="20"/>
                <w:szCs w:val="20"/>
                <w:color w:val="auto"/>
              </w:rPr>
            </w:pPr>
            <w:r>
              <w:rPr>
                <w:rFonts w:ascii="Arial" w:cs="Arial" w:eastAsia="Arial" w:hAnsi="Arial"/>
                <w:sz w:val="15"/>
                <w:szCs w:val="15"/>
                <w:b w:val="1"/>
                <w:bCs w:val="1"/>
                <w:color w:val="auto"/>
              </w:rPr>
              <w:t>Income/(loss) attributable to:</w:t>
            </w: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43"/>
        </w:trPr>
        <w:tc>
          <w:tcPr>
            <w:tcW w:w="7340" w:type="dxa"/>
            <w:vAlign w:val="bottom"/>
          </w:tcPr>
          <w:p>
            <w:pPr>
              <w:ind w:left="20"/>
              <w:spacing w:after="0"/>
              <w:rPr>
                <w:sz w:val="20"/>
                <w:szCs w:val="20"/>
                <w:color w:val="auto"/>
              </w:rPr>
            </w:pPr>
            <w:r>
              <w:rPr>
                <w:rFonts w:ascii="Arial" w:cs="Arial" w:eastAsia="Arial" w:hAnsi="Arial"/>
                <w:sz w:val="15"/>
                <w:szCs w:val="15"/>
                <w:color w:val="auto"/>
              </w:rPr>
              <w:t>Owners of the Group</w:t>
            </w:r>
          </w:p>
        </w:tc>
        <w:tc>
          <w:tcPr>
            <w:tcW w:w="1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5"/>
                <w:szCs w:val="15"/>
                <w:b w:val="1"/>
                <w:bCs w:val="1"/>
                <w:color w:val="auto"/>
              </w:rPr>
              <w:t>(41,773)</w:t>
            </w:r>
          </w:p>
        </w:tc>
        <w:tc>
          <w:tcPr>
            <w:tcW w:w="1280" w:type="dxa"/>
            <w:vAlign w:val="bottom"/>
          </w:tcPr>
          <w:p>
            <w:pPr>
              <w:jc w:val="right"/>
              <w:spacing w:after="0"/>
              <w:rPr>
                <w:sz w:val="20"/>
                <w:szCs w:val="20"/>
                <w:color w:val="auto"/>
              </w:rPr>
            </w:pPr>
            <w:r>
              <w:rPr>
                <w:rFonts w:ascii="Arial" w:cs="Arial" w:eastAsia="Arial" w:hAnsi="Arial"/>
                <w:sz w:val="15"/>
                <w:szCs w:val="15"/>
                <w:color w:val="183964"/>
              </w:rPr>
              <w:t>(25,004)</w:t>
            </w:r>
          </w:p>
        </w:tc>
      </w:tr>
      <w:tr>
        <w:trPr>
          <w:trHeight w:val="243"/>
        </w:trPr>
        <w:tc>
          <w:tcPr>
            <w:tcW w:w="7340" w:type="dxa"/>
            <w:vAlign w:val="bottom"/>
          </w:tcPr>
          <w:p>
            <w:pPr>
              <w:ind w:left="20"/>
              <w:spacing w:after="0"/>
              <w:rPr>
                <w:sz w:val="20"/>
                <w:szCs w:val="20"/>
                <w:color w:val="auto"/>
              </w:rPr>
            </w:pPr>
            <w:r>
              <w:rPr>
                <w:rFonts w:ascii="Arial" w:cs="Arial" w:eastAsia="Arial" w:hAnsi="Arial"/>
                <w:sz w:val="15"/>
                <w:szCs w:val="15"/>
                <w:color w:val="auto"/>
              </w:rPr>
              <w:t>Non-controlling interests</w:t>
            </w:r>
          </w:p>
        </w:tc>
        <w:tc>
          <w:tcPr>
            <w:tcW w:w="1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5"/>
                <w:szCs w:val="15"/>
                <w:b w:val="1"/>
                <w:bCs w:val="1"/>
                <w:color w:val="auto"/>
              </w:rPr>
              <w:t>(7,111)</w:t>
            </w:r>
          </w:p>
        </w:tc>
        <w:tc>
          <w:tcPr>
            <w:tcW w:w="1280" w:type="dxa"/>
            <w:vAlign w:val="bottom"/>
          </w:tcPr>
          <w:p>
            <w:pPr>
              <w:jc w:val="right"/>
              <w:spacing w:after="0"/>
              <w:rPr>
                <w:sz w:val="20"/>
                <w:szCs w:val="20"/>
                <w:color w:val="auto"/>
              </w:rPr>
            </w:pPr>
            <w:r>
              <w:rPr>
                <w:rFonts w:ascii="Arial" w:cs="Arial" w:eastAsia="Arial" w:hAnsi="Arial"/>
                <w:sz w:val="15"/>
                <w:szCs w:val="15"/>
                <w:color w:val="183964"/>
              </w:rPr>
              <w:t>(546)</w:t>
            </w:r>
          </w:p>
        </w:tc>
      </w:tr>
      <w:tr>
        <w:trPr>
          <w:trHeight w:val="25"/>
        </w:trPr>
        <w:tc>
          <w:tcPr>
            <w:tcW w:w="7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2"/>
        </w:trPr>
        <w:tc>
          <w:tcPr>
            <w:tcW w:w="7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5"/>
                <w:szCs w:val="15"/>
                <w:b w:val="1"/>
                <w:bCs w:val="1"/>
                <w:color w:val="auto"/>
              </w:rPr>
              <w:t>(48,883)</w:t>
            </w:r>
          </w:p>
        </w:tc>
        <w:tc>
          <w:tcPr>
            <w:tcW w:w="1280" w:type="dxa"/>
            <w:vAlign w:val="bottom"/>
          </w:tcPr>
          <w:p>
            <w:pPr>
              <w:jc w:val="right"/>
              <w:spacing w:after="0"/>
              <w:rPr>
                <w:sz w:val="20"/>
                <w:szCs w:val="20"/>
                <w:color w:val="auto"/>
              </w:rPr>
            </w:pPr>
            <w:r>
              <w:rPr>
                <w:rFonts w:ascii="Arial" w:cs="Arial" w:eastAsia="Arial" w:hAnsi="Arial"/>
                <w:sz w:val="15"/>
                <w:szCs w:val="15"/>
                <w:color w:val="183964"/>
              </w:rPr>
              <w:t>(25,551)</w:t>
            </w:r>
          </w:p>
        </w:tc>
      </w:tr>
      <w:tr>
        <w:trPr>
          <w:trHeight w:val="25"/>
        </w:trPr>
        <w:tc>
          <w:tcPr>
            <w:tcW w:w="7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1"/>
        </w:trPr>
        <w:tc>
          <w:tcPr>
            <w:tcW w:w="7340" w:type="dxa"/>
            <w:vAlign w:val="bottom"/>
          </w:tcPr>
          <w:p>
            <w:pPr>
              <w:ind w:left="20"/>
              <w:spacing w:after="0"/>
              <w:rPr>
                <w:sz w:val="20"/>
                <w:szCs w:val="20"/>
                <w:color w:val="auto"/>
              </w:rPr>
            </w:pPr>
            <w:r>
              <w:rPr>
                <w:rFonts w:ascii="Arial" w:cs="Arial" w:eastAsia="Arial" w:hAnsi="Arial"/>
                <w:sz w:val="15"/>
                <w:szCs w:val="15"/>
                <w:b w:val="1"/>
                <w:bCs w:val="1"/>
                <w:color w:val="auto"/>
              </w:rPr>
              <w:t>Comprehensive income/(loss) attributable to:</w:t>
            </w: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43"/>
        </w:trPr>
        <w:tc>
          <w:tcPr>
            <w:tcW w:w="7340" w:type="dxa"/>
            <w:vAlign w:val="bottom"/>
          </w:tcPr>
          <w:p>
            <w:pPr>
              <w:ind w:left="20"/>
              <w:spacing w:after="0"/>
              <w:rPr>
                <w:sz w:val="20"/>
                <w:szCs w:val="20"/>
                <w:color w:val="auto"/>
              </w:rPr>
            </w:pPr>
            <w:r>
              <w:rPr>
                <w:rFonts w:ascii="Arial" w:cs="Arial" w:eastAsia="Arial" w:hAnsi="Arial"/>
                <w:sz w:val="15"/>
                <w:szCs w:val="15"/>
                <w:color w:val="auto"/>
              </w:rPr>
              <w:t>Owners of the Group</w:t>
            </w:r>
          </w:p>
        </w:tc>
        <w:tc>
          <w:tcPr>
            <w:tcW w:w="1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5"/>
                <w:szCs w:val="15"/>
                <w:b w:val="1"/>
                <w:bCs w:val="1"/>
                <w:color w:val="auto"/>
              </w:rPr>
              <w:t>(41,773)</w:t>
            </w:r>
          </w:p>
        </w:tc>
        <w:tc>
          <w:tcPr>
            <w:tcW w:w="1280" w:type="dxa"/>
            <w:vAlign w:val="bottom"/>
          </w:tcPr>
          <w:p>
            <w:pPr>
              <w:jc w:val="right"/>
              <w:spacing w:after="0"/>
              <w:rPr>
                <w:sz w:val="20"/>
                <w:szCs w:val="20"/>
                <w:color w:val="auto"/>
              </w:rPr>
            </w:pPr>
            <w:r>
              <w:rPr>
                <w:rFonts w:ascii="Arial" w:cs="Arial" w:eastAsia="Arial" w:hAnsi="Arial"/>
                <w:sz w:val="15"/>
                <w:szCs w:val="15"/>
                <w:color w:val="183964"/>
              </w:rPr>
              <w:t>(24,912)</w:t>
            </w:r>
          </w:p>
        </w:tc>
      </w:tr>
      <w:tr>
        <w:trPr>
          <w:trHeight w:val="243"/>
        </w:trPr>
        <w:tc>
          <w:tcPr>
            <w:tcW w:w="7340" w:type="dxa"/>
            <w:vAlign w:val="bottom"/>
          </w:tcPr>
          <w:p>
            <w:pPr>
              <w:ind w:left="20"/>
              <w:spacing w:after="0"/>
              <w:rPr>
                <w:sz w:val="20"/>
                <w:szCs w:val="20"/>
                <w:color w:val="auto"/>
              </w:rPr>
            </w:pPr>
            <w:r>
              <w:rPr>
                <w:rFonts w:ascii="Arial" w:cs="Arial" w:eastAsia="Arial" w:hAnsi="Arial"/>
                <w:sz w:val="15"/>
                <w:szCs w:val="15"/>
                <w:color w:val="auto"/>
              </w:rPr>
              <w:t>Non-controlling interests</w:t>
            </w:r>
          </w:p>
        </w:tc>
        <w:tc>
          <w:tcPr>
            <w:tcW w:w="1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5"/>
                <w:szCs w:val="15"/>
                <w:b w:val="1"/>
                <w:bCs w:val="1"/>
                <w:color w:val="auto"/>
              </w:rPr>
              <w:t>(7,111)</w:t>
            </w:r>
          </w:p>
        </w:tc>
        <w:tc>
          <w:tcPr>
            <w:tcW w:w="1280" w:type="dxa"/>
            <w:vAlign w:val="bottom"/>
          </w:tcPr>
          <w:p>
            <w:pPr>
              <w:jc w:val="right"/>
              <w:spacing w:after="0"/>
              <w:rPr>
                <w:sz w:val="20"/>
                <w:szCs w:val="20"/>
                <w:color w:val="auto"/>
              </w:rPr>
            </w:pPr>
            <w:r>
              <w:rPr>
                <w:rFonts w:ascii="Arial" w:cs="Arial" w:eastAsia="Arial" w:hAnsi="Arial"/>
                <w:sz w:val="15"/>
                <w:szCs w:val="15"/>
                <w:color w:val="183964"/>
              </w:rPr>
              <w:t>(546)</w:t>
            </w:r>
          </w:p>
        </w:tc>
      </w:tr>
      <w:tr>
        <w:trPr>
          <w:trHeight w:val="25"/>
        </w:trPr>
        <w:tc>
          <w:tcPr>
            <w:tcW w:w="7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1"/>
        </w:trPr>
        <w:tc>
          <w:tcPr>
            <w:tcW w:w="7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5"/>
                <w:szCs w:val="15"/>
                <w:b w:val="1"/>
                <w:bCs w:val="1"/>
                <w:color w:val="auto"/>
              </w:rPr>
              <w:t>(48,883)</w:t>
            </w:r>
          </w:p>
        </w:tc>
        <w:tc>
          <w:tcPr>
            <w:tcW w:w="1280" w:type="dxa"/>
            <w:vAlign w:val="bottom"/>
          </w:tcPr>
          <w:p>
            <w:pPr>
              <w:jc w:val="right"/>
              <w:spacing w:after="0"/>
              <w:rPr>
                <w:sz w:val="20"/>
                <w:szCs w:val="20"/>
                <w:color w:val="auto"/>
              </w:rPr>
            </w:pPr>
            <w:r>
              <w:rPr>
                <w:rFonts w:ascii="Arial" w:cs="Arial" w:eastAsia="Arial" w:hAnsi="Arial"/>
                <w:sz w:val="15"/>
                <w:szCs w:val="15"/>
                <w:color w:val="183964"/>
              </w:rPr>
              <w:t>(25,458)</w:t>
            </w:r>
          </w:p>
        </w:tc>
      </w:tr>
      <w:tr>
        <w:trPr>
          <w:trHeight w:val="25"/>
        </w:trPr>
        <w:tc>
          <w:tcPr>
            <w:tcW w:w="7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74"/>
        </w:trPr>
        <w:tc>
          <w:tcPr>
            <w:tcW w:w="7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183964"/>
              </w:rPr>
              <w:t>$</w:t>
            </w:r>
          </w:p>
        </w:tc>
      </w:tr>
      <w:tr>
        <w:trPr>
          <w:trHeight w:val="21"/>
        </w:trPr>
        <w:tc>
          <w:tcPr>
            <w:tcW w:w="7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12"/>
        </w:trPr>
        <w:tc>
          <w:tcPr>
            <w:tcW w:w="7340" w:type="dxa"/>
            <w:vAlign w:val="bottom"/>
          </w:tcPr>
          <w:p>
            <w:pPr>
              <w:ind w:left="20"/>
              <w:spacing w:after="0"/>
              <w:rPr>
                <w:sz w:val="20"/>
                <w:szCs w:val="20"/>
                <w:color w:val="auto"/>
              </w:rPr>
            </w:pPr>
            <w:r>
              <w:rPr>
                <w:rFonts w:ascii="Arial" w:cs="Arial" w:eastAsia="Arial" w:hAnsi="Arial"/>
                <w:sz w:val="15"/>
                <w:szCs w:val="15"/>
                <w:b w:val="1"/>
                <w:bCs w:val="1"/>
                <w:color w:val="auto"/>
              </w:rPr>
              <w:t>Earnings/(loss) per share:</w:t>
            </w: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43"/>
        </w:trPr>
        <w:tc>
          <w:tcPr>
            <w:tcW w:w="7340" w:type="dxa"/>
            <w:vAlign w:val="bottom"/>
          </w:tcPr>
          <w:p>
            <w:pPr>
              <w:ind w:left="20"/>
              <w:spacing w:after="0"/>
              <w:rPr>
                <w:sz w:val="20"/>
                <w:szCs w:val="20"/>
                <w:color w:val="auto"/>
              </w:rPr>
            </w:pPr>
            <w:r>
              <w:rPr>
                <w:rFonts w:ascii="Arial" w:cs="Arial" w:eastAsia="Arial" w:hAnsi="Arial"/>
                <w:sz w:val="15"/>
                <w:szCs w:val="15"/>
                <w:color w:val="auto"/>
              </w:rPr>
              <w:t>Basic earnings/(loss) per share</w:t>
            </w:r>
          </w:p>
        </w:tc>
        <w:tc>
          <w:tcPr>
            <w:tcW w:w="1300" w:type="dxa"/>
            <w:vAlign w:val="bottom"/>
          </w:tcPr>
          <w:p>
            <w:pPr>
              <w:jc w:val="right"/>
              <w:spacing w:after="0"/>
              <w:rPr>
                <w:sz w:val="20"/>
                <w:szCs w:val="20"/>
                <w:color w:val="auto"/>
              </w:rPr>
            </w:pPr>
            <w:r>
              <w:rPr>
                <w:rFonts w:ascii="Arial" w:cs="Arial" w:eastAsia="Arial" w:hAnsi="Arial"/>
                <w:sz w:val="15"/>
                <w:szCs w:val="15"/>
                <w:color w:val="183964"/>
              </w:rPr>
              <w:t>9</w:t>
            </w:r>
          </w:p>
        </w:tc>
        <w:tc>
          <w:tcPr>
            <w:tcW w:w="1300" w:type="dxa"/>
            <w:vAlign w:val="bottom"/>
          </w:tcPr>
          <w:p>
            <w:pPr>
              <w:jc w:val="right"/>
              <w:spacing w:after="0"/>
              <w:rPr>
                <w:sz w:val="20"/>
                <w:szCs w:val="20"/>
                <w:color w:val="auto"/>
              </w:rPr>
            </w:pPr>
            <w:r>
              <w:rPr>
                <w:rFonts w:ascii="Arial" w:cs="Arial" w:eastAsia="Arial" w:hAnsi="Arial"/>
                <w:sz w:val="15"/>
                <w:szCs w:val="15"/>
                <w:b w:val="1"/>
                <w:bCs w:val="1"/>
                <w:color w:val="auto"/>
              </w:rPr>
              <w:t>(0.15)</w:t>
            </w:r>
          </w:p>
        </w:tc>
        <w:tc>
          <w:tcPr>
            <w:tcW w:w="1280" w:type="dxa"/>
            <w:vAlign w:val="bottom"/>
          </w:tcPr>
          <w:p>
            <w:pPr>
              <w:jc w:val="right"/>
              <w:spacing w:after="0"/>
              <w:rPr>
                <w:sz w:val="20"/>
                <w:szCs w:val="20"/>
                <w:color w:val="auto"/>
              </w:rPr>
            </w:pPr>
            <w:r>
              <w:rPr>
                <w:rFonts w:ascii="Arial" w:cs="Arial" w:eastAsia="Arial" w:hAnsi="Arial"/>
                <w:sz w:val="15"/>
                <w:szCs w:val="15"/>
                <w:color w:val="183964"/>
              </w:rPr>
              <w:t>(0.09)</w:t>
            </w:r>
          </w:p>
        </w:tc>
      </w:tr>
      <w:tr>
        <w:trPr>
          <w:trHeight w:val="243"/>
        </w:trPr>
        <w:tc>
          <w:tcPr>
            <w:tcW w:w="7340" w:type="dxa"/>
            <w:vAlign w:val="bottom"/>
          </w:tcPr>
          <w:p>
            <w:pPr>
              <w:ind w:left="20"/>
              <w:spacing w:after="0"/>
              <w:rPr>
                <w:sz w:val="20"/>
                <w:szCs w:val="20"/>
                <w:color w:val="auto"/>
              </w:rPr>
            </w:pPr>
            <w:r>
              <w:rPr>
                <w:rFonts w:ascii="Arial" w:cs="Arial" w:eastAsia="Arial" w:hAnsi="Arial"/>
                <w:sz w:val="15"/>
                <w:szCs w:val="15"/>
                <w:color w:val="auto"/>
              </w:rPr>
              <w:t>Diluted earnings/(loss) per share</w:t>
            </w:r>
          </w:p>
        </w:tc>
        <w:tc>
          <w:tcPr>
            <w:tcW w:w="1300" w:type="dxa"/>
            <w:vAlign w:val="bottom"/>
          </w:tcPr>
          <w:p>
            <w:pPr>
              <w:jc w:val="right"/>
              <w:spacing w:after="0"/>
              <w:rPr>
                <w:sz w:val="20"/>
                <w:szCs w:val="20"/>
                <w:color w:val="auto"/>
              </w:rPr>
            </w:pPr>
            <w:r>
              <w:rPr>
                <w:rFonts w:ascii="Arial" w:cs="Arial" w:eastAsia="Arial" w:hAnsi="Arial"/>
                <w:sz w:val="15"/>
                <w:szCs w:val="15"/>
                <w:color w:val="183964"/>
              </w:rPr>
              <w:t>9</w:t>
            </w:r>
          </w:p>
        </w:tc>
        <w:tc>
          <w:tcPr>
            <w:tcW w:w="1300" w:type="dxa"/>
            <w:vAlign w:val="bottom"/>
          </w:tcPr>
          <w:p>
            <w:pPr>
              <w:jc w:val="right"/>
              <w:spacing w:after="0"/>
              <w:rPr>
                <w:sz w:val="20"/>
                <w:szCs w:val="20"/>
                <w:color w:val="auto"/>
              </w:rPr>
            </w:pPr>
            <w:r>
              <w:rPr>
                <w:rFonts w:ascii="Arial" w:cs="Arial" w:eastAsia="Arial" w:hAnsi="Arial"/>
                <w:sz w:val="15"/>
                <w:szCs w:val="15"/>
                <w:b w:val="1"/>
                <w:bCs w:val="1"/>
                <w:color w:val="auto"/>
              </w:rPr>
              <w:t>(0.15)</w:t>
            </w:r>
          </w:p>
        </w:tc>
        <w:tc>
          <w:tcPr>
            <w:tcW w:w="1280" w:type="dxa"/>
            <w:vAlign w:val="bottom"/>
          </w:tcPr>
          <w:p>
            <w:pPr>
              <w:jc w:val="right"/>
              <w:spacing w:after="0"/>
              <w:rPr>
                <w:sz w:val="20"/>
                <w:szCs w:val="20"/>
                <w:color w:val="auto"/>
              </w:rPr>
            </w:pPr>
            <w:r>
              <w:rPr>
                <w:rFonts w:ascii="Arial" w:cs="Arial" w:eastAsia="Arial" w:hAnsi="Arial"/>
                <w:sz w:val="15"/>
                <w:szCs w:val="15"/>
                <w:color w:val="183964"/>
              </w:rPr>
              <w:t>(0.09)</w:t>
            </w:r>
          </w:p>
        </w:tc>
      </w:tr>
      <w:tr>
        <w:trPr>
          <w:trHeight w:val="25"/>
        </w:trPr>
        <w:tc>
          <w:tcPr>
            <w:tcW w:w="7340" w:type="dxa"/>
            <w:vAlign w:val="bottom"/>
            <w:tcBorders>
              <w:bottom w:val="single" w:sz="8" w:color="auto"/>
            </w:tcBorders>
          </w:tcPr>
          <w:p>
            <w:pPr>
              <w:spacing w:after="0"/>
              <w:rPr>
                <w:sz w:val="2"/>
                <w:szCs w:val="2"/>
                <w:color w:val="auto"/>
              </w:rPr>
            </w:pPr>
          </w:p>
        </w:tc>
        <w:tc>
          <w:tcPr>
            <w:tcW w:w="1300" w:type="dxa"/>
            <w:vAlign w:val="bottom"/>
            <w:tcBorders>
              <w:bottom w:val="single" w:sz="8" w:color="183964"/>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The accompanying notes are an integral part of these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780415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sectPr>
      </w:pPr>
    </w:p>
    <w:bookmarkStart w:id="19" w:name="page20"/>
    <w:bookmarkEnd w:id="19"/>
    <w:p>
      <w:pPr>
        <w:spacing w:after="0"/>
        <w:rPr>
          <w:sz w:val="20"/>
          <w:szCs w:val="20"/>
          <w:color w:val="auto"/>
        </w:rPr>
      </w:pPr>
      <w:r>
        <w:rPr>
          <w:rFonts w:ascii="Arial" w:cs="Arial" w:eastAsia="Arial" w:hAnsi="Arial"/>
          <w:sz w:val="31"/>
          <w:szCs w:val="31"/>
          <w:b w:val="1"/>
          <w:bCs w:val="1"/>
          <w:color w:val="183964"/>
        </w:rPr>
        <w:t>Condensed Consolidated Statement of Financial Position (Unaudited)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780" w:type="dxa"/>
            <w:vAlign w:val="bottom"/>
          </w:tcPr>
          <w:p>
            <w:pPr>
              <w:spacing w:after="0"/>
              <w:rPr>
                <w:sz w:val="20"/>
                <w:szCs w:val="20"/>
                <w:color w:val="auto"/>
              </w:rPr>
            </w:pPr>
            <w:r>
              <w:rPr>
                <w:rFonts w:ascii="Arial" w:cs="Arial" w:eastAsia="Arial" w:hAnsi="Arial"/>
                <w:sz w:val="13"/>
                <w:szCs w:val="13"/>
                <w:b w:val="1"/>
                <w:bCs w:val="1"/>
                <w:color w:val="183964"/>
              </w:rPr>
              <w:t>As of</w:t>
            </w:r>
          </w:p>
        </w:tc>
        <w:tc>
          <w:tcPr>
            <w:tcW w:w="30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9"/>
        </w:trPr>
        <w:tc>
          <w:tcPr>
            <w:tcW w:w="578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360" w:type="dxa"/>
            <w:vAlign w:val="bottom"/>
            <w:gridSpan w:val="2"/>
          </w:tcPr>
          <w:p>
            <w:pPr>
              <w:jc w:val="right"/>
              <w:spacing w:after="0"/>
              <w:rPr>
                <w:sz w:val="20"/>
                <w:szCs w:val="20"/>
                <w:color w:val="auto"/>
              </w:rPr>
            </w:pPr>
            <w:r>
              <w:rPr>
                <w:rFonts w:ascii="Arial" w:cs="Arial" w:eastAsia="Arial" w:hAnsi="Arial"/>
                <w:sz w:val="13"/>
                <w:szCs w:val="13"/>
                <w:b w:val="1"/>
                <w:bCs w:val="1"/>
                <w:color w:val="auto"/>
              </w:rPr>
              <w:t xml:space="preserve">June 30, 2024   </w:t>
            </w:r>
            <w:r>
              <w:rPr>
                <w:rFonts w:ascii="Arial" w:cs="Arial" w:eastAsia="Arial" w:hAnsi="Arial"/>
                <w:sz w:val="13"/>
                <w:szCs w:val="13"/>
                <w:color w:val="183964"/>
              </w:rPr>
              <w:t>December 31, 2023</w:t>
            </w:r>
          </w:p>
        </w:tc>
      </w:tr>
      <w:tr>
        <w:trPr>
          <w:trHeight w:val="172"/>
        </w:trPr>
        <w:tc>
          <w:tcPr>
            <w:tcW w:w="5780" w:type="dxa"/>
            <w:vAlign w:val="bottom"/>
          </w:tcPr>
          <w:p>
            <w:pPr>
              <w:spacing w:after="0"/>
              <w:rPr>
                <w:sz w:val="14"/>
                <w:szCs w:val="14"/>
                <w:color w:val="auto"/>
              </w:rPr>
            </w:pPr>
          </w:p>
        </w:tc>
        <w:tc>
          <w:tcPr>
            <w:tcW w:w="3080" w:type="dxa"/>
            <w:vAlign w:val="bottom"/>
          </w:tcPr>
          <w:p>
            <w:pPr>
              <w:jc w:val="right"/>
              <w:ind w:right="165"/>
              <w:spacing w:after="0"/>
              <w:rPr>
                <w:sz w:val="20"/>
                <w:szCs w:val="20"/>
                <w:color w:val="auto"/>
              </w:rPr>
            </w:pPr>
            <w:r>
              <w:rPr>
                <w:rFonts w:ascii="Arial" w:cs="Arial" w:eastAsia="Arial" w:hAnsi="Arial"/>
                <w:sz w:val="13"/>
                <w:szCs w:val="13"/>
                <w:color w:val="183964"/>
              </w:rPr>
              <w:t>Note</w:t>
            </w:r>
          </w:p>
        </w:tc>
        <w:tc>
          <w:tcPr>
            <w:tcW w:w="1400" w:type="dxa"/>
            <w:vAlign w:val="bottom"/>
          </w:tcPr>
          <w:p>
            <w:pPr>
              <w:jc w:val="right"/>
              <w:ind w:right="264"/>
              <w:spacing w:after="0"/>
              <w:rPr>
                <w:sz w:val="20"/>
                <w:szCs w:val="20"/>
                <w:color w:val="auto"/>
              </w:rPr>
            </w:pPr>
            <w:r>
              <w:rPr>
                <w:rFonts w:ascii="Arial" w:cs="Arial" w:eastAsia="Arial" w:hAnsi="Arial"/>
                <w:sz w:val="13"/>
                <w:szCs w:val="13"/>
                <w:b w:val="1"/>
                <w:bCs w:val="1"/>
                <w:color w:val="auto"/>
              </w:rPr>
              <w:t>$000s</w:t>
            </w:r>
          </w:p>
        </w:tc>
        <w:tc>
          <w:tcPr>
            <w:tcW w:w="960" w:type="dxa"/>
            <w:vAlign w:val="bottom"/>
          </w:tcPr>
          <w:p>
            <w:pPr>
              <w:jc w:val="right"/>
              <w:spacing w:after="0"/>
              <w:rPr>
                <w:sz w:val="20"/>
                <w:szCs w:val="20"/>
                <w:color w:val="auto"/>
              </w:rPr>
            </w:pPr>
            <w:r>
              <w:rPr>
                <w:rFonts w:ascii="Arial" w:cs="Arial" w:eastAsia="Arial" w:hAnsi="Arial"/>
                <w:sz w:val="13"/>
                <w:szCs w:val="13"/>
                <w:color w:val="183964"/>
              </w:rPr>
              <w:t>$000s</w:t>
            </w:r>
          </w:p>
        </w:tc>
      </w:tr>
      <w:tr>
        <w:trPr>
          <w:trHeight w:val="22"/>
        </w:trPr>
        <w:tc>
          <w:tcPr>
            <w:tcW w:w="5780" w:type="dxa"/>
            <w:vAlign w:val="bottom"/>
            <w:tcBorders>
              <w:bottom w:val="single" w:sz="8" w:color="001544"/>
            </w:tcBorders>
          </w:tcPr>
          <w:p>
            <w:pPr>
              <w:spacing w:after="0" w:line="20" w:lineRule="exact"/>
              <w:rPr>
                <w:sz w:val="1"/>
                <w:szCs w:val="1"/>
                <w:color w:val="auto"/>
              </w:rPr>
            </w:pPr>
          </w:p>
        </w:tc>
        <w:tc>
          <w:tcPr>
            <w:tcW w:w="3080" w:type="dxa"/>
            <w:vAlign w:val="bottom"/>
            <w:tcBorders>
              <w:bottom w:val="single" w:sz="8" w:color="001544"/>
            </w:tcBorders>
          </w:tcPr>
          <w:p>
            <w:pPr>
              <w:spacing w:after="0" w:line="20" w:lineRule="exact"/>
              <w:rPr>
                <w:sz w:val="1"/>
                <w:szCs w:val="1"/>
                <w:color w:val="auto"/>
              </w:rPr>
            </w:pPr>
          </w:p>
        </w:tc>
        <w:tc>
          <w:tcPr>
            <w:tcW w:w="1400" w:type="dxa"/>
            <w:vAlign w:val="bottom"/>
            <w:tcBorders>
              <w:bottom w:val="single" w:sz="8" w:color="001544"/>
            </w:tcBorders>
          </w:tcPr>
          <w:p>
            <w:pPr>
              <w:spacing w:after="0" w:line="20" w:lineRule="exact"/>
              <w:rPr>
                <w:sz w:val="1"/>
                <w:szCs w:val="1"/>
                <w:color w:val="auto"/>
              </w:rPr>
            </w:pPr>
          </w:p>
        </w:tc>
        <w:tc>
          <w:tcPr>
            <w:tcW w:w="960" w:type="dxa"/>
            <w:vAlign w:val="bottom"/>
            <w:tcBorders>
              <w:bottom w:val="single" w:sz="8" w:color="001544"/>
            </w:tcBorders>
          </w:tcPr>
          <w:p>
            <w:pPr>
              <w:spacing w:after="0" w:line="20" w:lineRule="exact"/>
              <w:rPr>
                <w:sz w:val="1"/>
                <w:szCs w:val="1"/>
                <w:color w:val="auto"/>
              </w:rPr>
            </w:pPr>
          </w:p>
        </w:tc>
      </w:tr>
      <w:tr>
        <w:trPr>
          <w:trHeight w:val="211"/>
        </w:trPr>
        <w:tc>
          <w:tcPr>
            <w:tcW w:w="5780" w:type="dxa"/>
            <w:vAlign w:val="bottom"/>
          </w:tcPr>
          <w:p>
            <w:pPr>
              <w:ind w:left="20"/>
              <w:spacing w:after="0"/>
              <w:rPr>
                <w:sz w:val="20"/>
                <w:szCs w:val="20"/>
                <w:color w:val="auto"/>
              </w:rPr>
            </w:pPr>
            <w:r>
              <w:rPr>
                <w:rFonts w:ascii="Arial" w:cs="Arial" w:eastAsia="Arial" w:hAnsi="Arial"/>
                <w:sz w:val="15"/>
                <w:szCs w:val="15"/>
                <w:b w:val="1"/>
                <w:bCs w:val="1"/>
                <w:color w:val="auto"/>
              </w:rPr>
              <w:t>Assets</w:t>
            </w:r>
          </w:p>
        </w:tc>
        <w:tc>
          <w:tcPr>
            <w:tcW w:w="30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3"/>
        </w:trPr>
        <w:tc>
          <w:tcPr>
            <w:tcW w:w="5780" w:type="dxa"/>
            <w:vAlign w:val="bottom"/>
          </w:tcPr>
          <w:p>
            <w:pPr>
              <w:ind w:left="20"/>
              <w:spacing w:after="0"/>
              <w:rPr>
                <w:sz w:val="20"/>
                <w:szCs w:val="20"/>
                <w:color w:val="auto"/>
              </w:rPr>
            </w:pPr>
            <w:r>
              <w:rPr>
                <w:rFonts w:ascii="Arial" w:cs="Arial" w:eastAsia="Arial" w:hAnsi="Arial"/>
                <w:sz w:val="15"/>
                <w:szCs w:val="15"/>
                <w:b w:val="1"/>
                <w:bCs w:val="1"/>
                <w:color w:val="auto"/>
              </w:rPr>
              <w:t>Non-current assets</w:t>
            </w:r>
          </w:p>
        </w:tc>
        <w:tc>
          <w:tcPr>
            <w:tcW w:w="30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43"/>
        </w:trPr>
        <w:tc>
          <w:tcPr>
            <w:tcW w:w="5780" w:type="dxa"/>
            <w:vAlign w:val="bottom"/>
          </w:tcPr>
          <w:p>
            <w:pPr>
              <w:ind w:left="20"/>
              <w:spacing w:after="0"/>
              <w:rPr>
                <w:sz w:val="20"/>
                <w:szCs w:val="20"/>
                <w:color w:val="auto"/>
              </w:rPr>
            </w:pPr>
            <w:r>
              <w:rPr>
                <w:rFonts w:ascii="Arial" w:cs="Arial" w:eastAsia="Arial" w:hAnsi="Arial"/>
                <w:sz w:val="15"/>
                <w:szCs w:val="15"/>
                <w:color w:val="auto"/>
              </w:rPr>
              <w:t>Property and equipment, net</w:t>
            </w:r>
          </w:p>
        </w:tc>
        <w:tc>
          <w:tcPr>
            <w:tcW w:w="3080" w:type="dxa"/>
            <w:vAlign w:val="bottom"/>
          </w:tcPr>
          <w:p>
            <w:pPr>
              <w:spacing w:after="0"/>
              <w:rPr>
                <w:sz w:val="21"/>
                <w:szCs w:val="21"/>
                <w:color w:val="auto"/>
              </w:rPr>
            </w:pP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8,393</w:t>
            </w:r>
          </w:p>
        </w:tc>
        <w:tc>
          <w:tcPr>
            <w:tcW w:w="960" w:type="dxa"/>
            <w:vAlign w:val="bottom"/>
          </w:tcPr>
          <w:p>
            <w:pPr>
              <w:jc w:val="right"/>
              <w:spacing w:after="0"/>
              <w:rPr>
                <w:sz w:val="20"/>
                <w:szCs w:val="20"/>
                <w:color w:val="auto"/>
              </w:rPr>
            </w:pPr>
            <w:r>
              <w:rPr>
                <w:rFonts w:ascii="Arial" w:cs="Arial" w:eastAsia="Arial" w:hAnsi="Arial"/>
                <w:sz w:val="15"/>
                <w:szCs w:val="15"/>
                <w:color w:val="183964"/>
              </w:rPr>
              <w:t>9,536</w:t>
            </w:r>
          </w:p>
        </w:tc>
      </w:tr>
      <w:tr>
        <w:trPr>
          <w:trHeight w:val="243"/>
        </w:trPr>
        <w:tc>
          <w:tcPr>
            <w:tcW w:w="5780" w:type="dxa"/>
            <w:vAlign w:val="bottom"/>
          </w:tcPr>
          <w:p>
            <w:pPr>
              <w:ind w:left="20"/>
              <w:spacing w:after="0"/>
              <w:rPr>
                <w:sz w:val="20"/>
                <w:szCs w:val="20"/>
                <w:color w:val="auto"/>
              </w:rPr>
            </w:pPr>
            <w:r>
              <w:rPr>
                <w:rFonts w:ascii="Arial" w:cs="Arial" w:eastAsia="Arial" w:hAnsi="Arial"/>
                <w:sz w:val="15"/>
                <w:szCs w:val="15"/>
                <w:color w:val="auto"/>
              </w:rPr>
              <w:t>Right of use asset, net</w:t>
            </w:r>
          </w:p>
        </w:tc>
        <w:tc>
          <w:tcPr>
            <w:tcW w:w="3080" w:type="dxa"/>
            <w:vAlign w:val="bottom"/>
          </w:tcPr>
          <w:p>
            <w:pPr>
              <w:spacing w:after="0"/>
              <w:rPr>
                <w:sz w:val="21"/>
                <w:szCs w:val="21"/>
                <w:color w:val="auto"/>
              </w:rPr>
            </w:pP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8,943</w:t>
            </w:r>
          </w:p>
        </w:tc>
        <w:tc>
          <w:tcPr>
            <w:tcW w:w="960" w:type="dxa"/>
            <w:vAlign w:val="bottom"/>
          </w:tcPr>
          <w:p>
            <w:pPr>
              <w:jc w:val="right"/>
              <w:spacing w:after="0"/>
              <w:rPr>
                <w:sz w:val="20"/>
                <w:szCs w:val="20"/>
                <w:color w:val="auto"/>
              </w:rPr>
            </w:pPr>
            <w:r>
              <w:rPr>
                <w:rFonts w:ascii="Arial" w:cs="Arial" w:eastAsia="Arial" w:hAnsi="Arial"/>
                <w:sz w:val="15"/>
                <w:szCs w:val="15"/>
                <w:color w:val="183964"/>
              </w:rPr>
              <w:t>9,825</w:t>
            </w:r>
          </w:p>
        </w:tc>
      </w:tr>
      <w:tr>
        <w:trPr>
          <w:trHeight w:val="243"/>
        </w:trPr>
        <w:tc>
          <w:tcPr>
            <w:tcW w:w="5780" w:type="dxa"/>
            <w:vAlign w:val="bottom"/>
          </w:tcPr>
          <w:p>
            <w:pPr>
              <w:ind w:left="20"/>
              <w:spacing w:after="0"/>
              <w:rPr>
                <w:sz w:val="20"/>
                <w:szCs w:val="20"/>
                <w:color w:val="auto"/>
              </w:rPr>
            </w:pPr>
            <w:r>
              <w:rPr>
                <w:rFonts w:ascii="Arial" w:cs="Arial" w:eastAsia="Arial" w:hAnsi="Arial"/>
                <w:sz w:val="15"/>
                <w:szCs w:val="15"/>
                <w:color w:val="auto"/>
              </w:rPr>
              <w:t>Intangible assets, net</w:t>
            </w:r>
          </w:p>
        </w:tc>
        <w:tc>
          <w:tcPr>
            <w:tcW w:w="3080" w:type="dxa"/>
            <w:vAlign w:val="bottom"/>
          </w:tcPr>
          <w:p>
            <w:pPr>
              <w:spacing w:after="0"/>
              <w:rPr>
                <w:sz w:val="21"/>
                <w:szCs w:val="21"/>
                <w:color w:val="auto"/>
              </w:rPr>
            </w:pP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906</w:t>
            </w:r>
          </w:p>
        </w:tc>
        <w:tc>
          <w:tcPr>
            <w:tcW w:w="960" w:type="dxa"/>
            <w:vAlign w:val="bottom"/>
          </w:tcPr>
          <w:p>
            <w:pPr>
              <w:jc w:val="right"/>
              <w:spacing w:after="0"/>
              <w:rPr>
                <w:sz w:val="20"/>
                <w:szCs w:val="20"/>
                <w:color w:val="auto"/>
              </w:rPr>
            </w:pPr>
            <w:r>
              <w:rPr>
                <w:rFonts w:ascii="Arial" w:cs="Arial" w:eastAsia="Arial" w:hAnsi="Arial"/>
                <w:sz w:val="15"/>
                <w:szCs w:val="15"/>
                <w:color w:val="183964"/>
              </w:rPr>
              <w:t>906</w:t>
            </w:r>
          </w:p>
        </w:tc>
      </w:tr>
      <w:tr>
        <w:trPr>
          <w:trHeight w:val="243"/>
        </w:trPr>
        <w:tc>
          <w:tcPr>
            <w:tcW w:w="5780" w:type="dxa"/>
            <w:vAlign w:val="bottom"/>
          </w:tcPr>
          <w:p>
            <w:pPr>
              <w:ind w:left="20"/>
              <w:spacing w:after="0"/>
              <w:rPr>
                <w:sz w:val="20"/>
                <w:szCs w:val="20"/>
                <w:color w:val="auto"/>
              </w:rPr>
            </w:pPr>
            <w:r>
              <w:rPr>
                <w:rFonts w:ascii="Arial" w:cs="Arial" w:eastAsia="Arial" w:hAnsi="Arial"/>
                <w:sz w:val="15"/>
                <w:szCs w:val="15"/>
                <w:color w:val="auto"/>
              </w:rPr>
              <w:t>Investments held at fair value</w:t>
            </w:r>
          </w:p>
        </w:tc>
        <w:tc>
          <w:tcPr>
            <w:tcW w:w="3080" w:type="dxa"/>
            <w:vAlign w:val="bottom"/>
          </w:tcPr>
          <w:p>
            <w:pPr>
              <w:jc w:val="right"/>
              <w:ind w:right="165"/>
              <w:spacing w:after="0"/>
              <w:rPr>
                <w:sz w:val="20"/>
                <w:szCs w:val="20"/>
                <w:color w:val="auto"/>
              </w:rPr>
            </w:pPr>
            <w:r>
              <w:rPr>
                <w:rFonts w:ascii="Arial" w:cs="Arial" w:eastAsia="Arial" w:hAnsi="Arial"/>
                <w:sz w:val="15"/>
                <w:szCs w:val="15"/>
                <w:color w:val="183964"/>
              </w:rPr>
              <w:t>4</w:t>
            </w: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29,030</w:t>
            </w:r>
          </w:p>
        </w:tc>
        <w:tc>
          <w:tcPr>
            <w:tcW w:w="960" w:type="dxa"/>
            <w:vAlign w:val="bottom"/>
          </w:tcPr>
          <w:p>
            <w:pPr>
              <w:jc w:val="right"/>
              <w:spacing w:after="0"/>
              <w:rPr>
                <w:sz w:val="20"/>
                <w:szCs w:val="20"/>
                <w:color w:val="auto"/>
              </w:rPr>
            </w:pPr>
            <w:r>
              <w:rPr>
                <w:rFonts w:ascii="Arial" w:cs="Arial" w:eastAsia="Arial" w:hAnsi="Arial"/>
                <w:sz w:val="15"/>
                <w:szCs w:val="15"/>
                <w:color w:val="183964"/>
              </w:rPr>
              <w:t>317,841</w:t>
            </w:r>
          </w:p>
        </w:tc>
      </w:tr>
      <w:tr>
        <w:trPr>
          <w:trHeight w:val="243"/>
        </w:trPr>
        <w:tc>
          <w:tcPr>
            <w:tcW w:w="5780" w:type="dxa"/>
            <w:vAlign w:val="bottom"/>
          </w:tcPr>
          <w:p>
            <w:pPr>
              <w:ind w:left="20"/>
              <w:spacing w:after="0"/>
              <w:rPr>
                <w:sz w:val="20"/>
                <w:szCs w:val="20"/>
                <w:color w:val="auto"/>
              </w:rPr>
            </w:pPr>
            <w:r>
              <w:rPr>
                <w:rFonts w:ascii="Arial" w:cs="Arial" w:eastAsia="Arial" w:hAnsi="Arial"/>
                <w:sz w:val="15"/>
                <w:szCs w:val="15"/>
                <w:color w:val="auto"/>
              </w:rPr>
              <w:t>Investment in associates – equity method</w:t>
            </w:r>
          </w:p>
        </w:tc>
        <w:tc>
          <w:tcPr>
            <w:tcW w:w="3080" w:type="dxa"/>
            <w:vAlign w:val="bottom"/>
          </w:tcPr>
          <w:p>
            <w:pPr>
              <w:jc w:val="right"/>
              <w:ind w:right="165"/>
              <w:spacing w:after="0"/>
              <w:rPr>
                <w:sz w:val="20"/>
                <w:szCs w:val="20"/>
                <w:color w:val="auto"/>
              </w:rPr>
            </w:pPr>
            <w:r>
              <w:rPr>
                <w:rFonts w:ascii="Arial" w:cs="Arial" w:eastAsia="Arial" w:hAnsi="Arial"/>
                <w:sz w:val="15"/>
                <w:szCs w:val="15"/>
                <w:color w:val="183964"/>
              </w:rPr>
              <w:t>5</w:t>
            </w: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183964"/>
              </w:rPr>
              <w:t>3,185</w:t>
            </w:r>
          </w:p>
        </w:tc>
      </w:tr>
      <w:tr>
        <w:trPr>
          <w:trHeight w:val="243"/>
        </w:trPr>
        <w:tc>
          <w:tcPr>
            <w:tcW w:w="5780" w:type="dxa"/>
            <w:vAlign w:val="bottom"/>
          </w:tcPr>
          <w:p>
            <w:pPr>
              <w:ind w:left="20"/>
              <w:spacing w:after="0"/>
              <w:rPr>
                <w:sz w:val="20"/>
                <w:szCs w:val="20"/>
                <w:color w:val="auto"/>
              </w:rPr>
            </w:pPr>
            <w:r>
              <w:rPr>
                <w:rFonts w:ascii="Arial" w:cs="Arial" w:eastAsia="Arial" w:hAnsi="Arial"/>
                <w:sz w:val="15"/>
                <w:szCs w:val="15"/>
                <w:color w:val="auto"/>
              </w:rPr>
              <w:t>Investments in notes from associates</w:t>
            </w:r>
          </w:p>
        </w:tc>
        <w:tc>
          <w:tcPr>
            <w:tcW w:w="3080" w:type="dxa"/>
            <w:vAlign w:val="bottom"/>
          </w:tcPr>
          <w:p>
            <w:pPr>
              <w:jc w:val="right"/>
              <w:ind w:right="165"/>
              <w:spacing w:after="0"/>
              <w:rPr>
                <w:sz w:val="20"/>
                <w:szCs w:val="20"/>
                <w:color w:val="auto"/>
              </w:rPr>
            </w:pPr>
            <w:r>
              <w:rPr>
                <w:rFonts w:ascii="Arial" w:cs="Arial" w:eastAsia="Arial" w:hAnsi="Arial"/>
                <w:sz w:val="15"/>
                <w:szCs w:val="15"/>
                <w:color w:val="183964"/>
              </w:rPr>
              <w:t>6</w:t>
            </w: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16,212</w:t>
            </w:r>
          </w:p>
        </w:tc>
        <w:tc>
          <w:tcPr>
            <w:tcW w:w="960" w:type="dxa"/>
            <w:vAlign w:val="bottom"/>
          </w:tcPr>
          <w:p>
            <w:pPr>
              <w:jc w:val="right"/>
              <w:spacing w:after="0"/>
              <w:rPr>
                <w:sz w:val="20"/>
                <w:szCs w:val="20"/>
                <w:color w:val="auto"/>
              </w:rPr>
            </w:pPr>
            <w:r>
              <w:rPr>
                <w:rFonts w:ascii="Arial" w:cs="Arial" w:eastAsia="Arial" w:hAnsi="Arial"/>
                <w:sz w:val="15"/>
                <w:szCs w:val="15"/>
                <w:color w:val="183964"/>
              </w:rPr>
              <w:t>4,600</w:t>
            </w:r>
          </w:p>
        </w:tc>
      </w:tr>
      <w:tr>
        <w:trPr>
          <w:trHeight w:val="243"/>
        </w:trPr>
        <w:tc>
          <w:tcPr>
            <w:tcW w:w="5780" w:type="dxa"/>
            <w:vAlign w:val="bottom"/>
          </w:tcPr>
          <w:p>
            <w:pPr>
              <w:ind w:left="20"/>
              <w:spacing w:after="0"/>
              <w:rPr>
                <w:sz w:val="20"/>
                <w:szCs w:val="20"/>
                <w:color w:val="auto"/>
              </w:rPr>
            </w:pPr>
            <w:r>
              <w:rPr>
                <w:rFonts w:ascii="Arial" w:cs="Arial" w:eastAsia="Arial" w:hAnsi="Arial"/>
                <w:sz w:val="15"/>
                <w:szCs w:val="15"/>
                <w:color w:val="auto"/>
              </w:rPr>
              <w:t>Deferred tax assets</w:t>
            </w:r>
          </w:p>
        </w:tc>
        <w:tc>
          <w:tcPr>
            <w:tcW w:w="3080" w:type="dxa"/>
            <w:vAlign w:val="bottom"/>
          </w:tcPr>
          <w:p>
            <w:pPr>
              <w:spacing w:after="0"/>
              <w:rPr>
                <w:sz w:val="21"/>
                <w:szCs w:val="21"/>
                <w:color w:val="auto"/>
              </w:rPr>
            </w:pP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6,778</w:t>
            </w:r>
          </w:p>
        </w:tc>
        <w:tc>
          <w:tcPr>
            <w:tcW w:w="960" w:type="dxa"/>
            <w:vAlign w:val="bottom"/>
          </w:tcPr>
          <w:p>
            <w:pPr>
              <w:jc w:val="right"/>
              <w:spacing w:after="0"/>
              <w:rPr>
                <w:sz w:val="20"/>
                <w:szCs w:val="20"/>
                <w:color w:val="auto"/>
              </w:rPr>
            </w:pPr>
            <w:r>
              <w:rPr>
                <w:rFonts w:ascii="Arial" w:cs="Arial" w:eastAsia="Arial" w:hAnsi="Arial"/>
                <w:sz w:val="15"/>
                <w:szCs w:val="15"/>
                <w:color w:val="183964"/>
              </w:rPr>
              <w:t>—</w:t>
            </w:r>
          </w:p>
        </w:tc>
      </w:tr>
      <w:tr>
        <w:trPr>
          <w:trHeight w:val="243"/>
        </w:trPr>
        <w:tc>
          <w:tcPr>
            <w:tcW w:w="5780" w:type="dxa"/>
            <w:vAlign w:val="bottom"/>
          </w:tcPr>
          <w:p>
            <w:pPr>
              <w:ind w:left="20"/>
              <w:spacing w:after="0"/>
              <w:rPr>
                <w:sz w:val="20"/>
                <w:szCs w:val="20"/>
                <w:color w:val="auto"/>
              </w:rPr>
            </w:pPr>
            <w:r>
              <w:rPr>
                <w:rFonts w:ascii="Arial" w:cs="Arial" w:eastAsia="Arial" w:hAnsi="Arial"/>
                <w:sz w:val="15"/>
                <w:szCs w:val="15"/>
                <w:color w:val="auto"/>
              </w:rPr>
              <w:t>Other non-current assets</w:t>
            </w:r>
          </w:p>
        </w:tc>
        <w:tc>
          <w:tcPr>
            <w:tcW w:w="3080" w:type="dxa"/>
            <w:vAlign w:val="bottom"/>
          </w:tcPr>
          <w:p>
            <w:pPr>
              <w:spacing w:after="0"/>
              <w:rPr>
                <w:sz w:val="21"/>
                <w:szCs w:val="21"/>
                <w:color w:val="auto"/>
              </w:rPr>
            </w:pP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878</w:t>
            </w:r>
          </w:p>
        </w:tc>
        <w:tc>
          <w:tcPr>
            <w:tcW w:w="960" w:type="dxa"/>
            <w:vAlign w:val="bottom"/>
          </w:tcPr>
          <w:p>
            <w:pPr>
              <w:jc w:val="right"/>
              <w:spacing w:after="0"/>
              <w:rPr>
                <w:sz w:val="20"/>
                <w:szCs w:val="20"/>
                <w:color w:val="auto"/>
              </w:rPr>
            </w:pPr>
            <w:r>
              <w:rPr>
                <w:rFonts w:ascii="Arial" w:cs="Arial" w:eastAsia="Arial" w:hAnsi="Arial"/>
                <w:sz w:val="15"/>
                <w:szCs w:val="15"/>
                <w:color w:val="183964"/>
              </w:rPr>
              <w:t>878</w:t>
            </w:r>
          </w:p>
        </w:tc>
      </w:tr>
      <w:tr>
        <w:trPr>
          <w:trHeight w:val="25"/>
        </w:trPr>
        <w:tc>
          <w:tcPr>
            <w:tcW w:w="578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1"/>
        </w:trPr>
        <w:tc>
          <w:tcPr>
            <w:tcW w:w="5780" w:type="dxa"/>
            <w:vAlign w:val="bottom"/>
          </w:tcPr>
          <w:p>
            <w:pPr>
              <w:ind w:left="20"/>
              <w:spacing w:after="0"/>
              <w:rPr>
                <w:sz w:val="20"/>
                <w:szCs w:val="20"/>
                <w:color w:val="auto"/>
              </w:rPr>
            </w:pPr>
            <w:r>
              <w:rPr>
                <w:rFonts w:ascii="Arial" w:cs="Arial" w:eastAsia="Arial" w:hAnsi="Arial"/>
                <w:sz w:val="15"/>
                <w:szCs w:val="15"/>
                <w:color w:val="auto"/>
              </w:rPr>
              <w:t>Total non-current assets</w:t>
            </w:r>
          </w:p>
        </w:tc>
        <w:tc>
          <w:tcPr>
            <w:tcW w:w="3080" w:type="dxa"/>
            <w:vAlign w:val="bottom"/>
          </w:tcPr>
          <w:p>
            <w:pPr>
              <w:spacing w:after="0"/>
              <w:rPr>
                <w:sz w:val="18"/>
                <w:szCs w:val="18"/>
                <w:color w:val="auto"/>
              </w:rPr>
            </w:pP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71,140</w:t>
            </w:r>
          </w:p>
        </w:tc>
        <w:tc>
          <w:tcPr>
            <w:tcW w:w="960" w:type="dxa"/>
            <w:vAlign w:val="bottom"/>
          </w:tcPr>
          <w:p>
            <w:pPr>
              <w:jc w:val="right"/>
              <w:spacing w:after="0"/>
              <w:rPr>
                <w:sz w:val="20"/>
                <w:szCs w:val="20"/>
                <w:color w:val="auto"/>
              </w:rPr>
            </w:pPr>
            <w:r>
              <w:rPr>
                <w:rFonts w:ascii="Arial" w:cs="Arial" w:eastAsia="Arial" w:hAnsi="Arial"/>
                <w:sz w:val="15"/>
                <w:szCs w:val="15"/>
                <w:color w:val="183964"/>
              </w:rPr>
              <w:t>346,771</w:t>
            </w:r>
          </w:p>
        </w:tc>
      </w:tr>
      <w:tr>
        <w:trPr>
          <w:trHeight w:val="25"/>
        </w:trPr>
        <w:tc>
          <w:tcPr>
            <w:tcW w:w="5780" w:type="dxa"/>
            <w:vAlign w:val="bottom"/>
            <w:tcBorders>
              <w:bottom w:val="single" w:sz="8" w:color="183964"/>
            </w:tcBorders>
          </w:tcPr>
          <w:p>
            <w:pPr>
              <w:spacing w:after="0"/>
              <w:rPr>
                <w:sz w:val="2"/>
                <w:szCs w:val="2"/>
                <w:color w:val="auto"/>
              </w:rPr>
            </w:pPr>
          </w:p>
        </w:tc>
        <w:tc>
          <w:tcPr>
            <w:tcW w:w="3080" w:type="dxa"/>
            <w:vAlign w:val="bottom"/>
            <w:tcBorders>
              <w:bottom w:val="single" w:sz="8" w:color="183964"/>
            </w:tcBorders>
          </w:tcPr>
          <w:p>
            <w:pPr>
              <w:spacing w:after="0"/>
              <w:rPr>
                <w:sz w:val="2"/>
                <w:szCs w:val="2"/>
                <w:color w:val="auto"/>
              </w:rPr>
            </w:pPr>
          </w:p>
        </w:tc>
        <w:tc>
          <w:tcPr>
            <w:tcW w:w="1400" w:type="dxa"/>
            <w:vAlign w:val="bottom"/>
            <w:tcBorders>
              <w:bottom w:val="single" w:sz="8" w:color="183964"/>
            </w:tcBorders>
          </w:tcPr>
          <w:p>
            <w:pPr>
              <w:spacing w:after="0"/>
              <w:rPr>
                <w:sz w:val="2"/>
                <w:szCs w:val="2"/>
                <w:color w:val="auto"/>
              </w:rPr>
            </w:pPr>
          </w:p>
        </w:tc>
        <w:tc>
          <w:tcPr>
            <w:tcW w:w="960" w:type="dxa"/>
            <w:vAlign w:val="bottom"/>
            <w:tcBorders>
              <w:bottom w:val="single" w:sz="8" w:color="183964"/>
            </w:tcBorders>
          </w:tcPr>
          <w:p>
            <w:pPr>
              <w:spacing w:after="0"/>
              <w:rPr>
                <w:sz w:val="2"/>
                <w:szCs w:val="2"/>
                <w:color w:val="auto"/>
              </w:rPr>
            </w:pPr>
          </w:p>
        </w:tc>
      </w:tr>
      <w:tr>
        <w:trPr>
          <w:trHeight w:val="211"/>
        </w:trPr>
        <w:tc>
          <w:tcPr>
            <w:tcW w:w="5780" w:type="dxa"/>
            <w:vAlign w:val="bottom"/>
          </w:tcPr>
          <w:p>
            <w:pPr>
              <w:ind w:left="20"/>
              <w:spacing w:after="0"/>
              <w:rPr>
                <w:sz w:val="20"/>
                <w:szCs w:val="20"/>
                <w:color w:val="auto"/>
              </w:rPr>
            </w:pPr>
            <w:r>
              <w:rPr>
                <w:rFonts w:ascii="Arial" w:cs="Arial" w:eastAsia="Arial" w:hAnsi="Arial"/>
                <w:sz w:val="15"/>
                <w:szCs w:val="15"/>
                <w:b w:val="1"/>
                <w:bCs w:val="1"/>
                <w:color w:val="auto"/>
              </w:rPr>
              <w:t>Current assets</w:t>
            </w:r>
          </w:p>
        </w:tc>
        <w:tc>
          <w:tcPr>
            <w:tcW w:w="30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3"/>
        </w:trPr>
        <w:tc>
          <w:tcPr>
            <w:tcW w:w="5780" w:type="dxa"/>
            <w:vAlign w:val="bottom"/>
          </w:tcPr>
          <w:p>
            <w:pPr>
              <w:ind w:left="20"/>
              <w:spacing w:after="0"/>
              <w:rPr>
                <w:sz w:val="20"/>
                <w:szCs w:val="20"/>
                <w:color w:val="auto"/>
              </w:rPr>
            </w:pPr>
            <w:r>
              <w:rPr>
                <w:rFonts w:ascii="Arial" w:cs="Arial" w:eastAsia="Arial" w:hAnsi="Arial"/>
                <w:sz w:val="15"/>
                <w:szCs w:val="15"/>
                <w:color w:val="auto"/>
              </w:rPr>
              <w:t>Trade and other receivables</w:t>
            </w:r>
          </w:p>
        </w:tc>
        <w:tc>
          <w:tcPr>
            <w:tcW w:w="3080" w:type="dxa"/>
            <w:vAlign w:val="bottom"/>
          </w:tcPr>
          <w:p>
            <w:pPr>
              <w:spacing w:after="0"/>
              <w:rPr>
                <w:sz w:val="21"/>
                <w:szCs w:val="21"/>
                <w:color w:val="auto"/>
              </w:rPr>
            </w:pP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2,055</w:t>
            </w:r>
          </w:p>
        </w:tc>
        <w:tc>
          <w:tcPr>
            <w:tcW w:w="960" w:type="dxa"/>
            <w:vAlign w:val="bottom"/>
          </w:tcPr>
          <w:p>
            <w:pPr>
              <w:jc w:val="right"/>
              <w:spacing w:after="0"/>
              <w:rPr>
                <w:sz w:val="20"/>
                <w:szCs w:val="20"/>
                <w:color w:val="auto"/>
              </w:rPr>
            </w:pPr>
            <w:r>
              <w:rPr>
                <w:rFonts w:ascii="Arial" w:cs="Arial" w:eastAsia="Arial" w:hAnsi="Arial"/>
                <w:sz w:val="15"/>
                <w:szCs w:val="15"/>
                <w:color w:val="183964"/>
              </w:rPr>
              <w:t>2,376</w:t>
            </w:r>
          </w:p>
        </w:tc>
      </w:tr>
      <w:tr>
        <w:trPr>
          <w:trHeight w:val="243"/>
        </w:trPr>
        <w:tc>
          <w:tcPr>
            <w:tcW w:w="5780" w:type="dxa"/>
            <w:vAlign w:val="bottom"/>
          </w:tcPr>
          <w:p>
            <w:pPr>
              <w:ind w:left="20"/>
              <w:spacing w:after="0"/>
              <w:rPr>
                <w:sz w:val="20"/>
                <w:szCs w:val="20"/>
                <w:color w:val="auto"/>
              </w:rPr>
            </w:pPr>
            <w:r>
              <w:rPr>
                <w:rFonts w:ascii="Arial" w:cs="Arial" w:eastAsia="Arial" w:hAnsi="Arial"/>
                <w:sz w:val="15"/>
                <w:szCs w:val="15"/>
                <w:color w:val="auto"/>
              </w:rPr>
              <w:t>Income tax receivable</w:t>
            </w:r>
          </w:p>
        </w:tc>
        <w:tc>
          <w:tcPr>
            <w:tcW w:w="3080" w:type="dxa"/>
            <w:vAlign w:val="bottom"/>
          </w:tcPr>
          <w:p>
            <w:pPr>
              <w:spacing w:after="0"/>
              <w:rPr>
                <w:sz w:val="21"/>
                <w:szCs w:val="21"/>
                <w:color w:val="auto"/>
              </w:rPr>
            </w:pP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183964"/>
              </w:rPr>
              <w:t>11,746</w:t>
            </w:r>
          </w:p>
        </w:tc>
      </w:tr>
      <w:tr>
        <w:trPr>
          <w:trHeight w:val="243"/>
        </w:trPr>
        <w:tc>
          <w:tcPr>
            <w:tcW w:w="5780" w:type="dxa"/>
            <w:vAlign w:val="bottom"/>
          </w:tcPr>
          <w:p>
            <w:pPr>
              <w:ind w:left="20"/>
              <w:spacing w:after="0"/>
              <w:rPr>
                <w:sz w:val="20"/>
                <w:szCs w:val="20"/>
                <w:color w:val="auto"/>
              </w:rPr>
            </w:pPr>
            <w:r>
              <w:rPr>
                <w:rFonts w:ascii="Arial" w:cs="Arial" w:eastAsia="Arial" w:hAnsi="Arial"/>
                <w:sz w:val="15"/>
                <w:szCs w:val="15"/>
                <w:color w:val="auto"/>
              </w:rPr>
              <w:t>Prepaid expenses</w:t>
            </w:r>
          </w:p>
        </w:tc>
        <w:tc>
          <w:tcPr>
            <w:tcW w:w="3080" w:type="dxa"/>
            <w:vAlign w:val="bottom"/>
          </w:tcPr>
          <w:p>
            <w:pPr>
              <w:spacing w:after="0"/>
              <w:rPr>
                <w:sz w:val="21"/>
                <w:szCs w:val="21"/>
                <w:color w:val="auto"/>
              </w:rPr>
            </w:pP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4,703</w:t>
            </w:r>
          </w:p>
        </w:tc>
        <w:tc>
          <w:tcPr>
            <w:tcW w:w="960" w:type="dxa"/>
            <w:vAlign w:val="bottom"/>
          </w:tcPr>
          <w:p>
            <w:pPr>
              <w:jc w:val="right"/>
              <w:spacing w:after="0"/>
              <w:rPr>
                <w:sz w:val="20"/>
                <w:szCs w:val="20"/>
                <w:color w:val="auto"/>
              </w:rPr>
            </w:pPr>
            <w:r>
              <w:rPr>
                <w:rFonts w:ascii="Arial" w:cs="Arial" w:eastAsia="Arial" w:hAnsi="Arial"/>
                <w:sz w:val="15"/>
                <w:szCs w:val="15"/>
                <w:color w:val="183964"/>
              </w:rPr>
              <w:t>4,309</w:t>
            </w:r>
          </w:p>
        </w:tc>
      </w:tr>
      <w:tr>
        <w:trPr>
          <w:trHeight w:val="243"/>
        </w:trPr>
        <w:tc>
          <w:tcPr>
            <w:tcW w:w="5780" w:type="dxa"/>
            <w:vAlign w:val="bottom"/>
          </w:tcPr>
          <w:p>
            <w:pPr>
              <w:ind w:left="20"/>
              <w:spacing w:after="0"/>
              <w:rPr>
                <w:sz w:val="20"/>
                <w:szCs w:val="20"/>
                <w:color w:val="auto"/>
              </w:rPr>
            </w:pPr>
            <w:r>
              <w:rPr>
                <w:rFonts w:ascii="Arial" w:cs="Arial" w:eastAsia="Arial" w:hAnsi="Arial"/>
                <w:sz w:val="15"/>
                <w:szCs w:val="15"/>
                <w:color w:val="auto"/>
              </w:rPr>
              <w:t>Other financial assets</w:t>
            </w:r>
          </w:p>
        </w:tc>
        <w:tc>
          <w:tcPr>
            <w:tcW w:w="3080" w:type="dxa"/>
            <w:vAlign w:val="bottom"/>
          </w:tcPr>
          <w:p>
            <w:pPr>
              <w:spacing w:after="0"/>
              <w:rPr>
                <w:sz w:val="21"/>
                <w:szCs w:val="21"/>
                <w:color w:val="auto"/>
              </w:rPr>
            </w:pP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1,636</w:t>
            </w:r>
          </w:p>
        </w:tc>
        <w:tc>
          <w:tcPr>
            <w:tcW w:w="960" w:type="dxa"/>
            <w:vAlign w:val="bottom"/>
          </w:tcPr>
          <w:p>
            <w:pPr>
              <w:jc w:val="right"/>
              <w:spacing w:after="0"/>
              <w:rPr>
                <w:sz w:val="20"/>
                <w:szCs w:val="20"/>
                <w:color w:val="auto"/>
              </w:rPr>
            </w:pPr>
            <w:r>
              <w:rPr>
                <w:rFonts w:ascii="Arial" w:cs="Arial" w:eastAsia="Arial" w:hAnsi="Arial"/>
                <w:sz w:val="15"/>
                <w:szCs w:val="15"/>
                <w:color w:val="183964"/>
              </w:rPr>
              <w:t>1,628</w:t>
            </w:r>
          </w:p>
        </w:tc>
      </w:tr>
      <w:tr>
        <w:trPr>
          <w:trHeight w:val="243"/>
        </w:trPr>
        <w:tc>
          <w:tcPr>
            <w:tcW w:w="5780" w:type="dxa"/>
            <w:vAlign w:val="bottom"/>
          </w:tcPr>
          <w:p>
            <w:pPr>
              <w:ind w:left="20"/>
              <w:spacing w:after="0"/>
              <w:rPr>
                <w:sz w:val="20"/>
                <w:szCs w:val="20"/>
                <w:color w:val="auto"/>
              </w:rPr>
            </w:pPr>
            <w:r>
              <w:rPr>
                <w:rFonts w:ascii="Arial" w:cs="Arial" w:eastAsia="Arial" w:hAnsi="Arial"/>
                <w:sz w:val="15"/>
                <w:szCs w:val="15"/>
                <w:color w:val="auto"/>
              </w:rPr>
              <w:t>Short-term investments</w:t>
            </w:r>
          </w:p>
        </w:tc>
        <w:tc>
          <w:tcPr>
            <w:tcW w:w="3080" w:type="dxa"/>
            <w:vAlign w:val="bottom"/>
          </w:tcPr>
          <w:p>
            <w:pPr>
              <w:spacing w:after="0"/>
              <w:rPr>
                <w:sz w:val="21"/>
                <w:szCs w:val="21"/>
                <w:color w:val="auto"/>
              </w:rPr>
            </w:pP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191,938</w:t>
            </w:r>
          </w:p>
        </w:tc>
        <w:tc>
          <w:tcPr>
            <w:tcW w:w="960" w:type="dxa"/>
            <w:vAlign w:val="bottom"/>
          </w:tcPr>
          <w:p>
            <w:pPr>
              <w:jc w:val="right"/>
              <w:spacing w:after="0"/>
              <w:rPr>
                <w:sz w:val="20"/>
                <w:szCs w:val="20"/>
                <w:color w:val="auto"/>
              </w:rPr>
            </w:pPr>
            <w:r>
              <w:rPr>
                <w:rFonts w:ascii="Arial" w:cs="Arial" w:eastAsia="Arial" w:hAnsi="Arial"/>
                <w:sz w:val="15"/>
                <w:szCs w:val="15"/>
                <w:color w:val="183964"/>
              </w:rPr>
              <w:t>136,062</w:t>
            </w:r>
          </w:p>
        </w:tc>
      </w:tr>
      <w:tr>
        <w:trPr>
          <w:trHeight w:val="243"/>
        </w:trPr>
        <w:tc>
          <w:tcPr>
            <w:tcW w:w="5780" w:type="dxa"/>
            <w:vAlign w:val="bottom"/>
          </w:tcPr>
          <w:p>
            <w:pPr>
              <w:ind w:left="20"/>
              <w:spacing w:after="0"/>
              <w:rPr>
                <w:sz w:val="20"/>
                <w:szCs w:val="20"/>
                <w:color w:val="auto"/>
              </w:rPr>
            </w:pPr>
            <w:r>
              <w:rPr>
                <w:rFonts w:ascii="Arial" w:cs="Arial" w:eastAsia="Arial" w:hAnsi="Arial"/>
                <w:sz w:val="15"/>
                <w:szCs w:val="15"/>
                <w:color w:val="auto"/>
              </w:rPr>
              <w:t>Cash and cash equivalents</w:t>
            </w:r>
          </w:p>
        </w:tc>
        <w:tc>
          <w:tcPr>
            <w:tcW w:w="3080" w:type="dxa"/>
            <w:vAlign w:val="bottom"/>
          </w:tcPr>
          <w:p>
            <w:pPr>
              <w:spacing w:after="0"/>
              <w:rPr>
                <w:sz w:val="21"/>
                <w:szCs w:val="21"/>
                <w:color w:val="auto"/>
              </w:rPr>
            </w:pP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308,478</w:t>
            </w:r>
          </w:p>
        </w:tc>
        <w:tc>
          <w:tcPr>
            <w:tcW w:w="960" w:type="dxa"/>
            <w:vAlign w:val="bottom"/>
          </w:tcPr>
          <w:p>
            <w:pPr>
              <w:jc w:val="right"/>
              <w:spacing w:after="0"/>
              <w:rPr>
                <w:sz w:val="20"/>
                <w:szCs w:val="20"/>
                <w:color w:val="auto"/>
              </w:rPr>
            </w:pPr>
            <w:r>
              <w:rPr>
                <w:rFonts w:ascii="Arial" w:cs="Arial" w:eastAsia="Arial" w:hAnsi="Arial"/>
                <w:sz w:val="15"/>
                <w:szCs w:val="15"/>
                <w:color w:val="183964"/>
              </w:rPr>
              <w:t>191,081</w:t>
            </w:r>
          </w:p>
        </w:tc>
      </w:tr>
      <w:tr>
        <w:trPr>
          <w:trHeight w:val="25"/>
        </w:trPr>
        <w:tc>
          <w:tcPr>
            <w:tcW w:w="578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1"/>
        </w:trPr>
        <w:tc>
          <w:tcPr>
            <w:tcW w:w="5780" w:type="dxa"/>
            <w:vAlign w:val="bottom"/>
          </w:tcPr>
          <w:p>
            <w:pPr>
              <w:ind w:left="20"/>
              <w:spacing w:after="0"/>
              <w:rPr>
                <w:sz w:val="20"/>
                <w:szCs w:val="20"/>
                <w:color w:val="auto"/>
              </w:rPr>
            </w:pPr>
            <w:r>
              <w:rPr>
                <w:rFonts w:ascii="Arial" w:cs="Arial" w:eastAsia="Arial" w:hAnsi="Arial"/>
                <w:sz w:val="15"/>
                <w:szCs w:val="15"/>
                <w:color w:val="auto"/>
              </w:rPr>
              <w:t>Total current assets</w:t>
            </w:r>
          </w:p>
        </w:tc>
        <w:tc>
          <w:tcPr>
            <w:tcW w:w="3080" w:type="dxa"/>
            <w:vAlign w:val="bottom"/>
          </w:tcPr>
          <w:p>
            <w:pPr>
              <w:spacing w:after="0"/>
              <w:rPr>
                <w:sz w:val="18"/>
                <w:szCs w:val="18"/>
                <w:color w:val="auto"/>
              </w:rPr>
            </w:pP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508,810</w:t>
            </w:r>
          </w:p>
        </w:tc>
        <w:tc>
          <w:tcPr>
            <w:tcW w:w="960" w:type="dxa"/>
            <w:vAlign w:val="bottom"/>
          </w:tcPr>
          <w:p>
            <w:pPr>
              <w:jc w:val="right"/>
              <w:spacing w:after="0"/>
              <w:rPr>
                <w:sz w:val="20"/>
                <w:szCs w:val="20"/>
                <w:color w:val="auto"/>
              </w:rPr>
            </w:pPr>
            <w:r>
              <w:rPr>
                <w:rFonts w:ascii="Arial" w:cs="Arial" w:eastAsia="Arial" w:hAnsi="Arial"/>
                <w:sz w:val="15"/>
                <w:szCs w:val="15"/>
                <w:color w:val="183964"/>
              </w:rPr>
              <w:t>347,201</w:t>
            </w:r>
          </w:p>
        </w:tc>
      </w:tr>
      <w:tr>
        <w:trPr>
          <w:trHeight w:val="25"/>
        </w:trPr>
        <w:tc>
          <w:tcPr>
            <w:tcW w:w="578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1"/>
        </w:trPr>
        <w:tc>
          <w:tcPr>
            <w:tcW w:w="5780" w:type="dxa"/>
            <w:vAlign w:val="bottom"/>
          </w:tcPr>
          <w:p>
            <w:pPr>
              <w:ind w:left="20"/>
              <w:spacing w:after="0"/>
              <w:rPr>
                <w:sz w:val="20"/>
                <w:szCs w:val="20"/>
                <w:color w:val="auto"/>
              </w:rPr>
            </w:pPr>
            <w:r>
              <w:rPr>
                <w:rFonts w:ascii="Arial" w:cs="Arial" w:eastAsia="Arial" w:hAnsi="Arial"/>
                <w:sz w:val="15"/>
                <w:szCs w:val="15"/>
                <w:b w:val="1"/>
                <w:bCs w:val="1"/>
                <w:color w:val="auto"/>
              </w:rPr>
              <w:t>Total assets</w:t>
            </w:r>
          </w:p>
        </w:tc>
        <w:tc>
          <w:tcPr>
            <w:tcW w:w="3080" w:type="dxa"/>
            <w:vAlign w:val="bottom"/>
          </w:tcPr>
          <w:p>
            <w:pPr>
              <w:spacing w:after="0"/>
              <w:rPr>
                <w:sz w:val="18"/>
                <w:szCs w:val="18"/>
                <w:color w:val="auto"/>
              </w:rPr>
            </w:pP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579,950</w:t>
            </w:r>
          </w:p>
        </w:tc>
        <w:tc>
          <w:tcPr>
            <w:tcW w:w="960" w:type="dxa"/>
            <w:vAlign w:val="bottom"/>
          </w:tcPr>
          <w:p>
            <w:pPr>
              <w:jc w:val="right"/>
              <w:spacing w:after="0"/>
              <w:rPr>
                <w:sz w:val="20"/>
                <w:szCs w:val="20"/>
                <w:color w:val="auto"/>
              </w:rPr>
            </w:pPr>
            <w:r>
              <w:rPr>
                <w:rFonts w:ascii="Arial" w:cs="Arial" w:eastAsia="Arial" w:hAnsi="Arial"/>
                <w:sz w:val="15"/>
                <w:szCs w:val="15"/>
                <w:color w:val="183964"/>
              </w:rPr>
              <w:t>693,973</w:t>
            </w:r>
          </w:p>
        </w:tc>
      </w:tr>
      <w:tr>
        <w:trPr>
          <w:trHeight w:val="25"/>
        </w:trPr>
        <w:tc>
          <w:tcPr>
            <w:tcW w:w="578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1"/>
        </w:trPr>
        <w:tc>
          <w:tcPr>
            <w:tcW w:w="5780" w:type="dxa"/>
            <w:vAlign w:val="bottom"/>
          </w:tcPr>
          <w:p>
            <w:pPr>
              <w:ind w:left="20"/>
              <w:spacing w:after="0"/>
              <w:rPr>
                <w:sz w:val="20"/>
                <w:szCs w:val="20"/>
                <w:color w:val="auto"/>
              </w:rPr>
            </w:pPr>
            <w:r>
              <w:rPr>
                <w:rFonts w:ascii="Arial" w:cs="Arial" w:eastAsia="Arial" w:hAnsi="Arial"/>
                <w:sz w:val="15"/>
                <w:szCs w:val="15"/>
                <w:b w:val="1"/>
                <w:bCs w:val="1"/>
                <w:color w:val="auto"/>
              </w:rPr>
              <w:t>Equity and liabilities</w:t>
            </w:r>
          </w:p>
        </w:tc>
        <w:tc>
          <w:tcPr>
            <w:tcW w:w="30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3"/>
        </w:trPr>
        <w:tc>
          <w:tcPr>
            <w:tcW w:w="5780" w:type="dxa"/>
            <w:vAlign w:val="bottom"/>
          </w:tcPr>
          <w:p>
            <w:pPr>
              <w:ind w:left="20"/>
              <w:spacing w:after="0"/>
              <w:rPr>
                <w:sz w:val="20"/>
                <w:szCs w:val="20"/>
                <w:color w:val="auto"/>
              </w:rPr>
            </w:pPr>
            <w:r>
              <w:rPr>
                <w:rFonts w:ascii="Arial" w:cs="Arial" w:eastAsia="Arial" w:hAnsi="Arial"/>
                <w:sz w:val="15"/>
                <w:szCs w:val="15"/>
                <w:b w:val="1"/>
                <w:bCs w:val="1"/>
                <w:color w:val="auto"/>
              </w:rPr>
              <w:t>Equity</w:t>
            </w:r>
          </w:p>
        </w:tc>
        <w:tc>
          <w:tcPr>
            <w:tcW w:w="30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43"/>
        </w:trPr>
        <w:tc>
          <w:tcPr>
            <w:tcW w:w="5780" w:type="dxa"/>
            <w:vAlign w:val="bottom"/>
          </w:tcPr>
          <w:p>
            <w:pPr>
              <w:ind w:left="20"/>
              <w:spacing w:after="0"/>
              <w:rPr>
                <w:sz w:val="20"/>
                <w:szCs w:val="20"/>
                <w:color w:val="auto"/>
              </w:rPr>
            </w:pPr>
            <w:r>
              <w:rPr>
                <w:rFonts w:ascii="Arial" w:cs="Arial" w:eastAsia="Arial" w:hAnsi="Arial"/>
                <w:sz w:val="15"/>
                <w:szCs w:val="15"/>
                <w:color w:val="auto"/>
              </w:rPr>
              <w:t>Share capital</w:t>
            </w:r>
          </w:p>
        </w:tc>
        <w:tc>
          <w:tcPr>
            <w:tcW w:w="3080" w:type="dxa"/>
            <w:vAlign w:val="bottom"/>
          </w:tcPr>
          <w:p>
            <w:pPr>
              <w:spacing w:after="0"/>
              <w:rPr>
                <w:sz w:val="21"/>
                <w:szCs w:val="21"/>
                <w:color w:val="auto"/>
              </w:rPr>
            </w:pP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4,860</w:t>
            </w:r>
          </w:p>
        </w:tc>
        <w:tc>
          <w:tcPr>
            <w:tcW w:w="960" w:type="dxa"/>
            <w:vAlign w:val="bottom"/>
          </w:tcPr>
          <w:p>
            <w:pPr>
              <w:jc w:val="right"/>
              <w:spacing w:after="0"/>
              <w:rPr>
                <w:sz w:val="20"/>
                <w:szCs w:val="20"/>
                <w:color w:val="auto"/>
              </w:rPr>
            </w:pPr>
            <w:r>
              <w:rPr>
                <w:rFonts w:ascii="Arial" w:cs="Arial" w:eastAsia="Arial" w:hAnsi="Arial"/>
                <w:sz w:val="15"/>
                <w:szCs w:val="15"/>
                <w:color w:val="183964"/>
              </w:rPr>
              <w:t>5,461</w:t>
            </w:r>
          </w:p>
        </w:tc>
      </w:tr>
      <w:tr>
        <w:trPr>
          <w:trHeight w:val="243"/>
        </w:trPr>
        <w:tc>
          <w:tcPr>
            <w:tcW w:w="5780" w:type="dxa"/>
            <w:vAlign w:val="bottom"/>
          </w:tcPr>
          <w:p>
            <w:pPr>
              <w:ind w:left="20"/>
              <w:spacing w:after="0"/>
              <w:rPr>
                <w:sz w:val="20"/>
                <w:szCs w:val="20"/>
                <w:color w:val="auto"/>
              </w:rPr>
            </w:pPr>
            <w:r>
              <w:rPr>
                <w:rFonts w:ascii="Arial" w:cs="Arial" w:eastAsia="Arial" w:hAnsi="Arial"/>
                <w:sz w:val="15"/>
                <w:szCs w:val="15"/>
                <w:color w:val="auto"/>
              </w:rPr>
              <w:t>Share premium</w:t>
            </w:r>
          </w:p>
        </w:tc>
        <w:tc>
          <w:tcPr>
            <w:tcW w:w="3080" w:type="dxa"/>
            <w:vAlign w:val="bottom"/>
          </w:tcPr>
          <w:p>
            <w:pPr>
              <w:spacing w:after="0"/>
              <w:rPr>
                <w:sz w:val="21"/>
                <w:szCs w:val="21"/>
                <w:color w:val="auto"/>
              </w:rPr>
            </w:pP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290,262</w:t>
            </w:r>
          </w:p>
        </w:tc>
        <w:tc>
          <w:tcPr>
            <w:tcW w:w="960" w:type="dxa"/>
            <w:vAlign w:val="bottom"/>
          </w:tcPr>
          <w:p>
            <w:pPr>
              <w:jc w:val="right"/>
              <w:spacing w:after="0"/>
              <w:rPr>
                <w:sz w:val="20"/>
                <w:szCs w:val="20"/>
                <w:color w:val="auto"/>
              </w:rPr>
            </w:pPr>
            <w:r>
              <w:rPr>
                <w:rFonts w:ascii="Arial" w:cs="Arial" w:eastAsia="Arial" w:hAnsi="Arial"/>
                <w:sz w:val="15"/>
                <w:szCs w:val="15"/>
                <w:color w:val="183964"/>
              </w:rPr>
              <w:t>290,262</w:t>
            </w:r>
          </w:p>
        </w:tc>
      </w:tr>
      <w:tr>
        <w:trPr>
          <w:trHeight w:val="243"/>
        </w:trPr>
        <w:tc>
          <w:tcPr>
            <w:tcW w:w="5780" w:type="dxa"/>
            <w:vAlign w:val="bottom"/>
          </w:tcPr>
          <w:p>
            <w:pPr>
              <w:ind w:left="20"/>
              <w:spacing w:after="0"/>
              <w:rPr>
                <w:sz w:val="20"/>
                <w:szCs w:val="20"/>
                <w:color w:val="auto"/>
              </w:rPr>
            </w:pPr>
            <w:r>
              <w:rPr>
                <w:rFonts w:ascii="Arial" w:cs="Arial" w:eastAsia="Arial" w:hAnsi="Arial"/>
                <w:sz w:val="15"/>
                <w:szCs w:val="15"/>
                <w:color w:val="auto"/>
              </w:rPr>
              <w:t>Treasury stock</w:t>
            </w:r>
          </w:p>
        </w:tc>
        <w:tc>
          <w:tcPr>
            <w:tcW w:w="3080" w:type="dxa"/>
            <w:vAlign w:val="bottom"/>
          </w:tcPr>
          <w:p>
            <w:pPr>
              <w:spacing w:after="0"/>
              <w:rPr>
                <w:sz w:val="21"/>
                <w:szCs w:val="21"/>
                <w:color w:val="auto"/>
              </w:rPr>
            </w:pPr>
          </w:p>
        </w:tc>
        <w:tc>
          <w:tcPr>
            <w:tcW w:w="1400" w:type="dxa"/>
            <w:vAlign w:val="bottom"/>
          </w:tcPr>
          <w:p>
            <w:pPr>
              <w:jc w:val="right"/>
              <w:ind w:right="284"/>
              <w:spacing w:after="0"/>
              <w:rPr>
                <w:sz w:val="20"/>
                <w:szCs w:val="20"/>
                <w:color w:val="auto"/>
              </w:rPr>
            </w:pPr>
            <w:r>
              <w:rPr>
                <w:rFonts w:ascii="Arial" w:cs="Arial" w:eastAsia="Arial" w:hAnsi="Arial"/>
                <w:sz w:val="15"/>
                <w:szCs w:val="15"/>
                <w:b w:val="1"/>
                <w:bCs w:val="1"/>
                <w:color w:val="auto"/>
              </w:rPr>
              <w:t>(46,892)</w:t>
            </w:r>
          </w:p>
        </w:tc>
        <w:tc>
          <w:tcPr>
            <w:tcW w:w="960" w:type="dxa"/>
            <w:vAlign w:val="bottom"/>
          </w:tcPr>
          <w:p>
            <w:pPr>
              <w:jc w:val="right"/>
              <w:spacing w:after="0"/>
              <w:rPr>
                <w:sz w:val="20"/>
                <w:szCs w:val="20"/>
                <w:color w:val="auto"/>
              </w:rPr>
            </w:pPr>
            <w:r>
              <w:rPr>
                <w:rFonts w:ascii="Arial" w:cs="Arial" w:eastAsia="Arial" w:hAnsi="Arial"/>
                <w:sz w:val="15"/>
                <w:szCs w:val="15"/>
                <w:color w:val="183964"/>
              </w:rPr>
              <w:t>(44,626)</w:t>
            </w:r>
          </w:p>
        </w:tc>
      </w:tr>
      <w:tr>
        <w:trPr>
          <w:trHeight w:val="243"/>
        </w:trPr>
        <w:tc>
          <w:tcPr>
            <w:tcW w:w="5780" w:type="dxa"/>
            <w:vAlign w:val="bottom"/>
          </w:tcPr>
          <w:p>
            <w:pPr>
              <w:ind w:left="20"/>
              <w:spacing w:after="0"/>
              <w:rPr>
                <w:sz w:val="20"/>
                <w:szCs w:val="20"/>
                <w:color w:val="auto"/>
              </w:rPr>
            </w:pPr>
            <w:r>
              <w:rPr>
                <w:rFonts w:ascii="Arial" w:cs="Arial" w:eastAsia="Arial" w:hAnsi="Arial"/>
                <w:sz w:val="15"/>
                <w:szCs w:val="15"/>
                <w:color w:val="auto"/>
              </w:rPr>
              <w:t>Merger reserve</w:t>
            </w:r>
          </w:p>
        </w:tc>
        <w:tc>
          <w:tcPr>
            <w:tcW w:w="3080" w:type="dxa"/>
            <w:vAlign w:val="bottom"/>
          </w:tcPr>
          <w:p>
            <w:pPr>
              <w:spacing w:after="0"/>
              <w:rPr>
                <w:sz w:val="21"/>
                <w:szCs w:val="21"/>
                <w:color w:val="auto"/>
              </w:rPr>
            </w:pP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138,506</w:t>
            </w:r>
          </w:p>
        </w:tc>
        <w:tc>
          <w:tcPr>
            <w:tcW w:w="960" w:type="dxa"/>
            <w:vAlign w:val="bottom"/>
          </w:tcPr>
          <w:p>
            <w:pPr>
              <w:jc w:val="right"/>
              <w:spacing w:after="0"/>
              <w:rPr>
                <w:sz w:val="20"/>
                <w:szCs w:val="20"/>
                <w:color w:val="auto"/>
              </w:rPr>
            </w:pPr>
            <w:r>
              <w:rPr>
                <w:rFonts w:ascii="Arial" w:cs="Arial" w:eastAsia="Arial" w:hAnsi="Arial"/>
                <w:sz w:val="15"/>
                <w:szCs w:val="15"/>
                <w:color w:val="183964"/>
              </w:rPr>
              <w:t>138,506</w:t>
            </w:r>
          </w:p>
        </w:tc>
      </w:tr>
      <w:tr>
        <w:trPr>
          <w:trHeight w:val="243"/>
        </w:trPr>
        <w:tc>
          <w:tcPr>
            <w:tcW w:w="5780" w:type="dxa"/>
            <w:vAlign w:val="bottom"/>
          </w:tcPr>
          <w:p>
            <w:pPr>
              <w:ind w:left="20"/>
              <w:spacing w:after="0"/>
              <w:rPr>
                <w:sz w:val="20"/>
                <w:szCs w:val="20"/>
                <w:color w:val="auto"/>
              </w:rPr>
            </w:pPr>
            <w:r>
              <w:rPr>
                <w:rFonts w:ascii="Arial" w:cs="Arial" w:eastAsia="Arial" w:hAnsi="Arial"/>
                <w:sz w:val="15"/>
                <w:szCs w:val="15"/>
                <w:color w:val="auto"/>
              </w:rPr>
              <w:t>Translation reserve</w:t>
            </w:r>
          </w:p>
        </w:tc>
        <w:tc>
          <w:tcPr>
            <w:tcW w:w="3080" w:type="dxa"/>
            <w:vAlign w:val="bottom"/>
          </w:tcPr>
          <w:p>
            <w:pPr>
              <w:spacing w:after="0"/>
              <w:rPr>
                <w:sz w:val="21"/>
                <w:szCs w:val="21"/>
                <w:color w:val="auto"/>
              </w:rPr>
            </w:pP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182</w:t>
            </w:r>
          </w:p>
        </w:tc>
        <w:tc>
          <w:tcPr>
            <w:tcW w:w="960" w:type="dxa"/>
            <w:vAlign w:val="bottom"/>
          </w:tcPr>
          <w:p>
            <w:pPr>
              <w:jc w:val="right"/>
              <w:spacing w:after="0"/>
              <w:rPr>
                <w:sz w:val="20"/>
                <w:szCs w:val="20"/>
                <w:color w:val="auto"/>
              </w:rPr>
            </w:pPr>
            <w:r>
              <w:rPr>
                <w:rFonts w:ascii="Arial" w:cs="Arial" w:eastAsia="Arial" w:hAnsi="Arial"/>
                <w:sz w:val="15"/>
                <w:szCs w:val="15"/>
                <w:color w:val="183964"/>
              </w:rPr>
              <w:t>182</w:t>
            </w:r>
          </w:p>
        </w:tc>
      </w:tr>
      <w:tr>
        <w:trPr>
          <w:trHeight w:val="243"/>
        </w:trPr>
        <w:tc>
          <w:tcPr>
            <w:tcW w:w="5780" w:type="dxa"/>
            <w:vAlign w:val="bottom"/>
          </w:tcPr>
          <w:p>
            <w:pPr>
              <w:ind w:left="20"/>
              <w:spacing w:after="0"/>
              <w:rPr>
                <w:sz w:val="20"/>
                <w:szCs w:val="20"/>
                <w:color w:val="auto"/>
              </w:rPr>
            </w:pPr>
            <w:r>
              <w:rPr>
                <w:rFonts w:ascii="Arial" w:cs="Arial" w:eastAsia="Arial" w:hAnsi="Arial"/>
                <w:sz w:val="15"/>
                <w:szCs w:val="15"/>
                <w:color w:val="auto"/>
              </w:rPr>
              <w:t>Other reserve</w:t>
            </w:r>
          </w:p>
        </w:tc>
        <w:tc>
          <w:tcPr>
            <w:tcW w:w="3080" w:type="dxa"/>
            <w:vAlign w:val="bottom"/>
          </w:tcPr>
          <w:p>
            <w:pPr>
              <w:jc w:val="right"/>
              <w:ind w:right="165"/>
              <w:spacing w:after="0"/>
              <w:rPr>
                <w:sz w:val="20"/>
                <w:szCs w:val="20"/>
                <w:color w:val="auto"/>
              </w:rPr>
            </w:pPr>
            <w:r>
              <w:rPr>
                <w:rFonts w:ascii="Arial" w:cs="Arial" w:eastAsia="Arial" w:hAnsi="Arial"/>
                <w:sz w:val="15"/>
                <w:szCs w:val="15"/>
                <w:color w:val="183964"/>
              </w:rPr>
              <w:t>10</w:t>
            </w:r>
          </w:p>
        </w:tc>
        <w:tc>
          <w:tcPr>
            <w:tcW w:w="1400" w:type="dxa"/>
            <w:vAlign w:val="bottom"/>
          </w:tcPr>
          <w:p>
            <w:pPr>
              <w:jc w:val="right"/>
              <w:ind w:right="284"/>
              <w:spacing w:after="0"/>
              <w:rPr>
                <w:sz w:val="20"/>
                <w:szCs w:val="20"/>
                <w:color w:val="auto"/>
              </w:rPr>
            </w:pPr>
            <w:r>
              <w:rPr>
                <w:rFonts w:ascii="Arial" w:cs="Arial" w:eastAsia="Arial" w:hAnsi="Arial"/>
                <w:sz w:val="15"/>
                <w:szCs w:val="15"/>
                <w:b w:val="1"/>
                <w:bCs w:val="1"/>
                <w:color w:val="auto"/>
              </w:rPr>
              <w:t>(8,541)</w:t>
            </w:r>
          </w:p>
        </w:tc>
        <w:tc>
          <w:tcPr>
            <w:tcW w:w="960" w:type="dxa"/>
            <w:vAlign w:val="bottom"/>
          </w:tcPr>
          <w:p>
            <w:pPr>
              <w:jc w:val="right"/>
              <w:spacing w:after="0"/>
              <w:rPr>
                <w:sz w:val="20"/>
                <w:szCs w:val="20"/>
                <w:color w:val="auto"/>
              </w:rPr>
            </w:pPr>
            <w:r>
              <w:rPr>
                <w:rFonts w:ascii="Arial" w:cs="Arial" w:eastAsia="Arial" w:hAnsi="Arial"/>
                <w:sz w:val="15"/>
                <w:szCs w:val="15"/>
                <w:color w:val="183964"/>
              </w:rPr>
              <w:t>(9,538)</w:t>
            </w:r>
          </w:p>
        </w:tc>
      </w:tr>
      <w:tr>
        <w:trPr>
          <w:trHeight w:val="243"/>
        </w:trPr>
        <w:tc>
          <w:tcPr>
            <w:tcW w:w="5780" w:type="dxa"/>
            <w:vAlign w:val="bottom"/>
          </w:tcPr>
          <w:p>
            <w:pPr>
              <w:ind w:left="20"/>
              <w:spacing w:after="0"/>
              <w:rPr>
                <w:sz w:val="20"/>
                <w:szCs w:val="20"/>
                <w:color w:val="auto"/>
              </w:rPr>
            </w:pPr>
            <w:r>
              <w:rPr>
                <w:rFonts w:ascii="Arial" w:cs="Arial" w:eastAsia="Arial" w:hAnsi="Arial"/>
                <w:sz w:val="15"/>
                <w:szCs w:val="15"/>
                <w:color w:val="auto"/>
              </w:rPr>
              <w:t>(Accumulated deficit)/Retained earnings</w:t>
            </w:r>
          </w:p>
        </w:tc>
        <w:tc>
          <w:tcPr>
            <w:tcW w:w="3080" w:type="dxa"/>
            <w:vAlign w:val="bottom"/>
          </w:tcPr>
          <w:p>
            <w:pPr>
              <w:spacing w:after="0"/>
              <w:rPr>
                <w:sz w:val="21"/>
                <w:szCs w:val="21"/>
                <w:color w:val="auto"/>
              </w:rPr>
            </w:pPr>
          </w:p>
        </w:tc>
        <w:tc>
          <w:tcPr>
            <w:tcW w:w="1400" w:type="dxa"/>
            <w:vAlign w:val="bottom"/>
          </w:tcPr>
          <w:p>
            <w:pPr>
              <w:jc w:val="right"/>
              <w:ind w:right="284"/>
              <w:spacing w:after="0"/>
              <w:rPr>
                <w:sz w:val="20"/>
                <w:szCs w:val="20"/>
                <w:color w:val="auto"/>
              </w:rPr>
            </w:pPr>
            <w:r>
              <w:rPr>
                <w:rFonts w:ascii="Arial" w:cs="Arial" w:eastAsia="Arial" w:hAnsi="Arial"/>
                <w:sz w:val="15"/>
                <w:szCs w:val="15"/>
                <w:b w:val="1"/>
                <w:bCs w:val="1"/>
                <w:color w:val="auto"/>
              </w:rPr>
              <w:t>(62,510)</w:t>
            </w:r>
          </w:p>
        </w:tc>
        <w:tc>
          <w:tcPr>
            <w:tcW w:w="960" w:type="dxa"/>
            <w:vAlign w:val="bottom"/>
          </w:tcPr>
          <w:p>
            <w:pPr>
              <w:jc w:val="right"/>
              <w:spacing w:after="0"/>
              <w:rPr>
                <w:sz w:val="20"/>
                <w:szCs w:val="20"/>
                <w:color w:val="auto"/>
              </w:rPr>
            </w:pPr>
            <w:r>
              <w:rPr>
                <w:rFonts w:ascii="Arial" w:cs="Arial" w:eastAsia="Arial" w:hAnsi="Arial"/>
                <w:sz w:val="15"/>
                <w:szCs w:val="15"/>
                <w:color w:val="183964"/>
              </w:rPr>
              <w:t>83,820</w:t>
            </w:r>
          </w:p>
        </w:tc>
      </w:tr>
      <w:tr>
        <w:trPr>
          <w:trHeight w:val="25"/>
        </w:trPr>
        <w:tc>
          <w:tcPr>
            <w:tcW w:w="578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1"/>
        </w:trPr>
        <w:tc>
          <w:tcPr>
            <w:tcW w:w="5780" w:type="dxa"/>
            <w:vAlign w:val="bottom"/>
          </w:tcPr>
          <w:p>
            <w:pPr>
              <w:ind w:left="20"/>
              <w:spacing w:after="0"/>
              <w:rPr>
                <w:sz w:val="20"/>
                <w:szCs w:val="20"/>
                <w:color w:val="auto"/>
              </w:rPr>
            </w:pPr>
            <w:r>
              <w:rPr>
                <w:rFonts w:ascii="Arial" w:cs="Arial" w:eastAsia="Arial" w:hAnsi="Arial"/>
                <w:sz w:val="15"/>
                <w:szCs w:val="15"/>
                <w:b w:val="1"/>
                <w:bCs w:val="1"/>
                <w:color w:val="auto"/>
              </w:rPr>
              <w:t>Equity attributable to the owners of the Group</w:t>
            </w:r>
          </w:p>
        </w:tc>
        <w:tc>
          <w:tcPr>
            <w:tcW w:w="3080" w:type="dxa"/>
            <w:vAlign w:val="bottom"/>
          </w:tcPr>
          <w:p>
            <w:pPr>
              <w:spacing w:after="0"/>
              <w:rPr>
                <w:sz w:val="18"/>
                <w:szCs w:val="18"/>
                <w:color w:val="auto"/>
              </w:rPr>
            </w:pP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315,867</w:t>
            </w:r>
          </w:p>
        </w:tc>
        <w:tc>
          <w:tcPr>
            <w:tcW w:w="960" w:type="dxa"/>
            <w:vAlign w:val="bottom"/>
          </w:tcPr>
          <w:p>
            <w:pPr>
              <w:jc w:val="right"/>
              <w:spacing w:after="0"/>
              <w:rPr>
                <w:sz w:val="20"/>
                <w:szCs w:val="20"/>
                <w:color w:val="auto"/>
              </w:rPr>
            </w:pPr>
            <w:r>
              <w:rPr>
                <w:rFonts w:ascii="Arial" w:cs="Arial" w:eastAsia="Arial" w:hAnsi="Arial"/>
                <w:sz w:val="15"/>
                <w:szCs w:val="15"/>
                <w:color w:val="183964"/>
              </w:rPr>
              <w:t>464,066</w:t>
            </w:r>
          </w:p>
        </w:tc>
      </w:tr>
      <w:tr>
        <w:trPr>
          <w:trHeight w:val="243"/>
        </w:trPr>
        <w:tc>
          <w:tcPr>
            <w:tcW w:w="5780" w:type="dxa"/>
            <w:vAlign w:val="bottom"/>
          </w:tcPr>
          <w:p>
            <w:pPr>
              <w:ind w:left="20"/>
              <w:spacing w:after="0"/>
              <w:rPr>
                <w:sz w:val="20"/>
                <w:szCs w:val="20"/>
                <w:color w:val="auto"/>
              </w:rPr>
            </w:pPr>
            <w:r>
              <w:rPr>
                <w:rFonts w:ascii="Arial" w:cs="Arial" w:eastAsia="Arial" w:hAnsi="Arial"/>
                <w:sz w:val="15"/>
                <w:szCs w:val="15"/>
                <w:color w:val="auto"/>
              </w:rPr>
              <w:t>Non-controlling interests</w:t>
            </w:r>
          </w:p>
        </w:tc>
        <w:tc>
          <w:tcPr>
            <w:tcW w:w="3080" w:type="dxa"/>
            <w:vAlign w:val="bottom"/>
          </w:tcPr>
          <w:p>
            <w:pPr>
              <w:jc w:val="right"/>
              <w:ind w:right="165"/>
              <w:spacing w:after="0"/>
              <w:rPr>
                <w:sz w:val="20"/>
                <w:szCs w:val="20"/>
                <w:color w:val="auto"/>
              </w:rPr>
            </w:pPr>
            <w:r>
              <w:rPr>
                <w:rFonts w:ascii="Arial" w:cs="Arial" w:eastAsia="Arial" w:hAnsi="Arial"/>
                <w:sz w:val="15"/>
                <w:szCs w:val="15"/>
                <w:color w:val="183964"/>
              </w:rPr>
              <w:t>14</w:t>
            </w:r>
          </w:p>
        </w:tc>
        <w:tc>
          <w:tcPr>
            <w:tcW w:w="1400" w:type="dxa"/>
            <w:vAlign w:val="bottom"/>
          </w:tcPr>
          <w:p>
            <w:pPr>
              <w:jc w:val="right"/>
              <w:ind w:right="284"/>
              <w:spacing w:after="0"/>
              <w:rPr>
                <w:sz w:val="20"/>
                <w:szCs w:val="20"/>
                <w:color w:val="auto"/>
              </w:rPr>
            </w:pPr>
            <w:r>
              <w:rPr>
                <w:rFonts w:ascii="Arial" w:cs="Arial" w:eastAsia="Arial" w:hAnsi="Arial"/>
                <w:sz w:val="15"/>
                <w:szCs w:val="15"/>
                <w:b w:val="1"/>
                <w:bCs w:val="1"/>
                <w:color w:val="auto"/>
              </w:rPr>
              <w:t>(9,661)</w:t>
            </w:r>
          </w:p>
        </w:tc>
        <w:tc>
          <w:tcPr>
            <w:tcW w:w="960" w:type="dxa"/>
            <w:vAlign w:val="bottom"/>
          </w:tcPr>
          <w:p>
            <w:pPr>
              <w:jc w:val="right"/>
              <w:spacing w:after="0"/>
              <w:rPr>
                <w:sz w:val="20"/>
                <w:szCs w:val="20"/>
                <w:color w:val="auto"/>
              </w:rPr>
            </w:pPr>
            <w:r>
              <w:rPr>
                <w:rFonts w:ascii="Arial" w:cs="Arial" w:eastAsia="Arial" w:hAnsi="Arial"/>
                <w:sz w:val="15"/>
                <w:szCs w:val="15"/>
                <w:color w:val="183964"/>
              </w:rPr>
              <w:t>(5,835)</w:t>
            </w:r>
          </w:p>
        </w:tc>
      </w:tr>
      <w:tr>
        <w:trPr>
          <w:trHeight w:val="25"/>
        </w:trPr>
        <w:tc>
          <w:tcPr>
            <w:tcW w:w="5780" w:type="dxa"/>
            <w:vAlign w:val="bottom"/>
            <w:tcBorders>
              <w:bottom w:val="single" w:sz="8" w:color="183964"/>
            </w:tcBorders>
          </w:tcPr>
          <w:p>
            <w:pPr>
              <w:spacing w:after="0"/>
              <w:rPr>
                <w:sz w:val="2"/>
                <w:szCs w:val="2"/>
                <w:color w:val="auto"/>
              </w:rPr>
            </w:pPr>
          </w:p>
        </w:tc>
        <w:tc>
          <w:tcPr>
            <w:tcW w:w="3080" w:type="dxa"/>
            <w:vAlign w:val="bottom"/>
            <w:tcBorders>
              <w:bottom w:val="single" w:sz="8" w:color="183964"/>
            </w:tcBorders>
          </w:tcPr>
          <w:p>
            <w:pPr>
              <w:spacing w:after="0"/>
              <w:rPr>
                <w:sz w:val="2"/>
                <w:szCs w:val="2"/>
                <w:color w:val="auto"/>
              </w:rPr>
            </w:pPr>
          </w:p>
        </w:tc>
        <w:tc>
          <w:tcPr>
            <w:tcW w:w="1400" w:type="dxa"/>
            <w:vAlign w:val="bottom"/>
            <w:tcBorders>
              <w:bottom w:val="single" w:sz="8" w:color="183964"/>
            </w:tcBorders>
          </w:tcPr>
          <w:p>
            <w:pPr>
              <w:spacing w:after="0"/>
              <w:rPr>
                <w:sz w:val="2"/>
                <w:szCs w:val="2"/>
                <w:color w:val="auto"/>
              </w:rPr>
            </w:pPr>
          </w:p>
        </w:tc>
        <w:tc>
          <w:tcPr>
            <w:tcW w:w="960" w:type="dxa"/>
            <w:vAlign w:val="bottom"/>
            <w:tcBorders>
              <w:bottom w:val="single" w:sz="8" w:color="183964"/>
            </w:tcBorders>
          </w:tcPr>
          <w:p>
            <w:pPr>
              <w:spacing w:after="0"/>
              <w:rPr>
                <w:sz w:val="2"/>
                <w:szCs w:val="2"/>
                <w:color w:val="auto"/>
              </w:rPr>
            </w:pPr>
          </w:p>
        </w:tc>
      </w:tr>
      <w:tr>
        <w:trPr>
          <w:trHeight w:val="212"/>
        </w:trPr>
        <w:tc>
          <w:tcPr>
            <w:tcW w:w="5780" w:type="dxa"/>
            <w:vAlign w:val="bottom"/>
          </w:tcPr>
          <w:p>
            <w:pPr>
              <w:ind w:left="20"/>
              <w:spacing w:after="0"/>
              <w:rPr>
                <w:sz w:val="20"/>
                <w:szCs w:val="20"/>
                <w:color w:val="auto"/>
              </w:rPr>
            </w:pPr>
            <w:r>
              <w:rPr>
                <w:rFonts w:ascii="Arial" w:cs="Arial" w:eastAsia="Arial" w:hAnsi="Arial"/>
                <w:sz w:val="15"/>
                <w:szCs w:val="15"/>
                <w:b w:val="1"/>
                <w:bCs w:val="1"/>
                <w:color w:val="auto"/>
              </w:rPr>
              <w:t>Total equity</w:t>
            </w:r>
          </w:p>
        </w:tc>
        <w:tc>
          <w:tcPr>
            <w:tcW w:w="3080" w:type="dxa"/>
            <w:vAlign w:val="bottom"/>
          </w:tcPr>
          <w:p>
            <w:pPr>
              <w:spacing w:after="0"/>
              <w:rPr>
                <w:sz w:val="18"/>
                <w:szCs w:val="18"/>
                <w:color w:val="auto"/>
              </w:rPr>
            </w:pP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306,206</w:t>
            </w:r>
          </w:p>
        </w:tc>
        <w:tc>
          <w:tcPr>
            <w:tcW w:w="960" w:type="dxa"/>
            <w:vAlign w:val="bottom"/>
          </w:tcPr>
          <w:p>
            <w:pPr>
              <w:jc w:val="right"/>
              <w:spacing w:after="0"/>
              <w:rPr>
                <w:sz w:val="20"/>
                <w:szCs w:val="20"/>
                <w:color w:val="auto"/>
              </w:rPr>
            </w:pPr>
            <w:r>
              <w:rPr>
                <w:rFonts w:ascii="Arial" w:cs="Arial" w:eastAsia="Arial" w:hAnsi="Arial"/>
                <w:sz w:val="15"/>
                <w:szCs w:val="15"/>
                <w:color w:val="183964"/>
              </w:rPr>
              <w:t>458,232</w:t>
            </w:r>
          </w:p>
        </w:tc>
      </w:tr>
      <w:tr>
        <w:trPr>
          <w:trHeight w:val="25"/>
        </w:trPr>
        <w:tc>
          <w:tcPr>
            <w:tcW w:w="578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1"/>
        </w:trPr>
        <w:tc>
          <w:tcPr>
            <w:tcW w:w="5780" w:type="dxa"/>
            <w:vAlign w:val="bottom"/>
          </w:tcPr>
          <w:p>
            <w:pPr>
              <w:ind w:left="20"/>
              <w:spacing w:after="0"/>
              <w:rPr>
                <w:sz w:val="20"/>
                <w:szCs w:val="20"/>
                <w:color w:val="auto"/>
              </w:rPr>
            </w:pPr>
            <w:r>
              <w:rPr>
                <w:rFonts w:ascii="Arial" w:cs="Arial" w:eastAsia="Arial" w:hAnsi="Arial"/>
                <w:sz w:val="15"/>
                <w:szCs w:val="15"/>
                <w:b w:val="1"/>
                <w:bCs w:val="1"/>
                <w:color w:val="auto"/>
              </w:rPr>
              <w:t>Non-current liabilities</w:t>
            </w:r>
          </w:p>
        </w:tc>
        <w:tc>
          <w:tcPr>
            <w:tcW w:w="30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3"/>
        </w:trPr>
        <w:tc>
          <w:tcPr>
            <w:tcW w:w="5780" w:type="dxa"/>
            <w:vAlign w:val="bottom"/>
          </w:tcPr>
          <w:p>
            <w:pPr>
              <w:ind w:left="20"/>
              <w:spacing w:after="0"/>
              <w:rPr>
                <w:sz w:val="20"/>
                <w:szCs w:val="20"/>
                <w:color w:val="auto"/>
              </w:rPr>
            </w:pPr>
            <w:r>
              <w:rPr>
                <w:rFonts w:ascii="Arial" w:cs="Arial" w:eastAsia="Arial" w:hAnsi="Arial"/>
                <w:sz w:val="15"/>
                <w:szCs w:val="15"/>
                <w:color w:val="auto"/>
              </w:rPr>
              <w:t>Sale of future royalties liability, non-current</w:t>
            </w:r>
          </w:p>
        </w:tc>
        <w:tc>
          <w:tcPr>
            <w:tcW w:w="3080" w:type="dxa"/>
            <w:vAlign w:val="bottom"/>
          </w:tcPr>
          <w:p>
            <w:pPr>
              <w:jc w:val="right"/>
              <w:ind w:right="165"/>
              <w:spacing w:after="0"/>
              <w:rPr>
                <w:sz w:val="20"/>
                <w:szCs w:val="20"/>
                <w:color w:val="auto"/>
              </w:rPr>
            </w:pPr>
            <w:r>
              <w:rPr>
                <w:rFonts w:ascii="Arial" w:cs="Arial" w:eastAsia="Arial" w:hAnsi="Arial"/>
                <w:sz w:val="15"/>
                <w:szCs w:val="15"/>
                <w:color w:val="183964"/>
              </w:rPr>
              <w:t>12</w:t>
            </w: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117,458</w:t>
            </w:r>
          </w:p>
        </w:tc>
        <w:tc>
          <w:tcPr>
            <w:tcW w:w="960" w:type="dxa"/>
            <w:vAlign w:val="bottom"/>
          </w:tcPr>
          <w:p>
            <w:pPr>
              <w:jc w:val="right"/>
              <w:spacing w:after="0"/>
              <w:rPr>
                <w:sz w:val="20"/>
                <w:szCs w:val="20"/>
                <w:color w:val="auto"/>
              </w:rPr>
            </w:pPr>
            <w:r>
              <w:rPr>
                <w:rFonts w:ascii="Arial" w:cs="Arial" w:eastAsia="Arial" w:hAnsi="Arial"/>
                <w:sz w:val="15"/>
                <w:szCs w:val="15"/>
                <w:color w:val="183964"/>
              </w:rPr>
              <w:t>110,159</w:t>
            </w:r>
          </w:p>
        </w:tc>
      </w:tr>
      <w:tr>
        <w:trPr>
          <w:trHeight w:val="243"/>
        </w:trPr>
        <w:tc>
          <w:tcPr>
            <w:tcW w:w="5780" w:type="dxa"/>
            <w:vAlign w:val="bottom"/>
          </w:tcPr>
          <w:p>
            <w:pPr>
              <w:ind w:left="20"/>
              <w:spacing w:after="0"/>
              <w:rPr>
                <w:sz w:val="20"/>
                <w:szCs w:val="20"/>
                <w:color w:val="auto"/>
              </w:rPr>
            </w:pPr>
            <w:r>
              <w:rPr>
                <w:rFonts w:ascii="Arial" w:cs="Arial" w:eastAsia="Arial" w:hAnsi="Arial"/>
                <w:sz w:val="15"/>
                <w:szCs w:val="15"/>
                <w:color w:val="auto"/>
              </w:rPr>
              <w:t>Deferred tax liability</w:t>
            </w:r>
          </w:p>
        </w:tc>
        <w:tc>
          <w:tcPr>
            <w:tcW w:w="3080" w:type="dxa"/>
            <w:vAlign w:val="bottom"/>
          </w:tcPr>
          <w:p>
            <w:pPr>
              <w:spacing w:after="0"/>
              <w:rPr>
                <w:sz w:val="21"/>
                <w:szCs w:val="21"/>
                <w:color w:val="auto"/>
              </w:rPr>
            </w:pP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183964"/>
              </w:rPr>
              <w:t>52,462</w:t>
            </w:r>
          </w:p>
        </w:tc>
      </w:tr>
      <w:tr>
        <w:trPr>
          <w:trHeight w:val="243"/>
        </w:trPr>
        <w:tc>
          <w:tcPr>
            <w:tcW w:w="5780" w:type="dxa"/>
            <w:vAlign w:val="bottom"/>
          </w:tcPr>
          <w:p>
            <w:pPr>
              <w:ind w:left="20"/>
              <w:spacing w:after="0"/>
              <w:rPr>
                <w:sz w:val="20"/>
                <w:szCs w:val="20"/>
                <w:color w:val="auto"/>
              </w:rPr>
            </w:pPr>
            <w:r>
              <w:rPr>
                <w:rFonts w:ascii="Arial" w:cs="Arial" w:eastAsia="Arial" w:hAnsi="Arial"/>
                <w:sz w:val="15"/>
                <w:szCs w:val="15"/>
                <w:color w:val="auto"/>
              </w:rPr>
              <w:t>Lease liability, non-current</w:t>
            </w:r>
          </w:p>
        </w:tc>
        <w:tc>
          <w:tcPr>
            <w:tcW w:w="3080" w:type="dxa"/>
            <w:vAlign w:val="bottom"/>
          </w:tcPr>
          <w:p>
            <w:pPr>
              <w:spacing w:after="0"/>
              <w:rPr>
                <w:sz w:val="21"/>
                <w:szCs w:val="21"/>
                <w:color w:val="auto"/>
              </w:rPr>
            </w:pP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16,422</w:t>
            </w:r>
          </w:p>
        </w:tc>
        <w:tc>
          <w:tcPr>
            <w:tcW w:w="960" w:type="dxa"/>
            <w:vAlign w:val="bottom"/>
          </w:tcPr>
          <w:p>
            <w:pPr>
              <w:jc w:val="right"/>
              <w:spacing w:after="0"/>
              <w:rPr>
                <w:sz w:val="20"/>
                <w:szCs w:val="20"/>
                <w:color w:val="auto"/>
              </w:rPr>
            </w:pPr>
            <w:r>
              <w:rPr>
                <w:rFonts w:ascii="Arial" w:cs="Arial" w:eastAsia="Arial" w:hAnsi="Arial"/>
                <w:sz w:val="15"/>
                <w:szCs w:val="15"/>
                <w:color w:val="183964"/>
              </w:rPr>
              <w:t>18,250</w:t>
            </w:r>
          </w:p>
        </w:tc>
      </w:tr>
      <w:tr>
        <w:trPr>
          <w:trHeight w:val="243"/>
        </w:trPr>
        <w:tc>
          <w:tcPr>
            <w:tcW w:w="5780" w:type="dxa"/>
            <w:vAlign w:val="bottom"/>
          </w:tcPr>
          <w:p>
            <w:pPr>
              <w:ind w:left="20"/>
              <w:spacing w:after="0"/>
              <w:rPr>
                <w:sz w:val="20"/>
                <w:szCs w:val="20"/>
                <w:color w:val="auto"/>
              </w:rPr>
            </w:pPr>
            <w:r>
              <w:rPr>
                <w:rFonts w:ascii="Arial" w:cs="Arial" w:eastAsia="Arial" w:hAnsi="Arial"/>
                <w:sz w:val="15"/>
                <w:szCs w:val="15"/>
                <w:color w:val="auto"/>
              </w:rPr>
              <w:t>Liability for share-based awards</w:t>
            </w:r>
          </w:p>
        </w:tc>
        <w:tc>
          <w:tcPr>
            <w:tcW w:w="3080" w:type="dxa"/>
            <w:vAlign w:val="bottom"/>
          </w:tcPr>
          <w:p>
            <w:pPr>
              <w:jc w:val="right"/>
              <w:ind w:right="165"/>
              <w:spacing w:after="0"/>
              <w:rPr>
                <w:sz w:val="20"/>
                <w:szCs w:val="20"/>
                <w:color w:val="auto"/>
              </w:rPr>
            </w:pPr>
            <w:r>
              <w:rPr>
                <w:rFonts w:ascii="Arial" w:cs="Arial" w:eastAsia="Arial" w:hAnsi="Arial"/>
                <w:sz w:val="15"/>
                <w:szCs w:val="15"/>
                <w:color w:val="183964"/>
              </w:rPr>
              <w:t>7</w:t>
            </w: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1,550</w:t>
            </w:r>
          </w:p>
        </w:tc>
        <w:tc>
          <w:tcPr>
            <w:tcW w:w="960" w:type="dxa"/>
            <w:vAlign w:val="bottom"/>
          </w:tcPr>
          <w:p>
            <w:pPr>
              <w:jc w:val="right"/>
              <w:spacing w:after="0"/>
              <w:rPr>
                <w:sz w:val="20"/>
                <w:szCs w:val="20"/>
                <w:color w:val="auto"/>
              </w:rPr>
            </w:pPr>
            <w:r>
              <w:rPr>
                <w:rFonts w:ascii="Arial" w:cs="Arial" w:eastAsia="Arial" w:hAnsi="Arial"/>
                <w:sz w:val="15"/>
                <w:szCs w:val="15"/>
                <w:color w:val="183964"/>
              </w:rPr>
              <w:t>3,501</w:t>
            </w:r>
          </w:p>
        </w:tc>
      </w:tr>
      <w:tr>
        <w:trPr>
          <w:trHeight w:val="25"/>
        </w:trPr>
        <w:tc>
          <w:tcPr>
            <w:tcW w:w="578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1"/>
        </w:trPr>
        <w:tc>
          <w:tcPr>
            <w:tcW w:w="5780" w:type="dxa"/>
            <w:vAlign w:val="bottom"/>
          </w:tcPr>
          <w:p>
            <w:pPr>
              <w:ind w:left="20"/>
              <w:spacing w:after="0"/>
              <w:rPr>
                <w:sz w:val="20"/>
                <w:szCs w:val="20"/>
                <w:color w:val="auto"/>
              </w:rPr>
            </w:pPr>
            <w:r>
              <w:rPr>
                <w:rFonts w:ascii="Arial" w:cs="Arial" w:eastAsia="Arial" w:hAnsi="Arial"/>
                <w:sz w:val="15"/>
                <w:szCs w:val="15"/>
                <w:color w:val="auto"/>
              </w:rPr>
              <w:t>Total non-current liabilities</w:t>
            </w:r>
          </w:p>
        </w:tc>
        <w:tc>
          <w:tcPr>
            <w:tcW w:w="3080" w:type="dxa"/>
            <w:vAlign w:val="bottom"/>
          </w:tcPr>
          <w:p>
            <w:pPr>
              <w:spacing w:after="0"/>
              <w:rPr>
                <w:sz w:val="18"/>
                <w:szCs w:val="18"/>
                <w:color w:val="auto"/>
              </w:rPr>
            </w:pP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135,430</w:t>
            </w:r>
          </w:p>
        </w:tc>
        <w:tc>
          <w:tcPr>
            <w:tcW w:w="960" w:type="dxa"/>
            <w:vAlign w:val="bottom"/>
          </w:tcPr>
          <w:p>
            <w:pPr>
              <w:jc w:val="right"/>
              <w:spacing w:after="0"/>
              <w:rPr>
                <w:sz w:val="20"/>
                <w:szCs w:val="20"/>
                <w:color w:val="auto"/>
              </w:rPr>
            </w:pPr>
            <w:r>
              <w:rPr>
                <w:rFonts w:ascii="Arial" w:cs="Arial" w:eastAsia="Arial" w:hAnsi="Arial"/>
                <w:sz w:val="15"/>
                <w:szCs w:val="15"/>
                <w:color w:val="183964"/>
              </w:rPr>
              <w:t>184,371</w:t>
            </w:r>
          </w:p>
        </w:tc>
      </w:tr>
      <w:tr>
        <w:trPr>
          <w:trHeight w:val="25"/>
        </w:trPr>
        <w:tc>
          <w:tcPr>
            <w:tcW w:w="5780" w:type="dxa"/>
            <w:vAlign w:val="bottom"/>
            <w:tcBorders>
              <w:bottom w:val="single" w:sz="8" w:color="B6B6B6"/>
            </w:tcBorders>
          </w:tcPr>
          <w:p>
            <w:pPr>
              <w:spacing w:after="0"/>
              <w:rPr>
                <w:sz w:val="2"/>
                <w:szCs w:val="2"/>
                <w:color w:val="auto"/>
              </w:rPr>
            </w:pPr>
          </w:p>
        </w:tc>
        <w:tc>
          <w:tcPr>
            <w:tcW w:w="3080" w:type="dxa"/>
            <w:vAlign w:val="bottom"/>
            <w:tcBorders>
              <w:bottom w:val="single" w:sz="8" w:color="B6B6B6"/>
            </w:tcBorders>
          </w:tcPr>
          <w:p>
            <w:pPr>
              <w:spacing w:after="0"/>
              <w:rPr>
                <w:sz w:val="2"/>
                <w:szCs w:val="2"/>
                <w:color w:val="auto"/>
              </w:rPr>
            </w:pPr>
          </w:p>
        </w:tc>
        <w:tc>
          <w:tcPr>
            <w:tcW w:w="1400" w:type="dxa"/>
            <w:vAlign w:val="bottom"/>
            <w:tcBorders>
              <w:bottom w:val="single" w:sz="8" w:color="B6B6B6"/>
            </w:tcBorders>
          </w:tcPr>
          <w:p>
            <w:pPr>
              <w:spacing w:after="0"/>
              <w:rPr>
                <w:sz w:val="2"/>
                <w:szCs w:val="2"/>
                <w:color w:val="auto"/>
              </w:rPr>
            </w:pPr>
          </w:p>
        </w:tc>
        <w:tc>
          <w:tcPr>
            <w:tcW w:w="960" w:type="dxa"/>
            <w:vAlign w:val="bottom"/>
            <w:tcBorders>
              <w:bottom w:val="single" w:sz="8" w:color="B6B6B6"/>
            </w:tcBorders>
          </w:tcPr>
          <w:p>
            <w:pPr>
              <w:spacing w:after="0"/>
              <w:rPr>
                <w:sz w:val="2"/>
                <w:szCs w:val="2"/>
                <w:color w:val="auto"/>
              </w:rPr>
            </w:pPr>
          </w:p>
        </w:tc>
      </w:tr>
      <w:tr>
        <w:trPr>
          <w:trHeight w:val="211"/>
        </w:trPr>
        <w:tc>
          <w:tcPr>
            <w:tcW w:w="5780" w:type="dxa"/>
            <w:vAlign w:val="bottom"/>
          </w:tcPr>
          <w:p>
            <w:pPr>
              <w:ind w:left="20"/>
              <w:spacing w:after="0"/>
              <w:rPr>
                <w:sz w:val="20"/>
                <w:szCs w:val="20"/>
                <w:color w:val="auto"/>
              </w:rPr>
            </w:pPr>
            <w:r>
              <w:rPr>
                <w:rFonts w:ascii="Arial" w:cs="Arial" w:eastAsia="Arial" w:hAnsi="Arial"/>
                <w:sz w:val="15"/>
                <w:szCs w:val="15"/>
                <w:b w:val="1"/>
                <w:bCs w:val="1"/>
                <w:color w:val="auto"/>
              </w:rPr>
              <w:t>Current liabilities</w:t>
            </w:r>
          </w:p>
        </w:tc>
        <w:tc>
          <w:tcPr>
            <w:tcW w:w="30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3"/>
        </w:trPr>
        <w:tc>
          <w:tcPr>
            <w:tcW w:w="5780" w:type="dxa"/>
            <w:vAlign w:val="bottom"/>
          </w:tcPr>
          <w:p>
            <w:pPr>
              <w:ind w:left="20"/>
              <w:spacing w:after="0"/>
              <w:rPr>
                <w:sz w:val="20"/>
                <w:szCs w:val="20"/>
                <w:color w:val="auto"/>
              </w:rPr>
            </w:pPr>
            <w:r>
              <w:rPr>
                <w:rFonts w:ascii="Arial" w:cs="Arial" w:eastAsia="Arial" w:hAnsi="Arial"/>
                <w:sz w:val="15"/>
                <w:szCs w:val="15"/>
                <w:color w:val="auto"/>
              </w:rPr>
              <w:t>Lease liability, current</w:t>
            </w:r>
          </w:p>
        </w:tc>
        <w:tc>
          <w:tcPr>
            <w:tcW w:w="3080" w:type="dxa"/>
            <w:vAlign w:val="bottom"/>
          </w:tcPr>
          <w:p>
            <w:pPr>
              <w:spacing w:after="0"/>
              <w:rPr>
                <w:sz w:val="21"/>
                <w:szCs w:val="21"/>
                <w:color w:val="auto"/>
              </w:rPr>
            </w:pP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3,574</w:t>
            </w:r>
          </w:p>
        </w:tc>
        <w:tc>
          <w:tcPr>
            <w:tcW w:w="960" w:type="dxa"/>
            <w:vAlign w:val="bottom"/>
          </w:tcPr>
          <w:p>
            <w:pPr>
              <w:jc w:val="right"/>
              <w:spacing w:after="0"/>
              <w:rPr>
                <w:sz w:val="20"/>
                <w:szCs w:val="20"/>
                <w:color w:val="auto"/>
              </w:rPr>
            </w:pPr>
            <w:r>
              <w:rPr>
                <w:rFonts w:ascii="Arial" w:cs="Arial" w:eastAsia="Arial" w:hAnsi="Arial"/>
                <w:sz w:val="15"/>
                <w:szCs w:val="15"/>
                <w:color w:val="183964"/>
              </w:rPr>
              <w:t>3,394</w:t>
            </w:r>
          </w:p>
        </w:tc>
      </w:tr>
      <w:tr>
        <w:trPr>
          <w:trHeight w:val="243"/>
        </w:trPr>
        <w:tc>
          <w:tcPr>
            <w:tcW w:w="5780" w:type="dxa"/>
            <w:vAlign w:val="bottom"/>
          </w:tcPr>
          <w:p>
            <w:pPr>
              <w:ind w:left="20"/>
              <w:spacing w:after="0"/>
              <w:rPr>
                <w:sz w:val="20"/>
                <w:szCs w:val="20"/>
                <w:color w:val="auto"/>
              </w:rPr>
            </w:pPr>
            <w:r>
              <w:rPr>
                <w:rFonts w:ascii="Arial" w:cs="Arial" w:eastAsia="Arial" w:hAnsi="Arial"/>
                <w:sz w:val="15"/>
                <w:szCs w:val="15"/>
                <w:color w:val="auto"/>
              </w:rPr>
              <w:t>Trade and other payables</w:t>
            </w:r>
          </w:p>
        </w:tc>
        <w:tc>
          <w:tcPr>
            <w:tcW w:w="3080" w:type="dxa"/>
            <w:vAlign w:val="bottom"/>
          </w:tcPr>
          <w:p>
            <w:pPr>
              <w:jc w:val="right"/>
              <w:ind w:right="165"/>
              <w:spacing w:after="0"/>
              <w:rPr>
                <w:sz w:val="20"/>
                <w:szCs w:val="20"/>
                <w:color w:val="auto"/>
              </w:rPr>
            </w:pPr>
            <w:r>
              <w:rPr>
                <w:rFonts w:ascii="Arial" w:cs="Arial" w:eastAsia="Arial" w:hAnsi="Arial"/>
                <w:sz w:val="15"/>
                <w:szCs w:val="15"/>
                <w:color w:val="183964"/>
              </w:rPr>
              <w:t>15</w:t>
            </w: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31,445</w:t>
            </w:r>
          </w:p>
        </w:tc>
        <w:tc>
          <w:tcPr>
            <w:tcW w:w="960" w:type="dxa"/>
            <w:vAlign w:val="bottom"/>
          </w:tcPr>
          <w:p>
            <w:pPr>
              <w:jc w:val="right"/>
              <w:spacing w:after="0"/>
              <w:rPr>
                <w:sz w:val="20"/>
                <w:szCs w:val="20"/>
                <w:color w:val="auto"/>
              </w:rPr>
            </w:pPr>
            <w:r>
              <w:rPr>
                <w:rFonts w:ascii="Arial" w:cs="Arial" w:eastAsia="Arial" w:hAnsi="Arial"/>
                <w:sz w:val="15"/>
                <w:szCs w:val="15"/>
                <w:color w:val="183964"/>
              </w:rPr>
              <w:t>44,107</w:t>
            </w:r>
          </w:p>
        </w:tc>
      </w:tr>
      <w:tr>
        <w:trPr>
          <w:trHeight w:val="243"/>
        </w:trPr>
        <w:tc>
          <w:tcPr>
            <w:tcW w:w="5780" w:type="dxa"/>
            <w:vAlign w:val="bottom"/>
          </w:tcPr>
          <w:p>
            <w:pPr>
              <w:ind w:left="20"/>
              <w:spacing w:after="0"/>
              <w:rPr>
                <w:sz w:val="20"/>
                <w:szCs w:val="20"/>
                <w:color w:val="auto"/>
              </w:rPr>
            </w:pPr>
            <w:r>
              <w:rPr>
                <w:rFonts w:ascii="Arial" w:cs="Arial" w:eastAsia="Arial" w:hAnsi="Arial"/>
                <w:sz w:val="15"/>
                <w:szCs w:val="15"/>
                <w:color w:val="auto"/>
              </w:rPr>
              <w:t>Sale of future royalties liability, current</w:t>
            </w:r>
          </w:p>
        </w:tc>
        <w:tc>
          <w:tcPr>
            <w:tcW w:w="3080" w:type="dxa"/>
            <w:vAlign w:val="bottom"/>
          </w:tcPr>
          <w:p>
            <w:pPr>
              <w:jc w:val="right"/>
              <w:ind w:right="165"/>
              <w:spacing w:after="0"/>
              <w:rPr>
                <w:sz w:val="20"/>
                <w:szCs w:val="20"/>
                <w:color w:val="auto"/>
              </w:rPr>
            </w:pPr>
            <w:r>
              <w:rPr>
                <w:rFonts w:ascii="Arial" w:cs="Arial" w:eastAsia="Arial" w:hAnsi="Arial"/>
                <w:sz w:val="15"/>
                <w:szCs w:val="15"/>
                <w:color w:val="183964"/>
              </w:rPr>
              <w:t>12</w:t>
            </w: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3,252</w:t>
            </w:r>
          </w:p>
        </w:tc>
        <w:tc>
          <w:tcPr>
            <w:tcW w:w="960" w:type="dxa"/>
            <w:vAlign w:val="bottom"/>
          </w:tcPr>
          <w:p>
            <w:pPr>
              <w:jc w:val="right"/>
              <w:spacing w:after="0"/>
              <w:rPr>
                <w:sz w:val="20"/>
                <w:szCs w:val="20"/>
                <w:color w:val="auto"/>
              </w:rPr>
            </w:pPr>
            <w:r>
              <w:rPr>
                <w:rFonts w:ascii="Arial" w:cs="Arial" w:eastAsia="Arial" w:hAnsi="Arial"/>
                <w:sz w:val="15"/>
                <w:szCs w:val="15"/>
                <w:color w:val="183964"/>
              </w:rPr>
              <w:t>—</w:t>
            </w:r>
          </w:p>
        </w:tc>
      </w:tr>
      <w:tr>
        <w:trPr>
          <w:trHeight w:val="243"/>
        </w:trPr>
        <w:tc>
          <w:tcPr>
            <w:tcW w:w="5780" w:type="dxa"/>
            <w:vAlign w:val="bottom"/>
          </w:tcPr>
          <w:p>
            <w:pPr>
              <w:ind w:left="20"/>
              <w:spacing w:after="0"/>
              <w:rPr>
                <w:sz w:val="20"/>
                <w:szCs w:val="20"/>
                <w:color w:val="auto"/>
              </w:rPr>
            </w:pPr>
            <w:r>
              <w:rPr>
                <w:rFonts w:ascii="Arial" w:cs="Arial" w:eastAsia="Arial" w:hAnsi="Arial"/>
                <w:sz w:val="15"/>
                <w:szCs w:val="15"/>
                <w:color w:val="auto"/>
              </w:rPr>
              <w:t>Income taxes payable</w:t>
            </w:r>
          </w:p>
        </w:tc>
        <w:tc>
          <w:tcPr>
            <w:tcW w:w="3080" w:type="dxa"/>
            <w:vAlign w:val="bottom"/>
          </w:tcPr>
          <w:p>
            <w:pPr>
              <w:spacing w:after="0"/>
              <w:rPr>
                <w:sz w:val="21"/>
                <w:szCs w:val="21"/>
                <w:color w:val="auto"/>
              </w:rPr>
            </w:pP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26,135</w:t>
            </w:r>
          </w:p>
        </w:tc>
        <w:tc>
          <w:tcPr>
            <w:tcW w:w="960" w:type="dxa"/>
            <w:vAlign w:val="bottom"/>
          </w:tcPr>
          <w:p>
            <w:pPr>
              <w:jc w:val="right"/>
              <w:spacing w:after="0"/>
              <w:rPr>
                <w:sz w:val="20"/>
                <w:szCs w:val="20"/>
                <w:color w:val="auto"/>
              </w:rPr>
            </w:pPr>
            <w:r>
              <w:rPr>
                <w:rFonts w:ascii="Arial" w:cs="Arial" w:eastAsia="Arial" w:hAnsi="Arial"/>
                <w:sz w:val="15"/>
                <w:szCs w:val="15"/>
                <w:color w:val="183964"/>
              </w:rPr>
              <w:t>—</w:t>
            </w:r>
          </w:p>
        </w:tc>
      </w:tr>
      <w:tr>
        <w:trPr>
          <w:trHeight w:val="235"/>
        </w:trPr>
        <w:tc>
          <w:tcPr>
            <w:tcW w:w="5780" w:type="dxa"/>
            <w:vAlign w:val="bottom"/>
          </w:tcPr>
          <w:p>
            <w:pPr>
              <w:ind w:left="20"/>
              <w:spacing w:after="0"/>
              <w:rPr>
                <w:sz w:val="20"/>
                <w:szCs w:val="20"/>
                <w:color w:val="auto"/>
              </w:rPr>
            </w:pPr>
            <w:r>
              <w:rPr>
                <w:rFonts w:ascii="Arial" w:cs="Arial" w:eastAsia="Arial" w:hAnsi="Arial"/>
                <w:sz w:val="15"/>
                <w:szCs w:val="15"/>
                <w:color w:val="auto"/>
              </w:rPr>
              <w:t>Subsidiary:</w:t>
            </w:r>
          </w:p>
        </w:tc>
        <w:tc>
          <w:tcPr>
            <w:tcW w:w="30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51"/>
        </w:trPr>
        <w:tc>
          <w:tcPr>
            <w:tcW w:w="5780" w:type="dxa"/>
            <w:vAlign w:val="bottom"/>
          </w:tcPr>
          <w:p>
            <w:pPr>
              <w:ind w:left="20"/>
              <w:spacing w:after="0"/>
              <w:rPr>
                <w:sz w:val="20"/>
                <w:szCs w:val="20"/>
                <w:color w:val="auto"/>
              </w:rPr>
            </w:pPr>
            <w:r>
              <w:rPr>
                <w:rFonts w:ascii="Arial" w:cs="Arial" w:eastAsia="Arial" w:hAnsi="Arial"/>
                <w:sz w:val="15"/>
                <w:szCs w:val="15"/>
                <w:color w:val="auto"/>
              </w:rPr>
              <w:t>Notes payable</w:t>
            </w:r>
          </w:p>
        </w:tc>
        <w:tc>
          <w:tcPr>
            <w:tcW w:w="3080" w:type="dxa"/>
            <w:vAlign w:val="bottom"/>
          </w:tcPr>
          <w:p>
            <w:pPr>
              <w:spacing w:after="0"/>
              <w:rPr>
                <w:sz w:val="21"/>
                <w:szCs w:val="21"/>
                <w:color w:val="auto"/>
              </w:rPr>
            </w:pP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4,027</w:t>
            </w:r>
          </w:p>
        </w:tc>
        <w:tc>
          <w:tcPr>
            <w:tcW w:w="960" w:type="dxa"/>
            <w:vAlign w:val="bottom"/>
          </w:tcPr>
          <w:p>
            <w:pPr>
              <w:jc w:val="right"/>
              <w:spacing w:after="0"/>
              <w:rPr>
                <w:sz w:val="20"/>
                <w:szCs w:val="20"/>
                <w:color w:val="auto"/>
              </w:rPr>
            </w:pPr>
            <w:r>
              <w:rPr>
                <w:rFonts w:ascii="Arial" w:cs="Arial" w:eastAsia="Arial" w:hAnsi="Arial"/>
                <w:sz w:val="15"/>
                <w:szCs w:val="15"/>
                <w:color w:val="183964"/>
              </w:rPr>
              <w:t>3,699</w:t>
            </w:r>
          </w:p>
        </w:tc>
      </w:tr>
      <w:tr>
        <w:trPr>
          <w:trHeight w:val="243"/>
        </w:trPr>
        <w:tc>
          <w:tcPr>
            <w:tcW w:w="5780" w:type="dxa"/>
            <w:vAlign w:val="bottom"/>
          </w:tcPr>
          <w:p>
            <w:pPr>
              <w:ind w:left="20"/>
              <w:spacing w:after="0"/>
              <w:rPr>
                <w:sz w:val="20"/>
                <w:szCs w:val="20"/>
                <w:color w:val="auto"/>
              </w:rPr>
            </w:pPr>
            <w:r>
              <w:rPr>
                <w:rFonts w:ascii="Arial" w:cs="Arial" w:eastAsia="Arial" w:hAnsi="Arial"/>
                <w:sz w:val="15"/>
                <w:szCs w:val="15"/>
                <w:color w:val="auto"/>
              </w:rPr>
              <w:t>Preferred shares</w:t>
            </w:r>
          </w:p>
        </w:tc>
        <w:tc>
          <w:tcPr>
            <w:tcW w:w="3080" w:type="dxa"/>
            <w:vAlign w:val="bottom"/>
          </w:tcPr>
          <w:p>
            <w:pPr>
              <w:jc w:val="right"/>
              <w:ind w:right="165"/>
              <w:spacing w:after="0"/>
              <w:rPr>
                <w:sz w:val="20"/>
                <w:szCs w:val="20"/>
                <w:color w:val="auto"/>
              </w:rPr>
            </w:pPr>
            <w:r>
              <w:rPr>
                <w:rFonts w:ascii="Arial" w:cs="Arial" w:eastAsia="Arial" w:hAnsi="Arial"/>
                <w:sz w:val="15"/>
                <w:szCs w:val="15"/>
                <w:color w:val="183964"/>
              </w:rPr>
              <w:t>11, 13</w:t>
            </w: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69,882</w:t>
            </w:r>
          </w:p>
        </w:tc>
        <w:tc>
          <w:tcPr>
            <w:tcW w:w="960" w:type="dxa"/>
            <w:vAlign w:val="bottom"/>
          </w:tcPr>
          <w:p>
            <w:pPr>
              <w:jc w:val="right"/>
              <w:spacing w:after="0"/>
              <w:rPr>
                <w:sz w:val="20"/>
                <w:szCs w:val="20"/>
                <w:color w:val="auto"/>
              </w:rPr>
            </w:pPr>
            <w:r>
              <w:rPr>
                <w:rFonts w:ascii="Arial" w:cs="Arial" w:eastAsia="Arial" w:hAnsi="Arial"/>
                <w:sz w:val="15"/>
                <w:szCs w:val="15"/>
                <w:color w:val="183964"/>
              </w:rPr>
              <w:t>169</w:t>
            </w:r>
          </w:p>
        </w:tc>
      </w:tr>
      <w:tr>
        <w:trPr>
          <w:trHeight w:val="25"/>
        </w:trPr>
        <w:tc>
          <w:tcPr>
            <w:tcW w:w="578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1"/>
        </w:trPr>
        <w:tc>
          <w:tcPr>
            <w:tcW w:w="5780" w:type="dxa"/>
            <w:vAlign w:val="bottom"/>
          </w:tcPr>
          <w:p>
            <w:pPr>
              <w:ind w:left="20"/>
              <w:spacing w:after="0"/>
              <w:rPr>
                <w:sz w:val="20"/>
                <w:szCs w:val="20"/>
                <w:color w:val="auto"/>
              </w:rPr>
            </w:pPr>
            <w:r>
              <w:rPr>
                <w:rFonts w:ascii="Arial" w:cs="Arial" w:eastAsia="Arial" w:hAnsi="Arial"/>
                <w:sz w:val="15"/>
                <w:szCs w:val="15"/>
                <w:color w:val="auto"/>
              </w:rPr>
              <w:t>Total current liabilities</w:t>
            </w:r>
          </w:p>
        </w:tc>
        <w:tc>
          <w:tcPr>
            <w:tcW w:w="3080" w:type="dxa"/>
            <w:vAlign w:val="bottom"/>
          </w:tcPr>
          <w:p>
            <w:pPr>
              <w:spacing w:after="0"/>
              <w:rPr>
                <w:sz w:val="18"/>
                <w:szCs w:val="18"/>
                <w:color w:val="auto"/>
              </w:rPr>
            </w:pP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138,314</w:t>
            </w:r>
          </w:p>
        </w:tc>
        <w:tc>
          <w:tcPr>
            <w:tcW w:w="960" w:type="dxa"/>
            <w:vAlign w:val="bottom"/>
          </w:tcPr>
          <w:p>
            <w:pPr>
              <w:jc w:val="right"/>
              <w:spacing w:after="0"/>
              <w:rPr>
                <w:sz w:val="20"/>
                <w:szCs w:val="20"/>
                <w:color w:val="auto"/>
              </w:rPr>
            </w:pPr>
            <w:r>
              <w:rPr>
                <w:rFonts w:ascii="Arial" w:cs="Arial" w:eastAsia="Arial" w:hAnsi="Arial"/>
                <w:sz w:val="15"/>
                <w:szCs w:val="15"/>
                <w:color w:val="183964"/>
              </w:rPr>
              <w:t>51,370</w:t>
            </w:r>
          </w:p>
        </w:tc>
      </w:tr>
      <w:tr>
        <w:trPr>
          <w:trHeight w:val="25"/>
        </w:trPr>
        <w:tc>
          <w:tcPr>
            <w:tcW w:w="5780" w:type="dxa"/>
            <w:vAlign w:val="bottom"/>
            <w:tcBorders>
              <w:bottom w:val="single" w:sz="8" w:color="183964"/>
            </w:tcBorders>
          </w:tcPr>
          <w:p>
            <w:pPr>
              <w:spacing w:after="0"/>
              <w:rPr>
                <w:sz w:val="2"/>
                <w:szCs w:val="2"/>
                <w:color w:val="auto"/>
              </w:rPr>
            </w:pPr>
          </w:p>
        </w:tc>
        <w:tc>
          <w:tcPr>
            <w:tcW w:w="3080" w:type="dxa"/>
            <w:vAlign w:val="bottom"/>
            <w:tcBorders>
              <w:bottom w:val="single" w:sz="8" w:color="183964"/>
            </w:tcBorders>
          </w:tcPr>
          <w:p>
            <w:pPr>
              <w:spacing w:after="0"/>
              <w:rPr>
                <w:sz w:val="2"/>
                <w:szCs w:val="2"/>
                <w:color w:val="auto"/>
              </w:rPr>
            </w:pPr>
          </w:p>
        </w:tc>
        <w:tc>
          <w:tcPr>
            <w:tcW w:w="1400" w:type="dxa"/>
            <w:vAlign w:val="bottom"/>
            <w:tcBorders>
              <w:bottom w:val="single" w:sz="8" w:color="183964"/>
            </w:tcBorders>
          </w:tcPr>
          <w:p>
            <w:pPr>
              <w:spacing w:after="0"/>
              <w:rPr>
                <w:sz w:val="2"/>
                <w:szCs w:val="2"/>
                <w:color w:val="auto"/>
              </w:rPr>
            </w:pPr>
          </w:p>
        </w:tc>
        <w:tc>
          <w:tcPr>
            <w:tcW w:w="960" w:type="dxa"/>
            <w:vAlign w:val="bottom"/>
            <w:tcBorders>
              <w:bottom w:val="single" w:sz="8" w:color="183964"/>
            </w:tcBorders>
          </w:tcPr>
          <w:p>
            <w:pPr>
              <w:spacing w:after="0"/>
              <w:rPr>
                <w:sz w:val="2"/>
                <w:szCs w:val="2"/>
                <w:color w:val="auto"/>
              </w:rPr>
            </w:pPr>
          </w:p>
        </w:tc>
      </w:tr>
      <w:tr>
        <w:trPr>
          <w:trHeight w:val="211"/>
        </w:trPr>
        <w:tc>
          <w:tcPr>
            <w:tcW w:w="5780" w:type="dxa"/>
            <w:vAlign w:val="bottom"/>
          </w:tcPr>
          <w:p>
            <w:pPr>
              <w:ind w:left="20"/>
              <w:spacing w:after="0"/>
              <w:rPr>
                <w:sz w:val="20"/>
                <w:szCs w:val="20"/>
                <w:color w:val="auto"/>
              </w:rPr>
            </w:pPr>
            <w:r>
              <w:rPr>
                <w:rFonts w:ascii="Arial" w:cs="Arial" w:eastAsia="Arial" w:hAnsi="Arial"/>
                <w:sz w:val="15"/>
                <w:szCs w:val="15"/>
                <w:b w:val="1"/>
                <w:bCs w:val="1"/>
                <w:color w:val="auto"/>
              </w:rPr>
              <w:t>Total liabilities</w:t>
            </w:r>
          </w:p>
        </w:tc>
        <w:tc>
          <w:tcPr>
            <w:tcW w:w="3080" w:type="dxa"/>
            <w:vAlign w:val="bottom"/>
          </w:tcPr>
          <w:p>
            <w:pPr>
              <w:spacing w:after="0"/>
              <w:rPr>
                <w:sz w:val="18"/>
                <w:szCs w:val="18"/>
                <w:color w:val="auto"/>
              </w:rPr>
            </w:pP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273,744</w:t>
            </w:r>
          </w:p>
        </w:tc>
        <w:tc>
          <w:tcPr>
            <w:tcW w:w="960" w:type="dxa"/>
            <w:vAlign w:val="bottom"/>
          </w:tcPr>
          <w:p>
            <w:pPr>
              <w:jc w:val="right"/>
              <w:spacing w:after="0"/>
              <w:rPr>
                <w:sz w:val="20"/>
                <w:szCs w:val="20"/>
                <w:color w:val="auto"/>
              </w:rPr>
            </w:pPr>
            <w:r>
              <w:rPr>
                <w:rFonts w:ascii="Arial" w:cs="Arial" w:eastAsia="Arial" w:hAnsi="Arial"/>
                <w:sz w:val="15"/>
                <w:szCs w:val="15"/>
                <w:color w:val="183964"/>
              </w:rPr>
              <w:t>235,741</w:t>
            </w:r>
          </w:p>
        </w:tc>
      </w:tr>
      <w:tr>
        <w:trPr>
          <w:trHeight w:val="25"/>
        </w:trPr>
        <w:tc>
          <w:tcPr>
            <w:tcW w:w="5780" w:type="dxa"/>
            <w:vAlign w:val="bottom"/>
            <w:tcBorders>
              <w:bottom w:val="single" w:sz="8" w:color="183964"/>
            </w:tcBorders>
          </w:tcPr>
          <w:p>
            <w:pPr>
              <w:spacing w:after="0"/>
              <w:rPr>
                <w:sz w:val="2"/>
                <w:szCs w:val="2"/>
                <w:color w:val="auto"/>
              </w:rPr>
            </w:pPr>
          </w:p>
        </w:tc>
        <w:tc>
          <w:tcPr>
            <w:tcW w:w="3080" w:type="dxa"/>
            <w:vAlign w:val="bottom"/>
            <w:tcBorders>
              <w:bottom w:val="single" w:sz="8" w:color="183964"/>
            </w:tcBorders>
          </w:tcPr>
          <w:p>
            <w:pPr>
              <w:spacing w:after="0"/>
              <w:rPr>
                <w:sz w:val="2"/>
                <w:szCs w:val="2"/>
                <w:color w:val="auto"/>
              </w:rPr>
            </w:pPr>
          </w:p>
        </w:tc>
        <w:tc>
          <w:tcPr>
            <w:tcW w:w="1400" w:type="dxa"/>
            <w:vAlign w:val="bottom"/>
            <w:tcBorders>
              <w:bottom w:val="single" w:sz="8" w:color="183964"/>
            </w:tcBorders>
          </w:tcPr>
          <w:p>
            <w:pPr>
              <w:spacing w:after="0"/>
              <w:rPr>
                <w:sz w:val="2"/>
                <w:szCs w:val="2"/>
                <w:color w:val="auto"/>
              </w:rPr>
            </w:pPr>
          </w:p>
        </w:tc>
        <w:tc>
          <w:tcPr>
            <w:tcW w:w="960" w:type="dxa"/>
            <w:vAlign w:val="bottom"/>
            <w:tcBorders>
              <w:bottom w:val="single" w:sz="8" w:color="183964"/>
            </w:tcBorders>
          </w:tcPr>
          <w:p>
            <w:pPr>
              <w:spacing w:after="0"/>
              <w:rPr>
                <w:sz w:val="2"/>
                <w:szCs w:val="2"/>
                <w:color w:val="auto"/>
              </w:rPr>
            </w:pPr>
          </w:p>
        </w:tc>
      </w:tr>
      <w:tr>
        <w:trPr>
          <w:trHeight w:val="211"/>
        </w:trPr>
        <w:tc>
          <w:tcPr>
            <w:tcW w:w="5780" w:type="dxa"/>
            <w:vAlign w:val="bottom"/>
          </w:tcPr>
          <w:p>
            <w:pPr>
              <w:ind w:left="20"/>
              <w:spacing w:after="0"/>
              <w:rPr>
                <w:sz w:val="20"/>
                <w:szCs w:val="20"/>
                <w:color w:val="auto"/>
              </w:rPr>
            </w:pPr>
            <w:r>
              <w:rPr>
                <w:rFonts w:ascii="Arial" w:cs="Arial" w:eastAsia="Arial" w:hAnsi="Arial"/>
                <w:sz w:val="15"/>
                <w:szCs w:val="15"/>
                <w:b w:val="1"/>
                <w:bCs w:val="1"/>
                <w:color w:val="auto"/>
              </w:rPr>
              <w:t>Total equity and liabilities</w:t>
            </w:r>
          </w:p>
        </w:tc>
        <w:tc>
          <w:tcPr>
            <w:tcW w:w="3080" w:type="dxa"/>
            <w:vAlign w:val="bottom"/>
          </w:tcPr>
          <w:p>
            <w:pPr>
              <w:spacing w:after="0"/>
              <w:rPr>
                <w:sz w:val="18"/>
                <w:szCs w:val="18"/>
                <w:color w:val="auto"/>
              </w:rPr>
            </w:pPr>
          </w:p>
        </w:tc>
        <w:tc>
          <w:tcPr>
            <w:tcW w:w="1400" w:type="dxa"/>
            <w:vAlign w:val="bottom"/>
          </w:tcPr>
          <w:p>
            <w:pPr>
              <w:jc w:val="right"/>
              <w:ind w:right="324"/>
              <w:spacing w:after="0"/>
              <w:rPr>
                <w:sz w:val="20"/>
                <w:szCs w:val="20"/>
                <w:color w:val="auto"/>
              </w:rPr>
            </w:pPr>
            <w:r>
              <w:rPr>
                <w:rFonts w:ascii="Arial" w:cs="Arial" w:eastAsia="Arial" w:hAnsi="Arial"/>
                <w:sz w:val="15"/>
                <w:szCs w:val="15"/>
                <w:b w:val="1"/>
                <w:bCs w:val="1"/>
                <w:color w:val="auto"/>
              </w:rPr>
              <w:t>579,950</w:t>
            </w:r>
          </w:p>
        </w:tc>
        <w:tc>
          <w:tcPr>
            <w:tcW w:w="960" w:type="dxa"/>
            <w:vAlign w:val="bottom"/>
          </w:tcPr>
          <w:p>
            <w:pPr>
              <w:jc w:val="right"/>
              <w:spacing w:after="0"/>
              <w:rPr>
                <w:sz w:val="20"/>
                <w:szCs w:val="20"/>
                <w:color w:val="auto"/>
              </w:rPr>
            </w:pPr>
            <w:r>
              <w:rPr>
                <w:rFonts w:ascii="Arial" w:cs="Arial" w:eastAsia="Arial" w:hAnsi="Arial"/>
                <w:sz w:val="15"/>
                <w:szCs w:val="15"/>
                <w:color w:val="183964"/>
              </w:rPr>
              <w:t>693,973</w:t>
            </w:r>
          </w:p>
        </w:tc>
      </w:tr>
      <w:tr>
        <w:trPr>
          <w:trHeight w:val="25"/>
        </w:trPr>
        <w:tc>
          <w:tcPr>
            <w:tcW w:w="578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Please refer to the accompanying Notes to the consolidated financial information. Registered number: 09582467.</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The Consolidated Financial Statements were approved by the Board of Directors and authorized for issuance on August 28, 2024 and signed on its behalf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659765" cy="257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976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3"/>
          <w:szCs w:val="13"/>
          <w:b w:val="1"/>
          <w:bCs w:val="1"/>
          <w:color w:val="183964"/>
        </w:rPr>
        <w:t>Bharatt Chowrira</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183964"/>
        </w:rPr>
        <w:t>Chief Executive Officer</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183964"/>
        </w:rPr>
        <w:t>August 28, 2024</w:t>
      </w:r>
    </w:p>
    <w:p>
      <w:pPr>
        <w:sectPr>
          <w:pgSz w:w="11900" w:h="16838" w:orient="portrait"/>
          <w:cols w:equalWidth="0" w:num="1">
            <w:col w:w="11220"/>
          </w:cols>
          <w:pgMar w:left="320" w:top="789" w:right="359" w:bottom="346"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The accompanying notes are an integral part of these financial statements.</w:t>
      </w:r>
    </w:p>
    <w:p>
      <w:pPr>
        <w:sectPr>
          <w:pgSz w:w="11900" w:h="16838" w:orient="portrait"/>
          <w:cols w:equalWidth="0" w:num="1">
            <w:col w:w="11220"/>
          </w:cols>
          <w:pgMar w:left="320" w:top="789" w:right="359" w:bottom="346" w:gutter="0" w:footer="0" w:header="0"/>
          <w:type w:val="continuous"/>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367665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rFonts w:ascii="Arial" w:cs="Arial" w:eastAsia="Arial" w:hAnsi="Arial"/>
          <w:sz w:val="31"/>
          <w:szCs w:val="31"/>
          <w:b w:val="1"/>
          <w:bCs w:val="1"/>
          <w:color w:val="183964"/>
        </w:rPr>
        <w:t>Condensed Consolidated Statement of Changes in Equity (Unaudited)</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b w:val="1"/>
          <w:bCs w:val="1"/>
          <w:color w:val="183964"/>
        </w:rPr>
        <w:t>For the six months ended June 30</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0" w:type="dxa"/>
            <w:vAlign w:val="bottom"/>
            <w:gridSpan w:val="2"/>
          </w:tcPr>
          <w:p>
            <w:pPr>
              <w:jc w:val="right"/>
              <w:spacing w:after="0"/>
              <w:rPr>
                <w:sz w:val="20"/>
                <w:szCs w:val="20"/>
                <w:color w:val="auto"/>
              </w:rPr>
            </w:pPr>
            <w:r>
              <w:rPr>
                <w:rFonts w:ascii="Arial" w:cs="Arial" w:eastAsia="Arial" w:hAnsi="Arial"/>
                <w:sz w:val="11"/>
                <w:szCs w:val="11"/>
                <w:color w:val="183964"/>
              </w:rPr>
              <w:t>Share Capital</w:t>
            </w:r>
          </w:p>
        </w:tc>
        <w:tc>
          <w:tcPr>
            <w:tcW w:w="680" w:type="dxa"/>
            <w:vAlign w:val="bottom"/>
          </w:tcPr>
          <w:p>
            <w:pPr>
              <w:spacing w:after="0"/>
              <w:rPr>
                <w:sz w:val="12"/>
                <w:szCs w:val="12"/>
                <w:color w:val="auto"/>
              </w:rPr>
            </w:pPr>
          </w:p>
        </w:tc>
        <w:tc>
          <w:tcPr>
            <w:tcW w:w="1580" w:type="dxa"/>
            <w:vAlign w:val="bottom"/>
            <w:gridSpan w:val="2"/>
          </w:tcPr>
          <w:p>
            <w:pPr>
              <w:jc w:val="right"/>
              <w:spacing w:after="0"/>
              <w:rPr>
                <w:sz w:val="20"/>
                <w:szCs w:val="20"/>
                <w:color w:val="auto"/>
              </w:rPr>
            </w:pPr>
            <w:r>
              <w:rPr>
                <w:rFonts w:ascii="Arial" w:cs="Arial" w:eastAsia="Arial" w:hAnsi="Arial"/>
                <w:sz w:val="11"/>
                <w:szCs w:val="11"/>
                <w:color w:val="183964"/>
              </w:rPr>
              <w:t>Treasury Shares</w:t>
            </w: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Borders>
              <w:bottom w:val="single" w:sz="8" w:color="183964"/>
            </w:tcBorders>
          </w:tcPr>
          <w:p>
            <w:pPr>
              <w:spacing w:after="0"/>
              <w:rPr>
                <w:sz w:val="2"/>
                <w:szCs w:val="2"/>
                <w:color w:val="auto"/>
              </w:rPr>
            </w:pPr>
          </w:p>
        </w:tc>
        <w:tc>
          <w:tcPr>
            <w:tcW w:w="540" w:type="dxa"/>
            <w:vAlign w:val="bottom"/>
            <w:tcBorders>
              <w:bottom w:val="single" w:sz="8" w:color="183964"/>
            </w:tcBorders>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tcBorders>
              <w:bottom w:val="single" w:sz="8" w:color="183964"/>
            </w:tcBorders>
          </w:tcPr>
          <w:p>
            <w:pPr>
              <w:spacing w:after="0"/>
              <w:rPr>
                <w:sz w:val="2"/>
                <w:szCs w:val="2"/>
                <w:color w:val="auto"/>
              </w:rPr>
            </w:pPr>
          </w:p>
        </w:tc>
        <w:tc>
          <w:tcPr>
            <w:tcW w:w="560" w:type="dxa"/>
            <w:vAlign w:val="bottom"/>
            <w:tcBorders>
              <w:bottom w:val="single" w:sz="8" w:color="183964"/>
            </w:tcBorders>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60" w:type="dxa"/>
            <w:vAlign w:val="bottom"/>
            <w:vMerge w:val="restart"/>
          </w:tcPr>
          <w:p>
            <w:pPr>
              <w:jc w:val="right"/>
              <w:ind w:right="22"/>
              <w:spacing w:after="0"/>
              <w:rPr>
                <w:sz w:val="20"/>
                <w:szCs w:val="20"/>
                <w:color w:val="auto"/>
              </w:rPr>
            </w:pPr>
            <w:r>
              <w:rPr>
                <w:rFonts w:ascii="Arial" w:cs="Arial" w:eastAsia="Arial" w:hAnsi="Arial"/>
                <w:sz w:val="11"/>
                <w:szCs w:val="11"/>
                <w:color w:val="183964"/>
              </w:rPr>
              <w:t>Retained</w:t>
            </w: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jc w:val="right"/>
              <w:ind w:right="22"/>
              <w:spacing w:after="0"/>
              <w:rPr>
                <w:sz w:val="20"/>
                <w:szCs w:val="20"/>
                <w:color w:val="auto"/>
              </w:rPr>
            </w:pPr>
            <w:r>
              <w:rPr>
                <w:rFonts w:ascii="Arial" w:cs="Arial" w:eastAsia="Arial" w:hAnsi="Arial"/>
                <w:sz w:val="11"/>
                <w:szCs w:val="11"/>
                <w:color w:val="183964"/>
              </w:rPr>
              <w:t>earnings/</w:t>
            </w: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183964"/>
              </w:rPr>
              <w:t>Share</w:t>
            </w: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jc w:val="right"/>
              <w:ind w:right="62"/>
              <w:spacing w:after="0" w:line="122" w:lineRule="exact"/>
              <w:rPr>
                <w:sz w:val="20"/>
                <w:szCs w:val="20"/>
                <w:color w:val="auto"/>
              </w:rPr>
            </w:pPr>
            <w:r>
              <w:rPr>
                <w:rFonts w:ascii="Arial" w:cs="Arial" w:eastAsia="Arial" w:hAnsi="Arial"/>
                <w:sz w:val="11"/>
                <w:szCs w:val="11"/>
                <w:color w:val="183964"/>
              </w:rPr>
              <w:t>Translation</w:t>
            </w:r>
          </w:p>
        </w:tc>
        <w:tc>
          <w:tcPr>
            <w:tcW w:w="680" w:type="dxa"/>
            <w:vAlign w:val="bottom"/>
          </w:tcPr>
          <w:p>
            <w:pPr>
              <w:jc w:val="right"/>
              <w:ind w:right="62"/>
              <w:spacing w:after="0" w:line="122" w:lineRule="exact"/>
              <w:rPr>
                <w:sz w:val="20"/>
                <w:szCs w:val="20"/>
                <w:color w:val="auto"/>
              </w:rPr>
            </w:pPr>
            <w:r>
              <w:rPr>
                <w:rFonts w:ascii="Arial" w:cs="Arial" w:eastAsia="Arial" w:hAnsi="Arial"/>
                <w:sz w:val="11"/>
                <w:szCs w:val="11"/>
                <w:color w:val="183964"/>
              </w:rPr>
              <w:t>Other</w:t>
            </w:r>
          </w:p>
        </w:tc>
        <w:tc>
          <w:tcPr>
            <w:tcW w:w="860" w:type="dxa"/>
            <w:vAlign w:val="bottom"/>
          </w:tcPr>
          <w:p>
            <w:pPr>
              <w:jc w:val="right"/>
              <w:ind w:right="22"/>
              <w:spacing w:after="0" w:line="122" w:lineRule="exact"/>
              <w:rPr>
                <w:sz w:val="20"/>
                <w:szCs w:val="20"/>
                <w:color w:val="auto"/>
              </w:rPr>
            </w:pPr>
            <w:r>
              <w:rPr>
                <w:rFonts w:ascii="Arial" w:cs="Arial" w:eastAsia="Arial" w:hAnsi="Arial"/>
                <w:sz w:val="11"/>
                <w:szCs w:val="11"/>
                <w:color w:val="183964"/>
              </w:rPr>
              <w:t>(accumulated</w:t>
            </w: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183964"/>
              </w:rPr>
              <w:t>Total Parent</w:t>
            </w:r>
          </w:p>
        </w:tc>
        <w:tc>
          <w:tcPr>
            <w:tcW w:w="860" w:type="dxa"/>
            <w:vAlign w:val="bottom"/>
          </w:tcPr>
          <w:p>
            <w:pPr>
              <w:jc w:val="right"/>
              <w:ind w:right="22"/>
              <w:spacing w:after="0" w:line="122" w:lineRule="exact"/>
              <w:rPr>
                <w:sz w:val="20"/>
                <w:szCs w:val="20"/>
                <w:color w:val="auto"/>
              </w:rPr>
            </w:pPr>
            <w:r>
              <w:rPr>
                <w:rFonts w:ascii="Arial" w:cs="Arial" w:eastAsia="Arial" w:hAnsi="Arial"/>
                <w:sz w:val="11"/>
                <w:szCs w:val="11"/>
                <w:color w:val="183964"/>
              </w:rPr>
              <w:t>Non-controlling</w:t>
            </w: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183964"/>
              </w:rPr>
              <w:t>Total</w:t>
            </w: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183964"/>
              </w:rPr>
              <w:t>Amount</w:t>
            </w:r>
          </w:p>
        </w:tc>
        <w:tc>
          <w:tcPr>
            <w:tcW w:w="680" w:type="dxa"/>
            <w:vAlign w:val="bottom"/>
          </w:tcPr>
          <w:p>
            <w:pPr>
              <w:jc w:val="right"/>
              <w:spacing w:after="0"/>
              <w:rPr>
                <w:sz w:val="20"/>
                <w:szCs w:val="20"/>
                <w:color w:val="auto"/>
              </w:rPr>
            </w:pPr>
            <w:r>
              <w:rPr>
                <w:rFonts w:ascii="Arial" w:cs="Arial" w:eastAsia="Arial" w:hAnsi="Arial"/>
                <w:sz w:val="11"/>
                <w:szCs w:val="11"/>
                <w:color w:val="183964"/>
              </w:rPr>
              <w:t>premium</w:t>
            </w:r>
          </w:p>
        </w:tc>
        <w:tc>
          <w:tcPr>
            <w:tcW w:w="10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183964"/>
              </w:rPr>
              <w:t>Amount</w:t>
            </w:r>
          </w:p>
        </w:tc>
        <w:tc>
          <w:tcPr>
            <w:tcW w:w="840" w:type="dxa"/>
            <w:vAlign w:val="bottom"/>
          </w:tcPr>
          <w:p>
            <w:pPr>
              <w:jc w:val="right"/>
              <w:ind w:right="62"/>
              <w:spacing w:after="0"/>
              <w:rPr>
                <w:sz w:val="20"/>
                <w:szCs w:val="20"/>
                <w:color w:val="auto"/>
              </w:rPr>
            </w:pPr>
            <w:r>
              <w:rPr>
                <w:rFonts w:ascii="Arial" w:cs="Arial" w:eastAsia="Arial" w:hAnsi="Arial"/>
                <w:sz w:val="11"/>
                <w:szCs w:val="11"/>
                <w:color w:val="183964"/>
              </w:rPr>
              <w:t>Merger</w:t>
            </w:r>
          </w:p>
        </w:tc>
        <w:tc>
          <w:tcPr>
            <w:tcW w:w="760" w:type="dxa"/>
            <w:vAlign w:val="bottom"/>
          </w:tcPr>
          <w:p>
            <w:pPr>
              <w:jc w:val="right"/>
              <w:ind w:right="62"/>
              <w:spacing w:after="0"/>
              <w:rPr>
                <w:sz w:val="20"/>
                <w:szCs w:val="20"/>
                <w:color w:val="auto"/>
              </w:rPr>
            </w:pPr>
            <w:r>
              <w:rPr>
                <w:rFonts w:ascii="Arial" w:cs="Arial" w:eastAsia="Arial" w:hAnsi="Arial"/>
                <w:sz w:val="11"/>
                <w:szCs w:val="11"/>
                <w:color w:val="183964"/>
              </w:rPr>
              <w:t>reserve</w:t>
            </w:r>
          </w:p>
        </w:tc>
        <w:tc>
          <w:tcPr>
            <w:tcW w:w="680" w:type="dxa"/>
            <w:vAlign w:val="bottom"/>
          </w:tcPr>
          <w:p>
            <w:pPr>
              <w:jc w:val="right"/>
              <w:ind w:right="102"/>
              <w:spacing w:after="0"/>
              <w:rPr>
                <w:sz w:val="20"/>
                <w:szCs w:val="20"/>
                <w:color w:val="auto"/>
              </w:rPr>
            </w:pPr>
            <w:r>
              <w:rPr>
                <w:rFonts w:ascii="Arial" w:cs="Arial" w:eastAsia="Arial" w:hAnsi="Arial"/>
                <w:sz w:val="11"/>
                <w:szCs w:val="11"/>
                <w:color w:val="183964"/>
              </w:rPr>
              <w:t>reserve</w:t>
            </w:r>
          </w:p>
        </w:tc>
        <w:tc>
          <w:tcPr>
            <w:tcW w:w="860" w:type="dxa"/>
            <w:vAlign w:val="bottom"/>
          </w:tcPr>
          <w:p>
            <w:pPr>
              <w:jc w:val="right"/>
              <w:ind w:right="22"/>
              <w:spacing w:after="0"/>
              <w:rPr>
                <w:sz w:val="20"/>
                <w:szCs w:val="20"/>
                <w:color w:val="auto"/>
              </w:rPr>
            </w:pPr>
            <w:r>
              <w:rPr>
                <w:rFonts w:ascii="Arial" w:cs="Arial" w:eastAsia="Arial" w:hAnsi="Arial"/>
                <w:sz w:val="11"/>
                <w:szCs w:val="11"/>
                <w:color w:val="183964"/>
              </w:rPr>
              <w:t>deficit)</w:t>
            </w:r>
          </w:p>
        </w:tc>
        <w:tc>
          <w:tcPr>
            <w:tcW w:w="700" w:type="dxa"/>
            <w:vAlign w:val="bottom"/>
          </w:tcPr>
          <w:p>
            <w:pPr>
              <w:jc w:val="right"/>
              <w:spacing w:after="0"/>
              <w:rPr>
                <w:sz w:val="20"/>
                <w:szCs w:val="20"/>
                <w:color w:val="auto"/>
              </w:rPr>
            </w:pPr>
            <w:r>
              <w:rPr>
                <w:rFonts w:ascii="Arial" w:cs="Arial" w:eastAsia="Arial" w:hAnsi="Arial"/>
                <w:sz w:val="11"/>
                <w:szCs w:val="11"/>
                <w:color w:val="183964"/>
              </w:rPr>
              <w:t>equity</w:t>
            </w:r>
          </w:p>
        </w:tc>
        <w:tc>
          <w:tcPr>
            <w:tcW w:w="860" w:type="dxa"/>
            <w:vAlign w:val="bottom"/>
          </w:tcPr>
          <w:p>
            <w:pPr>
              <w:jc w:val="right"/>
              <w:ind w:right="62"/>
              <w:spacing w:after="0"/>
              <w:rPr>
                <w:sz w:val="20"/>
                <w:szCs w:val="20"/>
                <w:color w:val="auto"/>
              </w:rPr>
            </w:pPr>
            <w:r>
              <w:rPr>
                <w:rFonts w:ascii="Arial" w:cs="Arial" w:eastAsia="Arial" w:hAnsi="Arial"/>
                <w:sz w:val="11"/>
                <w:szCs w:val="11"/>
                <w:color w:val="183964"/>
              </w:rPr>
              <w:t>interests</w:t>
            </w:r>
          </w:p>
        </w:tc>
        <w:tc>
          <w:tcPr>
            <w:tcW w:w="620" w:type="dxa"/>
            <w:vAlign w:val="bottom"/>
          </w:tcPr>
          <w:p>
            <w:pPr>
              <w:jc w:val="right"/>
              <w:spacing w:after="0"/>
              <w:rPr>
                <w:sz w:val="20"/>
                <w:szCs w:val="20"/>
                <w:color w:val="auto"/>
              </w:rPr>
            </w:pPr>
            <w:r>
              <w:rPr>
                <w:rFonts w:ascii="Arial" w:cs="Arial" w:eastAsia="Arial" w:hAnsi="Arial"/>
                <w:sz w:val="11"/>
                <w:szCs w:val="11"/>
                <w:color w:val="183964"/>
              </w:rPr>
              <w:t>Equity</w:t>
            </w:r>
          </w:p>
        </w:tc>
        <w:tc>
          <w:tcPr>
            <w:tcW w:w="0" w:type="dxa"/>
            <w:vAlign w:val="bottom"/>
          </w:tcPr>
          <w:p>
            <w:pPr>
              <w:spacing w:after="0"/>
              <w:rPr>
                <w:sz w:val="1"/>
                <w:szCs w:val="1"/>
                <w:color w:val="auto"/>
              </w:rPr>
            </w:pPr>
          </w:p>
        </w:tc>
      </w:tr>
      <w:tr>
        <w:trPr>
          <w:trHeight w:val="142"/>
        </w:trPr>
        <w:tc>
          <w:tcPr>
            <w:tcW w:w="15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183964"/>
              </w:rPr>
              <w:t>Note</w:t>
            </w:r>
          </w:p>
        </w:tc>
        <w:tc>
          <w:tcPr>
            <w:tcW w:w="1060" w:type="dxa"/>
            <w:vAlign w:val="bottom"/>
          </w:tcPr>
          <w:p>
            <w:pPr>
              <w:jc w:val="right"/>
              <w:ind w:right="62"/>
              <w:spacing w:after="0"/>
              <w:rPr>
                <w:sz w:val="20"/>
                <w:szCs w:val="20"/>
                <w:color w:val="auto"/>
              </w:rPr>
            </w:pPr>
            <w:r>
              <w:rPr>
                <w:rFonts w:ascii="Arial" w:cs="Arial" w:eastAsia="Arial" w:hAnsi="Arial"/>
                <w:sz w:val="11"/>
                <w:szCs w:val="11"/>
                <w:color w:val="183964"/>
              </w:rPr>
              <w:t>Shares</w:t>
            </w:r>
          </w:p>
        </w:tc>
        <w:tc>
          <w:tcPr>
            <w:tcW w:w="540" w:type="dxa"/>
            <w:vAlign w:val="bottom"/>
          </w:tcPr>
          <w:p>
            <w:pPr>
              <w:jc w:val="right"/>
              <w:spacing w:after="0"/>
              <w:rPr>
                <w:sz w:val="20"/>
                <w:szCs w:val="20"/>
                <w:color w:val="auto"/>
              </w:rPr>
            </w:pPr>
            <w:r>
              <w:rPr>
                <w:rFonts w:ascii="Arial" w:cs="Arial" w:eastAsia="Arial" w:hAnsi="Arial"/>
                <w:sz w:val="11"/>
                <w:szCs w:val="11"/>
                <w:color w:val="183964"/>
              </w:rPr>
              <w:t>$000s</w:t>
            </w:r>
          </w:p>
        </w:tc>
        <w:tc>
          <w:tcPr>
            <w:tcW w:w="680" w:type="dxa"/>
            <w:vAlign w:val="bottom"/>
          </w:tcPr>
          <w:p>
            <w:pPr>
              <w:jc w:val="right"/>
              <w:spacing w:after="0"/>
              <w:rPr>
                <w:sz w:val="20"/>
                <w:szCs w:val="20"/>
                <w:color w:val="auto"/>
              </w:rPr>
            </w:pPr>
            <w:r>
              <w:rPr>
                <w:rFonts w:ascii="Arial" w:cs="Arial" w:eastAsia="Arial" w:hAnsi="Arial"/>
                <w:sz w:val="11"/>
                <w:szCs w:val="11"/>
                <w:color w:val="183964"/>
              </w:rPr>
              <w:t>$000s</w:t>
            </w:r>
          </w:p>
        </w:tc>
        <w:tc>
          <w:tcPr>
            <w:tcW w:w="1020" w:type="dxa"/>
            <w:vAlign w:val="bottom"/>
          </w:tcPr>
          <w:p>
            <w:pPr>
              <w:jc w:val="right"/>
              <w:ind w:right="42"/>
              <w:spacing w:after="0"/>
              <w:rPr>
                <w:sz w:val="20"/>
                <w:szCs w:val="20"/>
                <w:color w:val="auto"/>
              </w:rPr>
            </w:pPr>
            <w:r>
              <w:rPr>
                <w:rFonts w:ascii="Arial" w:cs="Arial" w:eastAsia="Arial" w:hAnsi="Arial"/>
                <w:sz w:val="11"/>
                <w:szCs w:val="11"/>
                <w:color w:val="183964"/>
              </w:rPr>
              <w:t>Shares</w:t>
            </w:r>
          </w:p>
        </w:tc>
        <w:tc>
          <w:tcPr>
            <w:tcW w:w="1400" w:type="dxa"/>
            <w:vAlign w:val="bottom"/>
            <w:gridSpan w:val="2"/>
          </w:tcPr>
          <w:p>
            <w:pPr>
              <w:jc w:val="right"/>
              <w:ind w:right="62"/>
              <w:spacing w:after="0"/>
              <w:rPr>
                <w:sz w:val="20"/>
                <w:szCs w:val="20"/>
                <w:color w:val="auto"/>
              </w:rPr>
            </w:pPr>
            <w:r>
              <w:rPr>
                <w:rFonts w:ascii="Arial" w:cs="Arial" w:eastAsia="Arial" w:hAnsi="Arial"/>
                <w:sz w:val="11"/>
                <w:szCs w:val="11"/>
                <w:color w:val="183964"/>
              </w:rPr>
              <w:t>$000s reserve $000s</w:t>
            </w:r>
          </w:p>
        </w:tc>
        <w:tc>
          <w:tcPr>
            <w:tcW w:w="760" w:type="dxa"/>
            <w:vAlign w:val="bottom"/>
          </w:tcPr>
          <w:p>
            <w:pPr>
              <w:jc w:val="right"/>
              <w:ind w:right="62"/>
              <w:spacing w:after="0"/>
              <w:rPr>
                <w:sz w:val="20"/>
                <w:szCs w:val="20"/>
                <w:color w:val="auto"/>
              </w:rPr>
            </w:pPr>
            <w:r>
              <w:rPr>
                <w:rFonts w:ascii="Arial" w:cs="Arial" w:eastAsia="Arial" w:hAnsi="Arial"/>
                <w:sz w:val="11"/>
                <w:szCs w:val="11"/>
                <w:color w:val="183964"/>
              </w:rPr>
              <w:t>$000s</w:t>
            </w:r>
          </w:p>
        </w:tc>
        <w:tc>
          <w:tcPr>
            <w:tcW w:w="680" w:type="dxa"/>
            <w:vAlign w:val="bottom"/>
          </w:tcPr>
          <w:p>
            <w:pPr>
              <w:jc w:val="right"/>
              <w:ind w:right="62"/>
              <w:spacing w:after="0"/>
              <w:rPr>
                <w:sz w:val="20"/>
                <w:szCs w:val="20"/>
                <w:color w:val="auto"/>
              </w:rPr>
            </w:pPr>
            <w:r>
              <w:rPr>
                <w:rFonts w:ascii="Arial" w:cs="Arial" w:eastAsia="Arial" w:hAnsi="Arial"/>
                <w:sz w:val="11"/>
                <w:szCs w:val="11"/>
                <w:color w:val="183964"/>
              </w:rPr>
              <w:t>$000s</w:t>
            </w:r>
          </w:p>
        </w:tc>
        <w:tc>
          <w:tcPr>
            <w:tcW w:w="860" w:type="dxa"/>
            <w:vAlign w:val="bottom"/>
          </w:tcPr>
          <w:p>
            <w:pPr>
              <w:jc w:val="right"/>
              <w:ind w:right="22"/>
              <w:spacing w:after="0"/>
              <w:rPr>
                <w:sz w:val="20"/>
                <w:szCs w:val="20"/>
                <w:color w:val="auto"/>
              </w:rPr>
            </w:pPr>
            <w:r>
              <w:rPr>
                <w:rFonts w:ascii="Arial" w:cs="Arial" w:eastAsia="Arial" w:hAnsi="Arial"/>
                <w:sz w:val="11"/>
                <w:szCs w:val="11"/>
                <w:color w:val="183964"/>
              </w:rPr>
              <w:t>$000s</w:t>
            </w:r>
          </w:p>
        </w:tc>
        <w:tc>
          <w:tcPr>
            <w:tcW w:w="700" w:type="dxa"/>
            <w:vAlign w:val="bottom"/>
          </w:tcPr>
          <w:p>
            <w:pPr>
              <w:jc w:val="right"/>
              <w:spacing w:after="0"/>
              <w:rPr>
                <w:sz w:val="20"/>
                <w:szCs w:val="20"/>
                <w:color w:val="auto"/>
              </w:rPr>
            </w:pPr>
            <w:r>
              <w:rPr>
                <w:rFonts w:ascii="Arial" w:cs="Arial" w:eastAsia="Arial" w:hAnsi="Arial"/>
                <w:sz w:val="11"/>
                <w:szCs w:val="11"/>
                <w:color w:val="183964"/>
              </w:rPr>
              <w:t>$000s</w:t>
            </w:r>
          </w:p>
        </w:tc>
        <w:tc>
          <w:tcPr>
            <w:tcW w:w="860" w:type="dxa"/>
            <w:vAlign w:val="bottom"/>
          </w:tcPr>
          <w:p>
            <w:pPr>
              <w:jc w:val="right"/>
              <w:ind w:right="22"/>
              <w:spacing w:after="0"/>
              <w:rPr>
                <w:sz w:val="20"/>
                <w:szCs w:val="20"/>
                <w:color w:val="auto"/>
              </w:rPr>
            </w:pPr>
            <w:r>
              <w:rPr>
                <w:rFonts w:ascii="Arial" w:cs="Arial" w:eastAsia="Arial" w:hAnsi="Arial"/>
                <w:sz w:val="11"/>
                <w:szCs w:val="11"/>
                <w:color w:val="183964"/>
              </w:rPr>
              <w:t>$000s</w:t>
            </w:r>
          </w:p>
        </w:tc>
        <w:tc>
          <w:tcPr>
            <w:tcW w:w="620" w:type="dxa"/>
            <w:vAlign w:val="bottom"/>
          </w:tcPr>
          <w:p>
            <w:pPr>
              <w:jc w:val="right"/>
              <w:spacing w:after="0"/>
              <w:rPr>
                <w:sz w:val="20"/>
                <w:szCs w:val="20"/>
                <w:color w:val="auto"/>
              </w:rPr>
            </w:pPr>
            <w:r>
              <w:rPr>
                <w:rFonts w:ascii="Arial" w:cs="Arial" w:eastAsia="Arial" w:hAnsi="Arial"/>
                <w:sz w:val="11"/>
                <w:szCs w:val="11"/>
                <w:color w:val="183964"/>
              </w:rPr>
              <w:t>$000s</w:t>
            </w:r>
          </w:p>
        </w:tc>
        <w:tc>
          <w:tcPr>
            <w:tcW w:w="0" w:type="dxa"/>
            <w:vAlign w:val="bottom"/>
          </w:tcPr>
          <w:p>
            <w:pPr>
              <w:spacing w:after="0"/>
              <w:rPr>
                <w:sz w:val="1"/>
                <w:szCs w:val="1"/>
                <w:color w:val="auto"/>
              </w:rPr>
            </w:pPr>
          </w:p>
        </w:tc>
      </w:tr>
      <w:tr>
        <w:trPr>
          <w:trHeight w:val="33"/>
        </w:trPr>
        <w:tc>
          <w:tcPr>
            <w:tcW w:w="1500" w:type="dxa"/>
            <w:vAlign w:val="bottom"/>
            <w:tcBorders>
              <w:bottom w:val="single" w:sz="8" w:color="183964"/>
            </w:tcBorders>
          </w:tcPr>
          <w:p>
            <w:pPr>
              <w:spacing w:after="0"/>
              <w:rPr>
                <w:sz w:val="2"/>
                <w:szCs w:val="2"/>
                <w:color w:val="auto"/>
              </w:rPr>
            </w:pPr>
          </w:p>
        </w:tc>
        <w:tc>
          <w:tcPr>
            <w:tcW w:w="440" w:type="dxa"/>
            <w:vAlign w:val="bottom"/>
            <w:tcBorders>
              <w:bottom w:val="single" w:sz="8" w:color="183964"/>
            </w:tcBorders>
          </w:tcPr>
          <w:p>
            <w:pPr>
              <w:spacing w:after="0"/>
              <w:rPr>
                <w:sz w:val="2"/>
                <w:szCs w:val="2"/>
                <w:color w:val="auto"/>
              </w:rPr>
            </w:pPr>
          </w:p>
        </w:tc>
        <w:tc>
          <w:tcPr>
            <w:tcW w:w="1060" w:type="dxa"/>
            <w:vAlign w:val="bottom"/>
            <w:tcBorders>
              <w:bottom w:val="single" w:sz="8" w:color="183964"/>
            </w:tcBorders>
          </w:tcPr>
          <w:p>
            <w:pPr>
              <w:spacing w:after="0"/>
              <w:rPr>
                <w:sz w:val="2"/>
                <w:szCs w:val="2"/>
                <w:color w:val="auto"/>
              </w:rPr>
            </w:pPr>
          </w:p>
        </w:tc>
        <w:tc>
          <w:tcPr>
            <w:tcW w:w="540" w:type="dxa"/>
            <w:vAlign w:val="bottom"/>
            <w:tcBorders>
              <w:bottom w:val="single" w:sz="8" w:color="183964"/>
            </w:tcBorders>
          </w:tcPr>
          <w:p>
            <w:pPr>
              <w:spacing w:after="0"/>
              <w:rPr>
                <w:sz w:val="2"/>
                <w:szCs w:val="2"/>
                <w:color w:val="auto"/>
              </w:rPr>
            </w:pPr>
          </w:p>
        </w:tc>
        <w:tc>
          <w:tcPr>
            <w:tcW w:w="680" w:type="dxa"/>
            <w:vAlign w:val="bottom"/>
            <w:tcBorders>
              <w:bottom w:val="single" w:sz="8" w:color="183964"/>
            </w:tcBorders>
          </w:tcPr>
          <w:p>
            <w:pPr>
              <w:spacing w:after="0"/>
              <w:rPr>
                <w:sz w:val="2"/>
                <w:szCs w:val="2"/>
                <w:color w:val="auto"/>
              </w:rPr>
            </w:pPr>
          </w:p>
        </w:tc>
        <w:tc>
          <w:tcPr>
            <w:tcW w:w="1020" w:type="dxa"/>
            <w:vAlign w:val="bottom"/>
            <w:tcBorders>
              <w:bottom w:val="single" w:sz="8" w:color="183964"/>
            </w:tcBorders>
          </w:tcPr>
          <w:p>
            <w:pPr>
              <w:spacing w:after="0"/>
              <w:rPr>
                <w:sz w:val="2"/>
                <w:szCs w:val="2"/>
                <w:color w:val="auto"/>
              </w:rPr>
            </w:pPr>
          </w:p>
        </w:tc>
        <w:tc>
          <w:tcPr>
            <w:tcW w:w="560" w:type="dxa"/>
            <w:vAlign w:val="bottom"/>
            <w:tcBorders>
              <w:bottom w:val="single" w:sz="8" w:color="183964"/>
            </w:tcBorders>
          </w:tcPr>
          <w:p>
            <w:pPr>
              <w:spacing w:after="0"/>
              <w:rPr>
                <w:sz w:val="2"/>
                <w:szCs w:val="2"/>
                <w:color w:val="auto"/>
              </w:rPr>
            </w:pPr>
          </w:p>
        </w:tc>
        <w:tc>
          <w:tcPr>
            <w:tcW w:w="840" w:type="dxa"/>
            <w:vAlign w:val="bottom"/>
            <w:tcBorders>
              <w:bottom w:val="single" w:sz="8" w:color="183964"/>
            </w:tcBorders>
          </w:tcPr>
          <w:p>
            <w:pPr>
              <w:spacing w:after="0"/>
              <w:rPr>
                <w:sz w:val="2"/>
                <w:szCs w:val="2"/>
                <w:color w:val="auto"/>
              </w:rPr>
            </w:pPr>
          </w:p>
        </w:tc>
        <w:tc>
          <w:tcPr>
            <w:tcW w:w="760" w:type="dxa"/>
            <w:vAlign w:val="bottom"/>
            <w:tcBorders>
              <w:bottom w:val="single" w:sz="8" w:color="183964"/>
            </w:tcBorders>
          </w:tcPr>
          <w:p>
            <w:pPr>
              <w:spacing w:after="0"/>
              <w:rPr>
                <w:sz w:val="2"/>
                <w:szCs w:val="2"/>
                <w:color w:val="auto"/>
              </w:rPr>
            </w:pPr>
          </w:p>
        </w:tc>
        <w:tc>
          <w:tcPr>
            <w:tcW w:w="680" w:type="dxa"/>
            <w:vAlign w:val="bottom"/>
            <w:tcBorders>
              <w:bottom w:val="single" w:sz="8" w:color="183964"/>
            </w:tcBorders>
          </w:tcPr>
          <w:p>
            <w:pPr>
              <w:spacing w:after="0"/>
              <w:rPr>
                <w:sz w:val="2"/>
                <w:szCs w:val="2"/>
                <w:color w:val="auto"/>
              </w:rPr>
            </w:pPr>
          </w:p>
        </w:tc>
        <w:tc>
          <w:tcPr>
            <w:tcW w:w="860" w:type="dxa"/>
            <w:vAlign w:val="bottom"/>
            <w:tcBorders>
              <w:bottom w:val="single" w:sz="8" w:color="183964"/>
            </w:tcBorders>
          </w:tcPr>
          <w:p>
            <w:pPr>
              <w:spacing w:after="0"/>
              <w:rPr>
                <w:sz w:val="2"/>
                <w:szCs w:val="2"/>
                <w:color w:val="auto"/>
              </w:rPr>
            </w:pPr>
          </w:p>
        </w:tc>
        <w:tc>
          <w:tcPr>
            <w:tcW w:w="700" w:type="dxa"/>
            <w:vAlign w:val="bottom"/>
            <w:tcBorders>
              <w:bottom w:val="single" w:sz="8" w:color="183964"/>
            </w:tcBorders>
          </w:tcPr>
          <w:p>
            <w:pPr>
              <w:spacing w:after="0"/>
              <w:rPr>
                <w:sz w:val="2"/>
                <w:szCs w:val="2"/>
                <w:color w:val="auto"/>
              </w:rPr>
            </w:pPr>
          </w:p>
        </w:tc>
        <w:tc>
          <w:tcPr>
            <w:tcW w:w="860" w:type="dxa"/>
            <w:vAlign w:val="bottom"/>
            <w:tcBorders>
              <w:bottom w:val="single" w:sz="8" w:color="183964"/>
            </w:tcBorders>
          </w:tcPr>
          <w:p>
            <w:pPr>
              <w:spacing w:after="0"/>
              <w:rPr>
                <w:sz w:val="2"/>
                <w:szCs w:val="2"/>
                <w:color w:val="auto"/>
              </w:rPr>
            </w:pPr>
          </w:p>
        </w:tc>
        <w:tc>
          <w:tcPr>
            <w:tcW w:w="620" w:type="dxa"/>
            <w:vAlign w:val="bottom"/>
            <w:tcBorders>
              <w:bottom w:val="single" w:sz="8" w:color="183964"/>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1500" w:type="dxa"/>
            <w:vAlign w:val="bottom"/>
          </w:tcPr>
          <w:p>
            <w:pPr>
              <w:ind w:left="20"/>
              <w:spacing w:after="0"/>
              <w:rPr>
                <w:sz w:val="20"/>
                <w:szCs w:val="20"/>
                <w:color w:val="auto"/>
              </w:rPr>
            </w:pPr>
            <w:r>
              <w:rPr>
                <w:rFonts w:ascii="Arial" w:cs="Arial" w:eastAsia="Arial" w:hAnsi="Arial"/>
                <w:sz w:val="12"/>
                <w:szCs w:val="12"/>
                <w:color w:val="auto"/>
              </w:rPr>
              <w:t>Balance January 1, 2023</w:t>
            </w:r>
          </w:p>
        </w:tc>
        <w:tc>
          <w:tcPr>
            <w:tcW w:w="440" w:type="dxa"/>
            <w:vAlign w:val="bottom"/>
          </w:tcPr>
          <w:p>
            <w:pPr>
              <w:spacing w:after="0"/>
              <w:rPr>
                <w:sz w:val="14"/>
                <w:szCs w:val="14"/>
                <w:color w:val="auto"/>
              </w:rPr>
            </w:pPr>
          </w:p>
        </w:tc>
        <w:tc>
          <w:tcPr>
            <w:tcW w:w="1060" w:type="dxa"/>
            <w:vAlign w:val="bottom"/>
          </w:tcPr>
          <w:p>
            <w:pPr>
              <w:jc w:val="right"/>
              <w:ind w:right="102"/>
              <w:spacing w:after="0"/>
              <w:rPr>
                <w:sz w:val="20"/>
                <w:szCs w:val="20"/>
                <w:color w:val="auto"/>
              </w:rPr>
            </w:pPr>
            <w:r>
              <w:rPr>
                <w:rFonts w:ascii="Arial" w:cs="Arial" w:eastAsia="Arial" w:hAnsi="Arial"/>
                <w:sz w:val="12"/>
                <w:szCs w:val="12"/>
                <w:b w:val="1"/>
                <w:bCs w:val="1"/>
                <w:color w:val="auto"/>
              </w:rPr>
              <w:t>289,161,653</w:t>
            </w:r>
          </w:p>
        </w:tc>
        <w:tc>
          <w:tcPr>
            <w:tcW w:w="540" w:type="dxa"/>
            <w:vAlign w:val="bottom"/>
          </w:tcPr>
          <w:p>
            <w:pPr>
              <w:jc w:val="right"/>
              <w:ind w:right="2"/>
              <w:spacing w:after="0"/>
              <w:rPr>
                <w:sz w:val="20"/>
                <w:szCs w:val="20"/>
                <w:color w:val="auto"/>
              </w:rPr>
            </w:pPr>
            <w:r>
              <w:rPr>
                <w:rFonts w:ascii="Arial" w:cs="Arial" w:eastAsia="Arial" w:hAnsi="Arial"/>
                <w:sz w:val="12"/>
                <w:szCs w:val="12"/>
                <w:b w:val="1"/>
                <w:bCs w:val="1"/>
                <w:color w:val="auto"/>
              </w:rPr>
              <w:t>5,455</w:t>
            </w:r>
          </w:p>
        </w:tc>
        <w:tc>
          <w:tcPr>
            <w:tcW w:w="680" w:type="dxa"/>
            <w:vAlign w:val="bottom"/>
          </w:tcPr>
          <w:p>
            <w:pPr>
              <w:jc w:val="right"/>
              <w:ind w:right="2"/>
              <w:spacing w:after="0"/>
              <w:rPr>
                <w:sz w:val="20"/>
                <w:szCs w:val="20"/>
                <w:color w:val="auto"/>
              </w:rPr>
            </w:pPr>
            <w:r>
              <w:rPr>
                <w:rFonts w:ascii="Arial" w:cs="Arial" w:eastAsia="Arial" w:hAnsi="Arial"/>
                <w:sz w:val="12"/>
                <w:szCs w:val="12"/>
                <w:b w:val="1"/>
                <w:bCs w:val="1"/>
                <w:color w:val="auto"/>
              </w:rPr>
              <w:t>289,624</w:t>
            </w:r>
          </w:p>
        </w:tc>
        <w:tc>
          <w:tcPr>
            <w:tcW w:w="1020" w:type="dxa"/>
            <w:vAlign w:val="bottom"/>
          </w:tcPr>
          <w:p>
            <w:pPr>
              <w:jc w:val="right"/>
              <w:ind w:right="62"/>
              <w:spacing w:after="0"/>
              <w:rPr>
                <w:sz w:val="20"/>
                <w:szCs w:val="20"/>
                <w:color w:val="auto"/>
              </w:rPr>
            </w:pPr>
            <w:r>
              <w:rPr>
                <w:rFonts w:ascii="Arial" w:cs="Arial" w:eastAsia="Arial" w:hAnsi="Arial"/>
                <w:sz w:val="12"/>
                <w:szCs w:val="12"/>
                <w:b w:val="1"/>
                <w:bCs w:val="1"/>
                <w:color w:val="auto"/>
              </w:rPr>
              <w:t>(10,595,347)</w:t>
            </w:r>
          </w:p>
        </w:tc>
        <w:tc>
          <w:tcPr>
            <w:tcW w:w="560" w:type="dxa"/>
            <w:vAlign w:val="bottom"/>
          </w:tcPr>
          <w:p>
            <w:pPr>
              <w:jc w:val="right"/>
              <w:spacing w:after="0"/>
              <w:rPr>
                <w:sz w:val="20"/>
                <w:szCs w:val="20"/>
                <w:color w:val="auto"/>
              </w:rPr>
            </w:pPr>
            <w:r>
              <w:rPr>
                <w:rFonts w:ascii="Arial" w:cs="Arial" w:eastAsia="Arial" w:hAnsi="Arial"/>
                <w:sz w:val="12"/>
                <w:szCs w:val="12"/>
                <w:b w:val="1"/>
                <w:bCs w:val="1"/>
                <w:color w:val="auto"/>
              </w:rPr>
              <w:t>(26,492)</w:t>
            </w:r>
          </w:p>
        </w:tc>
        <w:tc>
          <w:tcPr>
            <w:tcW w:w="840" w:type="dxa"/>
            <w:vAlign w:val="bottom"/>
          </w:tcPr>
          <w:p>
            <w:pPr>
              <w:jc w:val="right"/>
              <w:ind w:right="122"/>
              <w:spacing w:after="0"/>
              <w:rPr>
                <w:sz w:val="20"/>
                <w:szCs w:val="20"/>
                <w:color w:val="auto"/>
              </w:rPr>
            </w:pPr>
            <w:r>
              <w:rPr>
                <w:rFonts w:ascii="Arial" w:cs="Arial" w:eastAsia="Arial" w:hAnsi="Arial"/>
                <w:sz w:val="12"/>
                <w:szCs w:val="12"/>
                <w:b w:val="1"/>
                <w:bCs w:val="1"/>
                <w:color w:val="auto"/>
              </w:rPr>
              <w:t>138,506</w:t>
            </w:r>
          </w:p>
        </w:tc>
        <w:tc>
          <w:tcPr>
            <w:tcW w:w="760" w:type="dxa"/>
            <w:vAlign w:val="bottom"/>
          </w:tcPr>
          <w:p>
            <w:pPr>
              <w:jc w:val="right"/>
              <w:ind w:right="102"/>
              <w:spacing w:after="0"/>
              <w:rPr>
                <w:sz w:val="20"/>
                <w:szCs w:val="20"/>
                <w:color w:val="auto"/>
              </w:rPr>
            </w:pPr>
            <w:r>
              <w:rPr>
                <w:rFonts w:ascii="Arial" w:cs="Arial" w:eastAsia="Arial" w:hAnsi="Arial"/>
                <w:sz w:val="12"/>
                <w:szCs w:val="12"/>
                <w:b w:val="1"/>
                <w:bCs w:val="1"/>
                <w:color w:val="auto"/>
              </w:rPr>
              <w:t>89</w:t>
            </w:r>
          </w:p>
        </w:tc>
        <w:tc>
          <w:tcPr>
            <w:tcW w:w="680" w:type="dxa"/>
            <w:vAlign w:val="bottom"/>
          </w:tcPr>
          <w:p>
            <w:pPr>
              <w:jc w:val="right"/>
              <w:ind w:right="82"/>
              <w:spacing w:after="0"/>
              <w:rPr>
                <w:sz w:val="20"/>
                <w:szCs w:val="20"/>
                <w:color w:val="auto"/>
              </w:rPr>
            </w:pPr>
            <w:r>
              <w:rPr>
                <w:rFonts w:ascii="Arial" w:cs="Arial" w:eastAsia="Arial" w:hAnsi="Arial"/>
                <w:sz w:val="12"/>
                <w:szCs w:val="12"/>
                <w:b w:val="1"/>
                <w:bCs w:val="1"/>
                <w:color w:val="auto"/>
              </w:rPr>
              <w:t>(14,478)</w:t>
            </w:r>
          </w:p>
        </w:tc>
        <w:tc>
          <w:tcPr>
            <w:tcW w:w="860" w:type="dxa"/>
            <w:vAlign w:val="bottom"/>
          </w:tcPr>
          <w:p>
            <w:pPr>
              <w:jc w:val="right"/>
              <w:ind w:right="62"/>
              <w:spacing w:after="0"/>
              <w:rPr>
                <w:sz w:val="20"/>
                <w:szCs w:val="20"/>
                <w:color w:val="auto"/>
              </w:rPr>
            </w:pPr>
            <w:r>
              <w:rPr>
                <w:rFonts w:ascii="Arial" w:cs="Arial" w:eastAsia="Arial" w:hAnsi="Arial"/>
                <w:sz w:val="12"/>
                <w:szCs w:val="12"/>
                <w:b w:val="1"/>
                <w:bCs w:val="1"/>
                <w:color w:val="auto"/>
              </w:rPr>
              <w:t>149,516</w:t>
            </w:r>
          </w:p>
        </w:tc>
        <w:tc>
          <w:tcPr>
            <w:tcW w:w="700" w:type="dxa"/>
            <w:vAlign w:val="bottom"/>
          </w:tcPr>
          <w:p>
            <w:pPr>
              <w:jc w:val="right"/>
              <w:ind w:right="22"/>
              <w:spacing w:after="0"/>
              <w:rPr>
                <w:sz w:val="20"/>
                <w:szCs w:val="20"/>
                <w:color w:val="auto"/>
              </w:rPr>
            </w:pPr>
            <w:r>
              <w:rPr>
                <w:rFonts w:ascii="Arial" w:cs="Arial" w:eastAsia="Arial" w:hAnsi="Arial"/>
                <w:sz w:val="12"/>
                <w:szCs w:val="12"/>
                <w:b w:val="1"/>
                <w:bCs w:val="1"/>
                <w:color w:val="auto"/>
              </w:rPr>
              <w:t>542,220</w:t>
            </w:r>
          </w:p>
        </w:tc>
        <w:tc>
          <w:tcPr>
            <w:tcW w:w="860" w:type="dxa"/>
            <w:vAlign w:val="bottom"/>
          </w:tcPr>
          <w:p>
            <w:pPr>
              <w:jc w:val="right"/>
              <w:ind w:right="62"/>
              <w:spacing w:after="0"/>
              <w:rPr>
                <w:sz w:val="20"/>
                <w:szCs w:val="20"/>
                <w:color w:val="auto"/>
              </w:rPr>
            </w:pPr>
            <w:r>
              <w:rPr>
                <w:rFonts w:ascii="Arial" w:cs="Arial" w:eastAsia="Arial" w:hAnsi="Arial"/>
                <w:sz w:val="12"/>
                <w:szCs w:val="12"/>
                <w:b w:val="1"/>
                <w:bCs w:val="1"/>
                <w:color w:val="auto"/>
              </w:rPr>
              <w:t>5,369</w:t>
            </w:r>
          </w:p>
        </w:tc>
        <w:tc>
          <w:tcPr>
            <w:tcW w:w="620" w:type="dxa"/>
            <w:vAlign w:val="bottom"/>
          </w:tcPr>
          <w:p>
            <w:pPr>
              <w:jc w:val="right"/>
              <w:ind w:right="2"/>
              <w:spacing w:after="0"/>
              <w:rPr>
                <w:sz w:val="20"/>
                <w:szCs w:val="20"/>
                <w:color w:val="auto"/>
              </w:rPr>
            </w:pPr>
            <w:r>
              <w:rPr>
                <w:rFonts w:ascii="Arial" w:cs="Arial" w:eastAsia="Arial" w:hAnsi="Arial"/>
                <w:sz w:val="12"/>
                <w:szCs w:val="12"/>
                <w:b w:val="1"/>
                <w:bCs w:val="1"/>
                <w:color w:val="auto"/>
              </w:rPr>
              <w:t>547,589</w:t>
            </w:r>
          </w:p>
        </w:tc>
        <w:tc>
          <w:tcPr>
            <w:tcW w:w="0" w:type="dxa"/>
            <w:vAlign w:val="bottom"/>
          </w:tcPr>
          <w:p>
            <w:pPr>
              <w:spacing w:after="0"/>
              <w:rPr>
                <w:sz w:val="1"/>
                <w:szCs w:val="1"/>
                <w:color w:val="auto"/>
              </w:rPr>
            </w:pPr>
          </w:p>
        </w:tc>
      </w:tr>
      <w:tr>
        <w:trPr>
          <w:trHeight w:val="183"/>
        </w:trPr>
        <w:tc>
          <w:tcPr>
            <w:tcW w:w="1500" w:type="dxa"/>
            <w:vAlign w:val="bottom"/>
          </w:tcPr>
          <w:p>
            <w:pPr>
              <w:ind w:left="20"/>
              <w:spacing w:after="0"/>
              <w:rPr>
                <w:sz w:val="20"/>
                <w:szCs w:val="20"/>
                <w:color w:val="auto"/>
              </w:rPr>
            </w:pPr>
            <w:r>
              <w:rPr>
                <w:rFonts w:ascii="Arial" w:cs="Arial" w:eastAsia="Arial" w:hAnsi="Arial"/>
                <w:sz w:val="12"/>
                <w:szCs w:val="12"/>
                <w:color w:val="auto"/>
              </w:rPr>
              <w:t>Net income/(loss)</w:t>
            </w:r>
          </w:p>
        </w:tc>
        <w:tc>
          <w:tcPr>
            <w:tcW w:w="440" w:type="dxa"/>
            <w:vAlign w:val="bottom"/>
          </w:tcPr>
          <w:p>
            <w:pPr>
              <w:spacing w:after="0"/>
              <w:rPr>
                <w:sz w:val="15"/>
                <w:szCs w:val="15"/>
                <w:color w:val="auto"/>
              </w:rPr>
            </w:pPr>
          </w:p>
        </w:tc>
        <w:tc>
          <w:tcPr>
            <w:tcW w:w="1060" w:type="dxa"/>
            <w:vAlign w:val="bottom"/>
          </w:tcPr>
          <w:p>
            <w:pPr>
              <w:jc w:val="right"/>
              <w:ind w:right="102"/>
              <w:spacing w:after="0"/>
              <w:rPr>
                <w:sz w:val="20"/>
                <w:szCs w:val="20"/>
                <w:color w:val="auto"/>
              </w:rPr>
            </w:pPr>
            <w:r>
              <w:rPr>
                <w:rFonts w:ascii="Arial" w:cs="Arial" w:eastAsia="Arial" w:hAnsi="Arial"/>
                <w:sz w:val="12"/>
                <w:szCs w:val="12"/>
                <w:color w:val="183964"/>
              </w:rPr>
              <w:t>—</w:t>
            </w:r>
          </w:p>
        </w:tc>
        <w:tc>
          <w:tcPr>
            <w:tcW w:w="540" w:type="dxa"/>
            <w:vAlign w:val="bottom"/>
          </w:tcPr>
          <w:p>
            <w:pPr>
              <w:jc w:val="right"/>
              <w:ind w:right="2"/>
              <w:spacing w:after="0"/>
              <w:rPr>
                <w:sz w:val="20"/>
                <w:szCs w:val="20"/>
                <w:color w:val="auto"/>
              </w:rPr>
            </w:pPr>
            <w:r>
              <w:rPr>
                <w:rFonts w:ascii="Arial" w:cs="Arial" w:eastAsia="Arial" w:hAnsi="Arial"/>
                <w:sz w:val="12"/>
                <w:szCs w:val="12"/>
                <w:color w:val="183964"/>
              </w:rPr>
              <w:t>—</w:t>
            </w:r>
          </w:p>
        </w:tc>
        <w:tc>
          <w:tcPr>
            <w:tcW w:w="680" w:type="dxa"/>
            <w:vAlign w:val="bottom"/>
          </w:tcPr>
          <w:p>
            <w:pPr>
              <w:jc w:val="right"/>
              <w:ind w:right="2"/>
              <w:spacing w:after="0"/>
              <w:rPr>
                <w:sz w:val="20"/>
                <w:szCs w:val="20"/>
                <w:color w:val="auto"/>
              </w:rPr>
            </w:pPr>
            <w:r>
              <w:rPr>
                <w:rFonts w:ascii="Arial" w:cs="Arial" w:eastAsia="Arial" w:hAnsi="Arial"/>
                <w:sz w:val="12"/>
                <w:szCs w:val="12"/>
                <w:color w:val="183964"/>
              </w:rPr>
              <w:t>—</w:t>
            </w:r>
          </w:p>
        </w:tc>
        <w:tc>
          <w:tcPr>
            <w:tcW w:w="1020" w:type="dxa"/>
            <w:vAlign w:val="bottom"/>
          </w:tcPr>
          <w:p>
            <w:pPr>
              <w:jc w:val="right"/>
              <w:ind w:right="82"/>
              <w:spacing w:after="0"/>
              <w:rPr>
                <w:sz w:val="20"/>
                <w:szCs w:val="20"/>
                <w:color w:val="auto"/>
              </w:rPr>
            </w:pPr>
            <w:r>
              <w:rPr>
                <w:rFonts w:ascii="Arial" w:cs="Arial" w:eastAsia="Arial" w:hAnsi="Arial"/>
                <w:sz w:val="12"/>
                <w:szCs w:val="12"/>
                <w:color w:val="183964"/>
              </w:rPr>
              <w:t>—</w:t>
            </w:r>
          </w:p>
        </w:tc>
        <w:tc>
          <w:tcPr>
            <w:tcW w:w="560" w:type="dxa"/>
            <w:vAlign w:val="bottom"/>
          </w:tcPr>
          <w:p>
            <w:pPr>
              <w:jc w:val="right"/>
              <w:ind w:right="2"/>
              <w:spacing w:after="0"/>
              <w:rPr>
                <w:sz w:val="20"/>
                <w:szCs w:val="20"/>
                <w:color w:val="auto"/>
              </w:rPr>
            </w:pPr>
            <w:r>
              <w:rPr>
                <w:rFonts w:ascii="Arial" w:cs="Arial" w:eastAsia="Arial" w:hAnsi="Arial"/>
                <w:sz w:val="12"/>
                <w:szCs w:val="12"/>
                <w:color w:val="183964"/>
              </w:rPr>
              <w:t>—</w:t>
            </w:r>
          </w:p>
        </w:tc>
        <w:tc>
          <w:tcPr>
            <w:tcW w:w="840" w:type="dxa"/>
            <w:vAlign w:val="bottom"/>
          </w:tcPr>
          <w:p>
            <w:pPr>
              <w:jc w:val="right"/>
              <w:ind w:right="122"/>
              <w:spacing w:after="0"/>
              <w:rPr>
                <w:sz w:val="20"/>
                <w:szCs w:val="20"/>
                <w:color w:val="auto"/>
              </w:rPr>
            </w:pPr>
            <w:r>
              <w:rPr>
                <w:rFonts w:ascii="Arial" w:cs="Arial" w:eastAsia="Arial" w:hAnsi="Arial"/>
                <w:sz w:val="12"/>
                <w:szCs w:val="12"/>
                <w:color w:val="183964"/>
              </w:rPr>
              <w:t>—</w:t>
            </w:r>
          </w:p>
        </w:tc>
        <w:tc>
          <w:tcPr>
            <w:tcW w:w="760" w:type="dxa"/>
            <w:vAlign w:val="bottom"/>
          </w:tcPr>
          <w:p>
            <w:pPr>
              <w:jc w:val="right"/>
              <w:ind w:right="102"/>
              <w:spacing w:after="0"/>
              <w:rPr>
                <w:sz w:val="20"/>
                <w:szCs w:val="20"/>
                <w:color w:val="auto"/>
              </w:rPr>
            </w:pPr>
            <w:r>
              <w:rPr>
                <w:rFonts w:ascii="Arial" w:cs="Arial" w:eastAsia="Arial" w:hAnsi="Arial"/>
                <w:sz w:val="12"/>
                <w:szCs w:val="12"/>
                <w:color w:val="183964"/>
              </w:rPr>
              <w:t>—</w:t>
            </w:r>
          </w:p>
        </w:tc>
        <w:tc>
          <w:tcPr>
            <w:tcW w:w="680" w:type="dxa"/>
            <w:vAlign w:val="bottom"/>
          </w:tcPr>
          <w:p>
            <w:pPr>
              <w:jc w:val="right"/>
              <w:ind w:right="102"/>
              <w:spacing w:after="0"/>
              <w:rPr>
                <w:sz w:val="20"/>
                <w:szCs w:val="20"/>
                <w:color w:val="auto"/>
              </w:rPr>
            </w:pPr>
            <w:r>
              <w:rPr>
                <w:rFonts w:ascii="Arial" w:cs="Arial" w:eastAsia="Arial" w:hAnsi="Arial"/>
                <w:sz w:val="12"/>
                <w:szCs w:val="12"/>
                <w:color w:val="183964"/>
              </w:rPr>
              <w:t>—</w:t>
            </w:r>
          </w:p>
        </w:tc>
        <w:tc>
          <w:tcPr>
            <w:tcW w:w="860" w:type="dxa"/>
            <w:vAlign w:val="bottom"/>
          </w:tcPr>
          <w:p>
            <w:pPr>
              <w:jc w:val="right"/>
              <w:ind w:right="22"/>
              <w:spacing w:after="0"/>
              <w:rPr>
                <w:sz w:val="20"/>
                <w:szCs w:val="20"/>
                <w:color w:val="auto"/>
              </w:rPr>
            </w:pPr>
            <w:r>
              <w:rPr>
                <w:rFonts w:ascii="Arial" w:cs="Arial" w:eastAsia="Arial" w:hAnsi="Arial"/>
                <w:sz w:val="12"/>
                <w:szCs w:val="12"/>
                <w:color w:val="183964"/>
              </w:rPr>
              <w:t>(25,004)</w:t>
            </w:r>
          </w:p>
        </w:tc>
        <w:tc>
          <w:tcPr>
            <w:tcW w:w="700" w:type="dxa"/>
            <w:vAlign w:val="bottom"/>
          </w:tcPr>
          <w:p>
            <w:pPr>
              <w:jc w:val="right"/>
              <w:spacing w:after="0"/>
              <w:rPr>
                <w:sz w:val="20"/>
                <w:szCs w:val="20"/>
                <w:color w:val="auto"/>
              </w:rPr>
            </w:pPr>
            <w:r>
              <w:rPr>
                <w:rFonts w:ascii="Arial" w:cs="Arial" w:eastAsia="Arial" w:hAnsi="Arial"/>
                <w:sz w:val="12"/>
                <w:szCs w:val="12"/>
                <w:color w:val="183964"/>
              </w:rPr>
              <w:t>(25,004)</w:t>
            </w:r>
          </w:p>
        </w:tc>
        <w:tc>
          <w:tcPr>
            <w:tcW w:w="860" w:type="dxa"/>
            <w:vAlign w:val="bottom"/>
          </w:tcPr>
          <w:p>
            <w:pPr>
              <w:jc w:val="right"/>
              <w:ind w:right="42"/>
              <w:spacing w:after="0"/>
              <w:rPr>
                <w:sz w:val="20"/>
                <w:szCs w:val="20"/>
                <w:color w:val="auto"/>
              </w:rPr>
            </w:pPr>
            <w:r>
              <w:rPr>
                <w:rFonts w:ascii="Arial" w:cs="Arial" w:eastAsia="Arial" w:hAnsi="Arial"/>
                <w:sz w:val="12"/>
                <w:szCs w:val="12"/>
                <w:color w:val="183964"/>
              </w:rPr>
              <w:t>(546)</w:t>
            </w:r>
          </w:p>
        </w:tc>
        <w:tc>
          <w:tcPr>
            <w:tcW w:w="620" w:type="dxa"/>
            <w:vAlign w:val="bottom"/>
          </w:tcPr>
          <w:p>
            <w:pPr>
              <w:jc w:val="right"/>
              <w:spacing w:after="0"/>
              <w:rPr>
                <w:sz w:val="20"/>
                <w:szCs w:val="20"/>
                <w:color w:val="auto"/>
              </w:rPr>
            </w:pPr>
            <w:r>
              <w:rPr>
                <w:rFonts w:ascii="Arial" w:cs="Arial" w:eastAsia="Arial" w:hAnsi="Arial"/>
                <w:sz w:val="12"/>
                <w:szCs w:val="12"/>
                <w:color w:val="183964"/>
              </w:rPr>
              <w:t>(25,551)</w:t>
            </w:r>
          </w:p>
        </w:tc>
        <w:tc>
          <w:tcPr>
            <w:tcW w:w="0" w:type="dxa"/>
            <w:vAlign w:val="bottom"/>
          </w:tcPr>
          <w:p>
            <w:pPr>
              <w:spacing w:after="0"/>
              <w:rPr>
                <w:sz w:val="1"/>
                <w:szCs w:val="1"/>
                <w:color w:val="auto"/>
              </w:rPr>
            </w:pPr>
          </w:p>
        </w:tc>
      </w:tr>
      <w:tr>
        <w:trPr>
          <w:trHeight w:val="172"/>
        </w:trPr>
        <w:tc>
          <w:tcPr>
            <w:tcW w:w="1500" w:type="dxa"/>
            <w:vAlign w:val="bottom"/>
          </w:tcPr>
          <w:p>
            <w:pPr>
              <w:ind w:left="20"/>
              <w:spacing w:after="0"/>
              <w:rPr>
                <w:sz w:val="20"/>
                <w:szCs w:val="20"/>
                <w:color w:val="auto"/>
              </w:rPr>
            </w:pPr>
            <w:r>
              <w:rPr>
                <w:rFonts w:ascii="Arial" w:cs="Arial" w:eastAsia="Arial" w:hAnsi="Arial"/>
                <w:sz w:val="12"/>
                <w:szCs w:val="12"/>
                <w:color w:val="auto"/>
              </w:rPr>
              <w:t>Other comprehensive</w:t>
            </w: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500" w:type="dxa"/>
            <w:vAlign w:val="bottom"/>
            <w:tcBorders>
              <w:bottom w:val="single" w:sz="8" w:color="183964"/>
            </w:tcBorders>
          </w:tcPr>
          <w:p>
            <w:pPr>
              <w:ind w:left="20"/>
              <w:spacing w:after="0"/>
              <w:rPr>
                <w:sz w:val="20"/>
                <w:szCs w:val="20"/>
                <w:color w:val="auto"/>
              </w:rPr>
            </w:pPr>
            <w:r>
              <w:rPr>
                <w:rFonts w:ascii="Arial" w:cs="Arial" w:eastAsia="Arial" w:hAnsi="Arial"/>
                <w:sz w:val="12"/>
                <w:szCs w:val="12"/>
                <w:color w:val="auto"/>
              </w:rPr>
              <w:t>income/(loss) for the period</w:t>
            </w:r>
          </w:p>
        </w:tc>
        <w:tc>
          <w:tcPr>
            <w:tcW w:w="440" w:type="dxa"/>
            <w:vAlign w:val="bottom"/>
            <w:tcBorders>
              <w:bottom w:val="single" w:sz="8" w:color="929292"/>
            </w:tcBorders>
          </w:tcPr>
          <w:p>
            <w:pPr>
              <w:spacing w:after="0"/>
              <w:rPr>
                <w:sz w:val="15"/>
                <w:szCs w:val="15"/>
                <w:color w:val="auto"/>
              </w:rPr>
            </w:pPr>
          </w:p>
        </w:tc>
        <w:tc>
          <w:tcPr>
            <w:tcW w:w="1060" w:type="dxa"/>
            <w:vAlign w:val="bottom"/>
            <w:tcBorders>
              <w:bottom w:val="single" w:sz="8" w:color="929292"/>
            </w:tcBorders>
          </w:tcPr>
          <w:p>
            <w:pPr>
              <w:jc w:val="right"/>
              <w:ind w:right="102"/>
              <w:spacing w:after="0"/>
              <w:rPr>
                <w:sz w:val="20"/>
                <w:szCs w:val="20"/>
                <w:color w:val="auto"/>
              </w:rPr>
            </w:pPr>
            <w:r>
              <w:rPr>
                <w:rFonts w:ascii="Arial" w:cs="Arial" w:eastAsia="Arial" w:hAnsi="Arial"/>
                <w:sz w:val="12"/>
                <w:szCs w:val="12"/>
                <w:color w:val="183964"/>
              </w:rPr>
              <w:t>—</w:t>
            </w:r>
          </w:p>
        </w:tc>
        <w:tc>
          <w:tcPr>
            <w:tcW w:w="540" w:type="dxa"/>
            <w:vAlign w:val="bottom"/>
            <w:tcBorders>
              <w:bottom w:val="single" w:sz="8" w:color="929292"/>
            </w:tcBorders>
          </w:tcPr>
          <w:p>
            <w:pPr>
              <w:jc w:val="right"/>
              <w:ind w:right="2"/>
              <w:spacing w:after="0"/>
              <w:rPr>
                <w:sz w:val="20"/>
                <w:szCs w:val="20"/>
                <w:color w:val="auto"/>
              </w:rPr>
            </w:pPr>
            <w:r>
              <w:rPr>
                <w:rFonts w:ascii="Arial" w:cs="Arial" w:eastAsia="Arial" w:hAnsi="Arial"/>
                <w:sz w:val="12"/>
                <w:szCs w:val="12"/>
                <w:color w:val="183964"/>
              </w:rPr>
              <w:t>—</w:t>
            </w:r>
          </w:p>
        </w:tc>
        <w:tc>
          <w:tcPr>
            <w:tcW w:w="680" w:type="dxa"/>
            <w:vAlign w:val="bottom"/>
            <w:tcBorders>
              <w:bottom w:val="single" w:sz="8" w:color="929292"/>
            </w:tcBorders>
          </w:tcPr>
          <w:p>
            <w:pPr>
              <w:jc w:val="right"/>
              <w:ind w:right="2"/>
              <w:spacing w:after="0"/>
              <w:rPr>
                <w:sz w:val="20"/>
                <w:szCs w:val="20"/>
                <w:color w:val="auto"/>
              </w:rPr>
            </w:pPr>
            <w:r>
              <w:rPr>
                <w:rFonts w:ascii="Arial" w:cs="Arial" w:eastAsia="Arial" w:hAnsi="Arial"/>
                <w:sz w:val="12"/>
                <w:szCs w:val="12"/>
                <w:color w:val="183964"/>
              </w:rPr>
              <w:t>—</w:t>
            </w:r>
          </w:p>
        </w:tc>
        <w:tc>
          <w:tcPr>
            <w:tcW w:w="1020" w:type="dxa"/>
            <w:vAlign w:val="bottom"/>
            <w:tcBorders>
              <w:bottom w:val="single" w:sz="8" w:color="929292"/>
            </w:tcBorders>
          </w:tcPr>
          <w:p>
            <w:pPr>
              <w:spacing w:after="0"/>
              <w:rPr>
                <w:sz w:val="15"/>
                <w:szCs w:val="15"/>
                <w:color w:val="auto"/>
              </w:rPr>
            </w:pPr>
          </w:p>
        </w:tc>
        <w:tc>
          <w:tcPr>
            <w:tcW w:w="560" w:type="dxa"/>
            <w:vAlign w:val="bottom"/>
            <w:tcBorders>
              <w:bottom w:val="single" w:sz="8" w:color="929292"/>
            </w:tcBorders>
          </w:tcPr>
          <w:p>
            <w:pPr>
              <w:spacing w:after="0"/>
              <w:rPr>
                <w:sz w:val="15"/>
                <w:szCs w:val="15"/>
                <w:color w:val="auto"/>
              </w:rPr>
            </w:pPr>
          </w:p>
        </w:tc>
        <w:tc>
          <w:tcPr>
            <w:tcW w:w="840" w:type="dxa"/>
            <w:vAlign w:val="bottom"/>
            <w:tcBorders>
              <w:bottom w:val="single" w:sz="8" w:color="929292"/>
            </w:tcBorders>
          </w:tcPr>
          <w:p>
            <w:pPr>
              <w:jc w:val="right"/>
              <w:ind w:right="122"/>
              <w:spacing w:after="0"/>
              <w:rPr>
                <w:sz w:val="20"/>
                <w:szCs w:val="20"/>
                <w:color w:val="auto"/>
              </w:rPr>
            </w:pPr>
            <w:r>
              <w:rPr>
                <w:rFonts w:ascii="Arial" w:cs="Arial" w:eastAsia="Arial" w:hAnsi="Arial"/>
                <w:sz w:val="12"/>
                <w:szCs w:val="12"/>
                <w:color w:val="183964"/>
              </w:rPr>
              <w:t>—</w:t>
            </w:r>
          </w:p>
        </w:tc>
        <w:tc>
          <w:tcPr>
            <w:tcW w:w="760" w:type="dxa"/>
            <w:vAlign w:val="bottom"/>
            <w:tcBorders>
              <w:bottom w:val="single" w:sz="8" w:color="929292"/>
            </w:tcBorders>
          </w:tcPr>
          <w:p>
            <w:pPr>
              <w:jc w:val="right"/>
              <w:ind w:right="102"/>
              <w:spacing w:after="0"/>
              <w:rPr>
                <w:sz w:val="20"/>
                <w:szCs w:val="20"/>
                <w:color w:val="auto"/>
              </w:rPr>
            </w:pPr>
            <w:r>
              <w:rPr>
                <w:rFonts w:ascii="Arial" w:cs="Arial" w:eastAsia="Arial" w:hAnsi="Arial"/>
                <w:sz w:val="12"/>
                <w:szCs w:val="12"/>
                <w:color w:val="183964"/>
              </w:rPr>
              <w:t>92</w:t>
            </w:r>
          </w:p>
        </w:tc>
        <w:tc>
          <w:tcPr>
            <w:tcW w:w="680" w:type="dxa"/>
            <w:vAlign w:val="bottom"/>
            <w:tcBorders>
              <w:bottom w:val="single" w:sz="8" w:color="929292"/>
            </w:tcBorders>
          </w:tcPr>
          <w:p>
            <w:pPr>
              <w:jc w:val="right"/>
              <w:ind w:right="102"/>
              <w:spacing w:after="0"/>
              <w:rPr>
                <w:sz w:val="20"/>
                <w:szCs w:val="20"/>
                <w:color w:val="auto"/>
              </w:rPr>
            </w:pPr>
            <w:r>
              <w:rPr>
                <w:rFonts w:ascii="Arial" w:cs="Arial" w:eastAsia="Arial" w:hAnsi="Arial"/>
                <w:sz w:val="12"/>
                <w:szCs w:val="12"/>
                <w:color w:val="183964"/>
              </w:rPr>
              <w:t>—</w:t>
            </w:r>
          </w:p>
        </w:tc>
        <w:tc>
          <w:tcPr>
            <w:tcW w:w="860" w:type="dxa"/>
            <w:vAlign w:val="bottom"/>
            <w:tcBorders>
              <w:bottom w:val="single" w:sz="8" w:color="929292"/>
            </w:tcBorders>
          </w:tcPr>
          <w:p>
            <w:pPr>
              <w:jc w:val="right"/>
              <w:ind w:right="62"/>
              <w:spacing w:after="0"/>
              <w:rPr>
                <w:sz w:val="20"/>
                <w:szCs w:val="20"/>
                <w:color w:val="auto"/>
              </w:rPr>
            </w:pPr>
            <w:r>
              <w:rPr>
                <w:rFonts w:ascii="Arial" w:cs="Arial" w:eastAsia="Arial" w:hAnsi="Arial"/>
                <w:sz w:val="12"/>
                <w:szCs w:val="12"/>
                <w:color w:val="183964"/>
              </w:rPr>
              <w:t>—</w:t>
            </w:r>
          </w:p>
        </w:tc>
        <w:tc>
          <w:tcPr>
            <w:tcW w:w="700" w:type="dxa"/>
            <w:vAlign w:val="bottom"/>
            <w:tcBorders>
              <w:bottom w:val="single" w:sz="8" w:color="929292"/>
            </w:tcBorders>
          </w:tcPr>
          <w:p>
            <w:pPr>
              <w:jc w:val="right"/>
              <w:ind w:right="22"/>
              <w:spacing w:after="0"/>
              <w:rPr>
                <w:sz w:val="20"/>
                <w:szCs w:val="20"/>
                <w:color w:val="auto"/>
              </w:rPr>
            </w:pPr>
            <w:r>
              <w:rPr>
                <w:rFonts w:ascii="Arial" w:cs="Arial" w:eastAsia="Arial" w:hAnsi="Arial"/>
                <w:sz w:val="12"/>
                <w:szCs w:val="12"/>
                <w:color w:val="183964"/>
              </w:rPr>
              <w:t>92</w:t>
            </w:r>
          </w:p>
        </w:tc>
        <w:tc>
          <w:tcPr>
            <w:tcW w:w="860" w:type="dxa"/>
            <w:vAlign w:val="bottom"/>
            <w:tcBorders>
              <w:bottom w:val="single" w:sz="8" w:color="929292"/>
            </w:tcBorders>
          </w:tcPr>
          <w:p>
            <w:pPr>
              <w:jc w:val="right"/>
              <w:ind w:right="62"/>
              <w:spacing w:after="0"/>
              <w:rPr>
                <w:sz w:val="20"/>
                <w:szCs w:val="20"/>
                <w:color w:val="auto"/>
              </w:rPr>
            </w:pPr>
            <w:r>
              <w:rPr>
                <w:rFonts w:ascii="Arial" w:cs="Arial" w:eastAsia="Arial" w:hAnsi="Arial"/>
                <w:sz w:val="12"/>
                <w:szCs w:val="12"/>
                <w:color w:val="183964"/>
              </w:rPr>
              <w:t>—</w:t>
            </w:r>
          </w:p>
        </w:tc>
        <w:tc>
          <w:tcPr>
            <w:tcW w:w="620" w:type="dxa"/>
            <w:vAlign w:val="bottom"/>
            <w:tcBorders>
              <w:bottom w:val="single" w:sz="8" w:color="929292"/>
            </w:tcBorders>
          </w:tcPr>
          <w:p>
            <w:pPr>
              <w:jc w:val="right"/>
              <w:ind w:right="2"/>
              <w:spacing w:after="0"/>
              <w:rPr>
                <w:sz w:val="20"/>
                <w:szCs w:val="20"/>
                <w:color w:val="auto"/>
              </w:rPr>
            </w:pPr>
            <w:r>
              <w:rPr>
                <w:rFonts w:ascii="Arial" w:cs="Arial" w:eastAsia="Arial" w:hAnsi="Arial"/>
                <w:sz w:val="12"/>
                <w:szCs w:val="12"/>
                <w:color w:val="183964"/>
              </w:rPr>
              <w:t>92</w:t>
            </w:r>
          </w:p>
        </w:tc>
        <w:tc>
          <w:tcPr>
            <w:tcW w:w="0" w:type="dxa"/>
            <w:vAlign w:val="bottom"/>
          </w:tcPr>
          <w:p>
            <w:pPr>
              <w:spacing w:after="0"/>
              <w:rPr>
                <w:sz w:val="1"/>
                <w:szCs w:val="1"/>
                <w:color w:val="auto"/>
              </w:rPr>
            </w:pPr>
          </w:p>
        </w:tc>
      </w:tr>
      <w:tr>
        <w:trPr>
          <w:trHeight w:val="152"/>
        </w:trPr>
        <w:tc>
          <w:tcPr>
            <w:tcW w:w="1500" w:type="dxa"/>
            <w:vAlign w:val="bottom"/>
          </w:tcPr>
          <w:p>
            <w:pPr>
              <w:ind w:left="20"/>
              <w:spacing w:after="0"/>
              <w:rPr>
                <w:sz w:val="20"/>
                <w:szCs w:val="20"/>
                <w:color w:val="auto"/>
              </w:rPr>
            </w:pPr>
            <w:r>
              <w:rPr>
                <w:rFonts w:ascii="Arial" w:cs="Arial" w:eastAsia="Arial" w:hAnsi="Arial"/>
                <w:sz w:val="12"/>
                <w:szCs w:val="12"/>
                <w:b w:val="1"/>
                <w:bCs w:val="1"/>
                <w:color w:val="auto"/>
              </w:rPr>
              <w:t>Total comprehensive</w:t>
            </w:r>
          </w:p>
        </w:tc>
        <w:tc>
          <w:tcPr>
            <w:tcW w:w="4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500" w:type="dxa"/>
            <w:vAlign w:val="bottom"/>
          </w:tcPr>
          <w:p>
            <w:pPr>
              <w:ind w:left="20"/>
              <w:spacing w:after="0"/>
              <w:rPr>
                <w:sz w:val="20"/>
                <w:szCs w:val="20"/>
                <w:color w:val="auto"/>
              </w:rPr>
            </w:pPr>
            <w:r>
              <w:rPr>
                <w:rFonts w:ascii="Arial" w:cs="Arial" w:eastAsia="Arial" w:hAnsi="Arial"/>
                <w:sz w:val="12"/>
                <w:szCs w:val="12"/>
                <w:b w:val="1"/>
                <w:bCs w:val="1"/>
                <w:color w:val="auto"/>
              </w:rPr>
              <w:t>income/(loss) for the</w:t>
            </w:r>
          </w:p>
        </w:tc>
        <w:tc>
          <w:tcPr>
            <w:tcW w:w="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500" w:type="dxa"/>
            <w:vAlign w:val="bottom"/>
          </w:tcPr>
          <w:p>
            <w:pPr>
              <w:ind w:left="20"/>
              <w:spacing w:after="0"/>
              <w:rPr>
                <w:sz w:val="20"/>
                <w:szCs w:val="20"/>
                <w:color w:val="auto"/>
              </w:rPr>
            </w:pPr>
            <w:r>
              <w:rPr>
                <w:rFonts w:ascii="Arial" w:cs="Arial" w:eastAsia="Arial" w:hAnsi="Arial"/>
                <w:sz w:val="12"/>
                <w:szCs w:val="12"/>
                <w:b w:val="1"/>
                <w:bCs w:val="1"/>
                <w:color w:val="auto"/>
              </w:rPr>
              <w:t>period</w:t>
            </w:r>
          </w:p>
        </w:tc>
        <w:tc>
          <w:tcPr>
            <w:tcW w:w="440" w:type="dxa"/>
            <w:vAlign w:val="bottom"/>
          </w:tcPr>
          <w:p>
            <w:pPr>
              <w:spacing w:after="0"/>
              <w:rPr>
                <w:sz w:val="13"/>
                <w:szCs w:val="13"/>
                <w:color w:val="auto"/>
              </w:rPr>
            </w:pPr>
          </w:p>
        </w:tc>
        <w:tc>
          <w:tcPr>
            <w:tcW w:w="1060" w:type="dxa"/>
            <w:vAlign w:val="bottom"/>
          </w:tcPr>
          <w:p>
            <w:pPr>
              <w:jc w:val="right"/>
              <w:ind w:right="102"/>
              <w:spacing w:after="0"/>
              <w:rPr>
                <w:sz w:val="20"/>
                <w:szCs w:val="20"/>
                <w:color w:val="auto"/>
              </w:rPr>
            </w:pPr>
            <w:r>
              <w:rPr>
                <w:rFonts w:ascii="Arial" w:cs="Arial" w:eastAsia="Arial" w:hAnsi="Arial"/>
                <w:sz w:val="12"/>
                <w:szCs w:val="12"/>
                <w:b w:val="1"/>
                <w:bCs w:val="1"/>
                <w:color w:val="auto"/>
              </w:rPr>
              <w:t>—</w:t>
            </w:r>
          </w:p>
        </w:tc>
        <w:tc>
          <w:tcPr>
            <w:tcW w:w="540" w:type="dxa"/>
            <w:vAlign w:val="bottom"/>
          </w:tcPr>
          <w:p>
            <w:pPr>
              <w:jc w:val="right"/>
              <w:ind w:right="2"/>
              <w:spacing w:after="0"/>
              <w:rPr>
                <w:sz w:val="20"/>
                <w:szCs w:val="20"/>
                <w:color w:val="auto"/>
              </w:rPr>
            </w:pPr>
            <w:r>
              <w:rPr>
                <w:rFonts w:ascii="Arial" w:cs="Arial" w:eastAsia="Arial" w:hAnsi="Arial"/>
                <w:sz w:val="12"/>
                <w:szCs w:val="12"/>
                <w:b w:val="1"/>
                <w:bCs w:val="1"/>
                <w:color w:val="auto"/>
              </w:rPr>
              <w:t>—</w:t>
            </w:r>
          </w:p>
        </w:tc>
        <w:tc>
          <w:tcPr>
            <w:tcW w:w="680" w:type="dxa"/>
            <w:vAlign w:val="bottom"/>
          </w:tcPr>
          <w:p>
            <w:pPr>
              <w:jc w:val="right"/>
              <w:ind w:right="2"/>
              <w:spacing w:after="0"/>
              <w:rPr>
                <w:sz w:val="20"/>
                <w:szCs w:val="20"/>
                <w:color w:val="auto"/>
              </w:rPr>
            </w:pPr>
            <w:r>
              <w:rPr>
                <w:rFonts w:ascii="Arial" w:cs="Arial" w:eastAsia="Arial" w:hAnsi="Arial"/>
                <w:sz w:val="12"/>
                <w:szCs w:val="12"/>
                <w:b w:val="1"/>
                <w:bCs w:val="1"/>
                <w:color w:val="auto"/>
              </w:rPr>
              <w:t>—</w:t>
            </w:r>
          </w:p>
        </w:tc>
        <w:tc>
          <w:tcPr>
            <w:tcW w:w="1020" w:type="dxa"/>
            <w:vAlign w:val="bottom"/>
          </w:tcPr>
          <w:p>
            <w:pPr>
              <w:jc w:val="right"/>
              <w:ind w:right="82"/>
              <w:spacing w:after="0"/>
              <w:rPr>
                <w:sz w:val="20"/>
                <w:szCs w:val="20"/>
                <w:color w:val="auto"/>
              </w:rPr>
            </w:pPr>
            <w:r>
              <w:rPr>
                <w:rFonts w:ascii="Arial" w:cs="Arial" w:eastAsia="Arial" w:hAnsi="Arial"/>
                <w:sz w:val="12"/>
                <w:szCs w:val="12"/>
                <w:b w:val="1"/>
                <w:bCs w:val="1"/>
                <w:color w:val="auto"/>
              </w:rPr>
              <w:t>—</w:t>
            </w:r>
          </w:p>
        </w:tc>
        <w:tc>
          <w:tcPr>
            <w:tcW w:w="560" w:type="dxa"/>
            <w:vAlign w:val="bottom"/>
          </w:tcPr>
          <w:p>
            <w:pPr>
              <w:jc w:val="right"/>
              <w:ind w:right="2"/>
              <w:spacing w:after="0"/>
              <w:rPr>
                <w:sz w:val="20"/>
                <w:szCs w:val="20"/>
                <w:color w:val="auto"/>
              </w:rPr>
            </w:pPr>
            <w:r>
              <w:rPr>
                <w:rFonts w:ascii="Arial" w:cs="Arial" w:eastAsia="Arial" w:hAnsi="Arial"/>
                <w:sz w:val="12"/>
                <w:szCs w:val="12"/>
                <w:b w:val="1"/>
                <w:bCs w:val="1"/>
                <w:color w:val="auto"/>
              </w:rPr>
              <w:t>—</w:t>
            </w:r>
          </w:p>
        </w:tc>
        <w:tc>
          <w:tcPr>
            <w:tcW w:w="840" w:type="dxa"/>
            <w:vAlign w:val="bottom"/>
          </w:tcPr>
          <w:p>
            <w:pPr>
              <w:jc w:val="right"/>
              <w:ind w:right="122"/>
              <w:spacing w:after="0"/>
              <w:rPr>
                <w:sz w:val="20"/>
                <w:szCs w:val="20"/>
                <w:color w:val="auto"/>
              </w:rPr>
            </w:pPr>
            <w:r>
              <w:rPr>
                <w:rFonts w:ascii="Arial" w:cs="Arial" w:eastAsia="Arial" w:hAnsi="Arial"/>
                <w:sz w:val="12"/>
                <w:szCs w:val="12"/>
                <w:b w:val="1"/>
                <w:bCs w:val="1"/>
                <w:color w:val="auto"/>
              </w:rPr>
              <w:t>—</w:t>
            </w:r>
          </w:p>
        </w:tc>
        <w:tc>
          <w:tcPr>
            <w:tcW w:w="760" w:type="dxa"/>
            <w:vAlign w:val="bottom"/>
          </w:tcPr>
          <w:p>
            <w:pPr>
              <w:jc w:val="right"/>
              <w:ind w:right="102"/>
              <w:spacing w:after="0"/>
              <w:rPr>
                <w:sz w:val="20"/>
                <w:szCs w:val="20"/>
                <w:color w:val="auto"/>
              </w:rPr>
            </w:pPr>
            <w:r>
              <w:rPr>
                <w:rFonts w:ascii="Arial" w:cs="Arial" w:eastAsia="Arial" w:hAnsi="Arial"/>
                <w:sz w:val="12"/>
                <w:szCs w:val="12"/>
                <w:b w:val="1"/>
                <w:bCs w:val="1"/>
                <w:color w:val="auto"/>
              </w:rPr>
              <w:t>92</w:t>
            </w:r>
          </w:p>
        </w:tc>
        <w:tc>
          <w:tcPr>
            <w:tcW w:w="680" w:type="dxa"/>
            <w:vAlign w:val="bottom"/>
          </w:tcPr>
          <w:p>
            <w:pPr>
              <w:jc w:val="right"/>
              <w:ind w:right="102"/>
              <w:spacing w:after="0"/>
              <w:rPr>
                <w:sz w:val="20"/>
                <w:szCs w:val="20"/>
                <w:color w:val="auto"/>
              </w:rPr>
            </w:pPr>
            <w:r>
              <w:rPr>
                <w:rFonts w:ascii="Arial" w:cs="Arial" w:eastAsia="Arial" w:hAnsi="Arial"/>
                <w:sz w:val="12"/>
                <w:szCs w:val="12"/>
                <w:b w:val="1"/>
                <w:bCs w:val="1"/>
                <w:color w:val="auto"/>
              </w:rPr>
              <w:t>—</w:t>
            </w:r>
          </w:p>
        </w:tc>
        <w:tc>
          <w:tcPr>
            <w:tcW w:w="860" w:type="dxa"/>
            <w:vAlign w:val="bottom"/>
          </w:tcPr>
          <w:p>
            <w:pPr>
              <w:jc w:val="right"/>
              <w:ind w:right="22"/>
              <w:spacing w:after="0"/>
              <w:rPr>
                <w:sz w:val="20"/>
                <w:szCs w:val="20"/>
                <w:color w:val="auto"/>
              </w:rPr>
            </w:pPr>
            <w:r>
              <w:rPr>
                <w:rFonts w:ascii="Arial" w:cs="Arial" w:eastAsia="Arial" w:hAnsi="Arial"/>
                <w:sz w:val="12"/>
                <w:szCs w:val="12"/>
                <w:b w:val="1"/>
                <w:bCs w:val="1"/>
                <w:color w:val="auto"/>
              </w:rPr>
              <w:t>(25,004)</w:t>
            </w: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(24,912)</w:t>
            </w:r>
          </w:p>
        </w:tc>
        <w:tc>
          <w:tcPr>
            <w:tcW w:w="860" w:type="dxa"/>
            <w:vAlign w:val="bottom"/>
          </w:tcPr>
          <w:p>
            <w:pPr>
              <w:jc w:val="right"/>
              <w:ind w:right="42"/>
              <w:spacing w:after="0"/>
              <w:rPr>
                <w:sz w:val="20"/>
                <w:szCs w:val="20"/>
                <w:color w:val="auto"/>
              </w:rPr>
            </w:pPr>
            <w:r>
              <w:rPr>
                <w:rFonts w:ascii="Arial" w:cs="Arial" w:eastAsia="Arial" w:hAnsi="Arial"/>
                <w:sz w:val="12"/>
                <w:szCs w:val="12"/>
                <w:b w:val="1"/>
                <w:bCs w:val="1"/>
                <w:color w:val="auto"/>
              </w:rPr>
              <w:t>(546)</w:t>
            </w:r>
          </w:p>
        </w:tc>
        <w:tc>
          <w:tcPr>
            <w:tcW w:w="620" w:type="dxa"/>
            <w:vAlign w:val="bottom"/>
          </w:tcPr>
          <w:p>
            <w:pPr>
              <w:jc w:val="right"/>
              <w:spacing w:after="0"/>
              <w:rPr>
                <w:sz w:val="20"/>
                <w:szCs w:val="20"/>
                <w:color w:val="auto"/>
              </w:rPr>
            </w:pPr>
            <w:r>
              <w:rPr>
                <w:rFonts w:ascii="Arial" w:cs="Arial" w:eastAsia="Arial" w:hAnsi="Arial"/>
                <w:sz w:val="12"/>
                <w:szCs w:val="12"/>
                <w:b w:val="1"/>
                <w:bCs w:val="1"/>
                <w:color w:val="auto"/>
              </w:rPr>
              <w:t>(25,458)</w:t>
            </w:r>
          </w:p>
        </w:tc>
        <w:tc>
          <w:tcPr>
            <w:tcW w:w="0" w:type="dxa"/>
            <w:vAlign w:val="bottom"/>
          </w:tcPr>
          <w:p>
            <w:pPr>
              <w:spacing w:after="0"/>
              <w:rPr>
                <w:sz w:val="1"/>
                <w:szCs w:val="1"/>
                <w:color w:val="auto"/>
              </w:rPr>
            </w:pPr>
          </w:p>
        </w:tc>
      </w:tr>
      <w:tr>
        <w:trPr>
          <w:trHeight w:val="166"/>
        </w:trPr>
        <w:tc>
          <w:tcPr>
            <w:tcW w:w="1500" w:type="dxa"/>
            <w:vAlign w:val="bottom"/>
          </w:tcPr>
          <w:p>
            <w:pPr>
              <w:ind w:left="20"/>
              <w:spacing w:after="0"/>
              <w:rPr>
                <w:sz w:val="20"/>
                <w:szCs w:val="20"/>
                <w:color w:val="auto"/>
              </w:rPr>
            </w:pPr>
            <w:r>
              <w:rPr>
                <w:rFonts w:ascii="Arial" w:cs="Arial" w:eastAsia="Arial" w:hAnsi="Arial"/>
                <w:sz w:val="12"/>
                <w:szCs w:val="12"/>
                <w:color w:val="auto"/>
              </w:rPr>
              <w:t>Deconsolidation of</w:t>
            </w: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500" w:type="dxa"/>
            <w:vAlign w:val="bottom"/>
          </w:tcPr>
          <w:p>
            <w:pPr>
              <w:ind w:left="20"/>
              <w:spacing w:after="0"/>
              <w:rPr>
                <w:sz w:val="20"/>
                <w:szCs w:val="20"/>
                <w:color w:val="auto"/>
              </w:rPr>
            </w:pPr>
            <w:r>
              <w:rPr>
                <w:rFonts w:ascii="Arial" w:cs="Arial" w:eastAsia="Arial" w:hAnsi="Arial"/>
                <w:sz w:val="12"/>
                <w:szCs w:val="12"/>
                <w:color w:val="auto"/>
              </w:rPr>
              <w:t>Subsidiary</w:t>
            </w:r>
          </w:p>
        </w:tc>
        <w:tc>
          <w:tcPr>
            <w:tcW w:w="440" w:type="dxa"/>
            <w:vAlign w:val="bottom"/>
          </w:tcPr>
          <w:p>
            <w:pPr>
              <w:jc w:val="right"/>
              <w:spacing w:after="0"/>
              <w:rPr>
                <w:sz w:val="20"/>
                <w:szCs w:val="20"/>
                <w:color w:val="auto"/>
              </w:rPr>
            </w:pPr>
            <w:r>
              <w:rPr>
                <w:rFonts w:ascii="Arial" w:cs="Arial" w:eastAsia="Arial" w:hAnsi="Arial"/>
                <w:sz w:val="12"/>
                <w:szCs w:val="12"/>
                <w:color w:val="183964"/>
              </w:rPr>
              <w:t>4</w:t>
            </w:r>
          </w:p>
        </w:tc>
        <w:tc>
          <w:tcPr>
            <w:tcW w:w="1060" w:type="dxa"/>
            <w:vAlign w:val="bottom"/>
          </w:tcPr>
          <w:p>
            <w:pPr>
              <w:jc w:val="right"/>
              <w:ind w:right="102"/>
              <w:spacing w:after="0"/>
              <w:rPr>
                <w:sz w:val="20"/>
                <w:szCs w:val="20"/>
                <w:color w:val="auto"/>
              </w:rPr>
            </w:pPr>
            <w:r>
              <w:rPr>
                <w:rFonts w:ascii="Arial" w:cs="Arial" w:eastAsia="Arial" w:hAnsi="Arial"/>
                <w:sz w:val="12"/>
                <w:szCs w:val="12"/>
                <w:color w:val="183964"/>
              </w:rPr>
              <w:t>—</w:t>
            </w:r>
          </w:p>
        </w:tc>
        <w:tc>
          <w:tcPr>
            <w:tcW w:w="540" w:type="dxa"/>
            <w:vAlign w:val="bottom"/>
          </w:tcPr>
          <w:p>
            <w:pPr>
              <w:jc w:val="right"/>
              <w:ind w:right="2"/>
              <w:spacing w:after="0"/>
              <w:rPr>
                <w:sz w:val="20"/>
                <w:szCs w:val="20"/>
                <w:color w:val="auto"/>
              </w:rPr>
            </w:pPr>
            <w:r>
              <w:rPr>
                <w:rFonts w:ascii="Arial" w:cs="Arial" w:eastAsia="Arial" w:hAnsi="Arial"/>
                <w:sz w:val="12"/>
                <w:szCs w:val="12"/>
                <w:color w:val="183964"/>
              </w:rPr>
              <w:t>—</w:t>
            </w:r>
          </w:p>
        </w:tc>
        <w:tc>
          <w:tcPr>
            <w:tcW w:w="680" w:type="dxa"/>
            <w:vAlign w:val="bottom"/>
          </w:tcPr>
          <w:p>
            <w:pPr>
              <w:jc w:val="right"/>
              <w:ind w:right="2"/>
              <w:spacing w:after="0"/>
              <w:rPr>
                <w:sz w:val="20"/>
                <w:szCs w:val="20"/>
                <w:color w:val="auto"/>
              </w:rPr>
            </w:pPr>
            <w:r>
              <w:rPr>
                <w:rFonts w:ascii="Arial" w:cs="Arial" w:eastAsia="Arial" w:hAnsi="Arial"/>
                <w:sz w:val="12"/>
                <w:szCs w:val="12"/>
                <w:color w:val="183964"/>
              </w:rPr>
              <w:t>—</w:t>
            </w:r>
          </w:p>
        </w:tc>
        <w:tc>
          <w:tcPr>
            <w:tcW w:w="1020" w:type="dxa"/>
            <w:vAlign w:val="bottom"/>
          </w:tcPr>
          <w:p>
            <w:pPr>
              <w:jc w:val="right"/>
              <w:ind w:right="82"/>
              <w:spacing w:after="0"/>
              <w:rPr>
                <w:sz w:val="20"/>
                <w:szCs w:val="20"/>
                <w:color w:val="auto"/>
              </w:rPr>
            </w:pPr>
            <w:r>
              <w:rPr>
                <w:rFonts w:ascii="Arial" w:cs="Arial" w:eastAsia="Arial" w:hAnsi="Arial"/>
                <w:sz w:val="12"/>
                <w:szCs w:val="12"/>
                <w:color w:val="183964"/>
              </w:rPr>
              <w:t>—</w:t>
            </w:r>
          </w:p>
        </w:tc>
        <w:tc>
          <w:tcPr>
            <w:tcW w:w="560" w:type="dxa"/>
            <w:vAlign w:val="bottom"/>
          </w:tcPr>
          <w:p>
            <w:pPr>
              <w:jc w:val="right"/>
              <w:ind w:right="2"/>
              <w:spacing w:after="0"/>
              <w:rPr>
                <w:sz w:val="20"/>
                <w:szCs w:val="20"/>
                <w:color w:val="auto"/>
              </w:rPr>
            </w:pPr>
            <w:r>
              <w:rPr>
                <w:rFonts w:ascii="Arial" w:cs="Arial" w:eastAsia="Arial" w:hAnsi="Arial"/>
                <w:sz w:val="12"/>
                <w:szCs w:val="12"/>
                <w:color w:val="183964"/>
              </w:rPr>
              <w:t>—</w:t>
            </w:r>
          </w:p>
        </w:tc>
        <w:tc>
          <w:tcPr>
            <w:tcW w:w="840" w:type="dxa"/>
            <w:vAlign w:val="bottom"/>
          </w:tcPr>
          <w:p>
            <w:pPr>
              <w:jc w:val="right"/>
              <w:ind w:right="122"/>
              <w:spacing w:after="0"/>
              <w:rPr>
                <w:sz w:val="20"/>
                <w:szCs w:val="20"/>
                <w:color w:val="auto"/>
              </w:rPr>
            </w:pPr>
            <w:r>
              <w:rPr>
                <w:rFonts w:ascii="Arial" w:cs="Arial" w:eastAsia="Arial" w:hAnsi="Arial"/>
                <w:sz w:val="12"/>
                <w:szCs w:val="12"/>
                <w:color w:val="183964"/>
              </w:rPr>
              <w:t>—</w:t>
            </w:r>
          </w:p>
        </w:tc>
        <w:tc>
          <w:tcPr>
            <w:tcW w:w="760" w:type="dxa"/>
            <w:vAlign w:val="bottom"/>
          </w:tcPr>
          <w:p>
            <w:pPr>
              <w:jc w:val="right"/>
              <w:ind w:right="102"/>
              <w:spacing w:after="0"/>
              <w:rPr>
                <w:sz w:val="20"/>
                <w:szCs w:val="20"/>
                <w:color w:val="auto"/>
              </w:rPr>
            </w:pPr>
            <w:r>
              <w:rPr>
                <w:rFonts w:ascii="Arial" w:cs="Arial" w:eastAsia="Arial" w:hAnsi="Arial"/>
                <w:sz w:val="12"/>
                <w:szCs w:val="12"/>
                <w:color w:val="183964"/>
              </w:rPr>
              <w:t>—</w:t>
            </w:r>
          </w:p>
        </w:tc>
        <w:tc>
          <w:tcPr>
            <w:tcW w:w="680" w:type="dxa"/>
            <w:vAlign w:val="bottom"/>
          </w:tcPr>
          <w:p>
            <w:pPr>
              <w:jc w:val="right"/>
              <w:ind w:right="102"/>
              <w:spacing w:after="0"/>
              <w:rPr>
                <w:sz w:val="20"/>
                <w:szCs w:val="20"/>
                <w:color w:val="auto"/>
              </w:rPr>
            </w:pPr>
            <w:r>
              <w:rPr>
                <w:rFonts w:ascii="Arial" w:cs="Arial" w:eastAsia="Arial" w:hAnsi="Arial"/>
                <w:sz w:val="12"/>
                <w:szCs w:val="12"/>
                <w:color w:val="183964"/>
              </w:rPr>
              <w:t>—</w:t>
            </w:r>
          </w:p>
        </w:tc>
        <w:tc>
          <w:tcPr>
            <w:tcW w:w="860" w:type="dxa"/>
            <w:vAlign w:val="bottom"/>
          </w:tcPr>
          <w:p>
            <w:pPr>
              <w:jc w:val="right"/>
              <w:ind w:right="62"/>
              <w:spacing w:after="0"/>
              <w:rPr>
                <w:sz w:val="20"/>
                <w:szCs w:val="20"/>
                <w:color w:val="auto"/>
              </w:rPr>
            </w:pPr>
            <w:r>
              <w:rPr>
                <w:rFonts w:ascii="Arial" w:cs="Arial" w:eastAsia="Arial" w:hAnsi="Arial"/>
                <w:sz w:val="12"/>
                <w:szCs w:val="12"/>
                <w:color w:val="183964"/>
              </w:rPr>
              <w:t>—</w:t>
            </w:r>
          </w:p>
        </w:tc>
        <w:tc>
          <w:tcPr>
            <w:tcW w:w="700" w:type="dxa"/>
            <w:vAlign w:val="bottom"/>
          </w:tcPr>
          <w:p>
            <w:pPr>
              <w:jc w:val="right"/>
              <w:ind w:right="22"/>
              <w:spacing w:after="0"/>
              <w:rPr>
                <w:sz w:val="20"/>
                <w:szCs w:val="20"/>
                <w:color w:val="auto"/>
              </w:rPr>
            </w:pPr>
            <w:r>
              <w:rPr>
                <w:rFonts w:ascii="Arial" w:cs="Arial" w:eastAsia="Arial" w:hAnsi="Arial"/>
                <w:sz w:val="12"/>
                <w:szCs w:val="12"/>
                <w:color w:val="183964"/>
              </w:rPr>
              <w:t>—</w:t>
            </w:r>
          </w:p>
        </w:tc>
        <w:tc>
          <w:tcPr>
            <w:tcW w:w="860" w:type="dxa"/>
            <w:vAlign w:val="bottom"/>
          </w:tcPr>
          <w:p>
            <w:pPr>
              <w:jc w:val="right"/>
              <w:ind w:right="42"/>
              <w:spacing w:after="0"/>
              <w:rPr>
                <w:sz w:val="20"/>
                <w:szCs w:val="20"/>
                <w:color w:val="auto"/>
              </w:rPr>
            </w:pPr>
            <w:r>
              <w:rPr>
                <w:rFonts w:ascii="Arial" w:cs="Arial" w:eastAsia="Arial" w:hAnsi="Arial"/>
                <w:sz w:val="12"/>
                <w:szCs w:val="12"/>
                <w:color w:val="183964"/>
              </w:rPr>
              <w:t>(9,085)</w:t>
            </w:r>
          </w:p>
        </w:tc>
        <w:tc>
          <w:tcPr>
            <w:tcW w:w="620" w:type="dxa"/>
            <w:vAlign w:val="bottom"/>
          </w:tcPr>
          <w:p>
            <w:pPr>
              <w:jc w:val="right"/>
              <w:spacing w:after="0"/>
              <w:rPr>
                <w:sz w:val="20"/>
                <w:szCs w:val="20"/>
                <w:color w:val="auto"/>
              </w:rPr>
            </w:pPr>
            <w:r>
              <w:rPr>
                <w:rFonts w:ascii="Arial" w:cs="Arial" w:eastAsia="Arial" w:hAnsi="Arial"/>
                <w:sz w:val="12"/>
                <w:szCs w:val="12"/>
                <w:color w:val="183964"/>
              </w:rPr>
              <w:t>(9,085)</w:t>
            </w:r>
          </w:p>
        </w:tc>
        <w:tc>
          <w:tcPr>
            <w:tcW w:w="0" w:type="dxa"/>
            <w:vAlign w:val="bottom"/>
          </w:tcPr>
          <w:p>
            <w:pPr>
              <w:spacing w:after="0"/>
              <w:rPr>
                <w:sz w:val="1"/>
                <w:szCs w:val="1"/>
                <w:color w:val="auto"/>
              </w:rPr>
            </w:pPr>
          </w:p>
        </w:tc>
      </w:tr>
      <w:tr>
        <w:trPr>
          <w:trHeight w:val="189"/>
        </w:trPr>
        <w:tc>
          <w:tcPr>
            <w:tcW w:w="1500" w:type="dxa"/>
            <w:vAlign w:val="bottom"/>
          </w:tcPr>
          <w:p>
            <w:pPr>
              <w:ind w:left="20"/>
              <w:spacing w:after="0"/>
              <w:rPr>
                <w:sz w:val="20"/>
                <w:szCs w:val="20"/>
                <w:color w:val="auto"/>
              </w:rPr>
            </w:pPr>
            <w:r>
              <w:rPr>
                <w:rFonts w:ascii="Arial" w:cs="Arial" w:eastAsia="Arial" w:hAnsi="Arial"/>
                <w:sz w:val="12"/>
                <w:szCs w:val="12"/>
                <w:color w:val="auto"/>
              </w:rPr>
              <w:t>Exercise of stock options</w:t>
            </w:r>
          </w:p>
        </w:tc>
        <w:tc>
          <w:tcPr>
            <w:tcW w:w="440" w:type="dxa"/>
            <w:vAlign w:val="bottom"/>
          </w:tcPr>
          <w:p>
            <w:pPr>
              <w:jc w:val="right"/>
              <w:spacing w:after="0"/>
              <w:rPr>
                <w:sz w:val="20"/>
                <w:szCs w:val="20"/>
                <w:color w:val="auto"/>
              </w:rPr>
            </w:pPr>
            <w:r>
              <w:rPr>
                <w:rFonts w:ascii="Arial" w:cs="Arial" w:eastAsia="Arial" w:hAnsi="Arial"/>
                <w:sz w:val="12"/>
                <w:szCs w:val="12"/>
                <w:color w:val="183964"/>
              </w:rPr>
              <w:t>7</w:t>
            </w:r>
          </w:p>
        </w:tc>
        <w:tc>
          <w:tcPr>
            <w:tcW w:w="1060" w:type="dxa"/>
            <w:vAlign w:val="bottom"/>
          </w:tcPr>
          <w:p>
            <w:pPr>
              <w:jc w:val="right"/>
              <w:ind w:right="102"/>
              <w:spacing w:after="0"/>
              <w:rPr>
                <w:sz w:val="20"/>
                <w:szCs w:val="20"/>
                <w:color w:val="auto"/>
              </w:rPr>
            </w:pPr>
            <w:r>
              <w:rPr>
                <w:rFonts w:ascii="Arial" w:cs="Arial" w:eastAsia="Arial" w:hAnsi="Arial"/>
                <w:sz w:val="12"/>
                <w:szCs w:val="12"/>
                <w:color w:val="183964"/>
              </w:rPr>
              <w:t>306,506</w:t>
            </w:r>
          </w:p>
        </w:tc>
        <w:tc>
          <w:tcPr>
            <w:tcW w:w="540" w:type="dxa"/>
            <w:vAlign w:val="bottom"/>
          </w:tcPr>
          <w:p>
            <w:pPr>
              <w:jc w:val="right"/>
              <w:ind w:right="2"/>
              <w:spacing w:after="0"/>
              <w:rPr>
                <w:sz w:val="20"/>
                <w:szCs w:val="20"/>
                <w:color w:val="auto"/>
              </w:rPr>
            </w:pPr>
            <w:r>
              <w:rPr>
                <w:rFonts w:ascii="Arial" w:cs="Arial" w:eastAsia="Arial" w:hAnsi="Arial"/>
                <w:sz w:val="12"/>
                <w:szCs w:val="12"/>
                <w:color w:val="183964"/>
              </w:rPr>
              <w:t>6</w:t>
            </w:r>
          </w:p>
        </w:tc>
        <w:tc>
          <w:tcPr>
            <w:tcW w:w="680" w:type="dxa"/>
            <w:vAlign w:val="bottom"/>
          </w:tcPr>
          <w:p>
            <w:pPr>
              <w:jc w:val="right"/>
              <w:ind w:right="2"/>
              <w:spacing w:after="0"/>
              <w:rPr>
                <w:sz w:val="20"/>
                <w:szCs w:val="20"/>
                <w:color w:val="auto"/>
              </w:rPr>
            </w:pPr>
            <w:r>
              <w:rPr>
                <w:rFonts w:ascii="Arial" w:cs="Arial" w:eastAsia="Arial" w:hAnsi="Arial"/>
                <w:sz w:val="12"/>
                <w:szCs w:val="12"/>
                <w:color w:val="183964"/>
              </w:rPr>
              <w:t>638</w:t>
            </w:r>
          </w:p>
        </w:tc>
        <w:tc>
          <w:tcPr>
            <w:tcW w:w="1020" w:type="dxa"/>
            <w:vAlign w:val="bottom"/>
          </w:tcPr>
          <w:p>
            <w:pPr>
              <w:jc w:val="right"/>
              <w:ind w:right="82"/>
              <w:spacing w:after="0"/>
              <w:rPr>
                <w:sz w:val="20"/>
                <w:szCs w:val="20"/>
                <w:color w:val="auto"/>
              </w:rPr>
            </w:pPr>
            <w:r>
              <w:rPr>
                <w:rFonts w:ascii="Arial" w:cs="Arial" w:eastAsia="Arial" w:hAnsi="Arial"/>
                <w:sz w:val="12"/>
                <w:szCs w:val="12"/>
                <w:color w:val="183964"/>
              </w:rPr>
              <w:t>149,226</w:t>
            </w:r>
          </w:p>
        </w:tc>
        <w:tc>
          <w:tcPr>
            <w:tcW w:w="560" w:type="dxa"/>
            <w:vAlign w:val="bottom"/>
          </w:tcPr>
          <w:p>
            <w:pPr>
              <w:jc w:val="right"/>
              <w:ind w:right="2"/>
              <w:spacing w:after="0"/>
              <w:rPr>
                <w:sz w:val="20"/>
                <w:szCs w:val="20"/>
                <w:color w:val="auto"/>
              </w:rPr>
            </w:pPr>
            <w:r>
              <w:rPr>
                <w:rFonts w:ascii="Arial" w:cs="Arial" w:eastAsia="Arial" w:hAnsi="Arial"/>
                <w:sz w:val="12"/>
                <w:szCs w:val="12"/>
                <w:color w:val="183964"/>
              </w:rPr>
              <w:t>327</w:t>
            </w:r>
          </w:p>
        </w:tc>
        <w:tc>
          <w:tcPr>
            <w:tcW w:w="840" w:type="dxa"/>
            <w:vAlign w:val="bottom"/>
          </w:tcPr>
          <w:p>
            <w:pPr>
              <w:jc w:val="right"/>
              <w:ind w:right="122"/>
              <w:spacing w:after="0"/>
              <w:rPr>
                <w:sz w:val="20"/>
                <w:szCs w:val="20"/>
                <w:color w:val="auto"/>
              </w:rPr>
            </w:pPr>
            <w:r>
              <w:rPr>
                <w:rFonts w:ascii="Arial" w:cs="Arial" w:eastAsia="Arial" w:hAnsi="Arial"/>
                <w:sz w:val="12"/>
                <w:szCs w:val="12"/>
                <w:color w:val="183964"/>
              </w:rPr>
              <w:t>—</w:t>
            </w:r>
          </w:p>
        </w:tc>
        <w:tc>
          <w:tcPr>
            <w:tcW w:w="760" w:type="dxa"/>
            <w:vAlign w:val="bottom"/>
          </w:tcPr>
          <w:p>
            <w:pPr>
              <w:jc w:val="right"/>
              <w:ind w:right="102"/>
              <w:spacing w:after="0"/>
              <w:rPr>
                <w:sz w:val="20"/>
                <w:szCs w:val="20"/>
                <w:color w:val="auto"/>
              </w:rPr>
            </w:pPr>
            <w:r>
              <w:rPr>
                <w:rFonts w:ascii="Arial" w:cs="Arial" w:eastAsia="Arial" w:hAnsi="Arial"/>
                <w:sz w:val="12"/>
                <w:szCs w:val="12"/>
                <w:color w:val="183964"/>
              </w:rPr>
              <w:t>—</w:t>
            </w:r>
          </w:p>
        </w:tc>
        <w:tc>
          <w:tcPr>
            <w:tcW w:w="680" w:type="dxa"/>
            <w:vAlign w:val="bottom"/>
          </w:tcPr>
          <w:p>
            <w:pPr>
              <w:jc w:val="right"/>
              <w:ind w:right="82"/>
              <w:spacing w:after="0"/>
              <w:rPr>
                <w:sz w:val="20"/>
                <w:szCs w:val="20"/>
                <w:color w:val="auto"/>
              </w:rPr>
            </w:pPr>
            <w:r>
              <w:rPr>
                <w:rFonts w:ascii="Arial" w:cs="Arial" w:eastAsia="Arial" w:hAnsi="Arial"/>
                <w:sz w:val="12"/>
                <w:szCs w:val="12"/>
                <w:color w:val="183964"/>
              </w:rPr>
              <w:t>(10)</w:t>
            </w:r>
          </w:p>
        </w:tc>
        <w:tc>
          <w:tcPr>
            <w:tcW w:w="860" w:type="dxa"/>
            <w:vAlign w:val="bottom"/>
          </w:tcPr>
          <w:p>
            <w:pPr>
              <w:jc w:val="right"/>
              <w:ind w:right="62"/>
              <w:spacing w:after="0"/>
              <w:rPr>
                <w:sz w:val="20"/>
                <w:szCs w:val="20"/>
                <w:color w:val="auto"/>
              </w:rPr>
            </w:pPr>
            <w:r>
              <w:rPr>
                <w:rFonts w:ascii="Arial" w:cs="Arial" w:eastAsia="Arial" w:hAnsi="Arial"/>
                <w:sz w:val="12"/>
                <w:szCs w:val="12"/>
                <w:color w:val="183964"/>
              </w:rPr>
              <w:t>—</w:t>
            </w:r>
          </w:p>
        </w:tc>
        <w:tc>
          <w:tcPr>
            <w:tcW w:w="700" w:type="dxa"/>
            <w:vAlign w:val="bottom"/>
          </w:tcPr>
          <w:p>
            <w:pPr>
              <w:jc w:val="right"/>
              <w:ind w:right="22"/>
              <w:spacing w:after="0"/>
              <w:rPr>
                <w:sz w:val="20"/>
                <w:szCs w:val="20"/>
                <w:color w:val="auto"/>
              </w:rPr>
            </w:pPr>
            <w:r>
              <w:rPr>
                <w:rFonts w:ascii="Arial" w:cs="Arial" w:eastAsia="Arial" w:hAnsi="Arial"/>
                <w:sz w:val="12"/>
                <w:szCs w:val="12"/>
                <w:color w:val="183964"/>
              </w:rPr>
              <w:t>961</w:t>
            </w:r>
          </w:p>
        </w:tc>
        <w:tc>
          <w:tcPr>
            <w:tcW w:w="860" w:type="dxa"/>
            <w:vAlign w:val="bottom"/>
          </w:tcPr>
          <w:p>
            <w:pPr>
              <w:jc w:val="right"/>
              <w:ind w:right="62"/>
              <w:spacing w:after="0"/>
              <w:rPr>
                <w:sz w:val="20"/>
                <w:szCs w:val="20"/>
                <w:color w:val="auto"/>
              </w:rPr>
            </w:pPr>
            <w:r>
              <w:rPr>
                <w:rFonts w:ascii="Arial" w:cs="Arial" w:eastAsia="Arial" w:hAnsi="Arial"/>
                <w:sz w:val="12"/>
                <w:szCs w:val="12"/>
                <w:color w:val="183964"/>
              </w:rPr>
              <w:t>—</w:t>
            </w:r>
          </w:p>
        </w:tc>
        <w:tc>
          <w:tcPr>
            <w:tcW w:w="620" w:type="dxa"/>
            <w:vAlign w:val="bottom"/>
          </w:tcPr>
          <w:p>
            <w:pPr>
              <w:jc w:val="right"/>
              <w:ind w:right="2"/>
              <w:spacing w:after="0"/>
              <w:rPr>
                <w:sz w:val="20"/>
                <w:szCs w:val="20"/>
                <w:color w:val="auto"/>
              </w:rPr>
            </w:pPr>
            <w:r>
              <w:rPr>
                <w:rFonts w:ascii="Arial" w:cs="Arial" w:eastAsia="Arial" w:hAnsi="Arial"/>
                <w:sz w:val="12"/>
                <w:szCs w:val="12"/>
                <w:color w:val="183964"/>
              </w:rPr>
              <w:t>961</w:t>
            </w:r>
          </w:p>
        </w:tc>
        <w:tc>
          <w:tcPr>
            <w:tcW w:w="0" w:type="dxa"/>
            <w:vAlign w:val="bottom"/>
          </w:tcPr>
          <w:p>
            <w:pPr>
              <w:spacing w:after="0"/>
              <w:rPr>
                <w:sz w:val="1"/>
                <w:szCs w:val="1"/>
                <w:color w:val="auto"/>
              </w:rPr>
            </w:pPr>
          </w:p>
        </w:tc>
      </w:tr>
      <w:tr>
        <w:trPr>
          <w:trHeight w:val="189"/>
        </w:trPr>
        <w:tc>
          <w:tcPr>
            <w:tcW w:w="1500" w:type="dxa"/>
            <w:vAlign w:val="bottom"/>
          </w:tcPr>
          <w:p>
            <w:pPr>
              <w:ind w:left="20"/>
              <w:spacing w:after="0"/>
              <w:rPr>
                <w:sz w:val="20"/>
                <w:szCs w:val="20"/>
                <w:color w:val="auto"/>
              </w:rPr>
            </w:pPr>
            <w:r>
              <w:rPr>
                <w:rFonts w:ascii="Arial" w:cs="Arial" w:eastAsia="Arial" w:hAnsi="Arial"/>
                <w:sz w:val="12"/>
                <w:szCs w:val="12"/>
                <w:color w:val="auto"/>
                <w:w w:val="99"/>
              </w:rPr>
              <w:t>Purchase of Treasury stock</w:t>
            </w:r>
          </w:p>
        </w:tc>
        <w:tc>
          <w:tcPr>
            <w:tcW w:w="440" w:type="dxa"/>
            <w:vAlign w:val="bottom"/>
          </w:tcPr>
          <w:p>
            <w:pPr>
              <w:jc w:val="right"/>
              <w:spacing w:after="0"/>
              <w:rPr>
                <w:sz w:val="20"/>
                <w:szCs w:val="20"/>
                <w:color w:val="auto"/>
              </w:rPr>
            </w:pPr>
            <w:r>
              <w:rPr>
                <w:rFonts w:ascii="Arial" w:cs="Arial" w:eastAsia="Arial" w:hAnsi="Arial"/>
                <w:sz w:val="12"/>
                <w:szCs w:val="12"/>
                <w:color w:val="183964"/>
              </w:rPr>
              <w:t>10</w:t>
            </w:r>
          </w:p>
        </w:tc>
        <w:tc>
          <w:tcPr>
            <w:tcW w:w="1060" w:type="dxa"/>
            <w:vAlign w:val="bottom"/>
          </w:tcPr>
          <w:p>
            <w:pPr>
              <w:jc w:val="right"/>
              <w:ind w:right="102"/>
              <w:spacing w:after="0"/>
              <w:rPr>
                <w:sz w:val="20"/>
                <w:szCs w:val="20"/>
                <w:color w:val="auto"/>
              </w:rPr>
            </w:pPr>
            <w:r>
              <w:rPr>
                <w:rFonts w:ascii="Arial" w:cs="Arial" w:eastAsia="Arial" w:hAnsi="Arial"/>
                <w:sz w:val="12"/>
                <w:szCs w:val="12"/>
                <w:color w:val="183964"/>
              </w:rPr>
              <w:t>—</w:t>
            </w:r>
          </w:p>
        </w:tc>
        <w:tc>
          <w:tcPr>
            <w:tcW w:w="540" w:type="dxa"/>
            <w:vAlign w:val="bottom"/>
          </w:tcPr>
          <w:p>
            <w:pPr>
              <w:jc w:val="right"/>
              <w:ind w:right="2"/>
              <w:spacing w:after="0"/>
              <w:rPr>
                <w:sz w:val="20"/>
                <w:szCs w:val="20"/>
                <w:color w:val="auto"/>
              </w:rPr>
            </w:pPr>
            <w:r>
              <w:rPr>
                <w:rFonts w:ascii="Arial" w:cs="Arial" w:eastAsia="Arial" w:hAnsi="Arial"/>
                <w:sz w:val="12"/>
                <w:szCs w:val="12"/>
                <w:color w:val="183964"/>
              </w:rPr>
              <w:t>—</w:t>
            </w:r>
          </w:p>
        </w:tc>
        <w:tc>
          <w:tcPr>
            <w:tcW w:w="680" w:type="dxa"/>
            <w:vAlign w:val="bottom"/>
          </w:tcPr>
          <w:p>
            <w:pPr>
              <w:jc w:val="right"/>
              <w:ind w:right="2"/>
              <w:spacing w:after="0"/>
              <w:rPr>
                <w:sz w:val="20"/>
                <w:szCs w:val="20"/>
                <w:color w:val="auto"/>
              </w:rPr>
            </w:pPr>
            <w:r>
              <w:rPr>
                <w:rFonts w:ascii="Arial" w:cs="Arial" w:eastAsia="Arial" w:hAnsi="Arial"/>
                <w:sz w:val="12"/>
                <w:szCs w:val="12"/>
                <w:color w:val="183964"/>
              </w:rPr>
              <w:t>—</w:t>
            </w:r>
          </w:p>
        </w:tc>
        <w:tc>
          <w:tcPr>
            <w:tcW w:w="1020" w:type="dxa"/>
            <w:vAlign w:val="bottom"/>
          </w:tcPr>
          <w:p>
            <w:pPr>
              <w:jc w:val="right"/>
              <w:ind w:right="62"/>
              <w:spacing w:after="0"/>
              <w:rPr>
                <w:sz w:val="20"/>
                <w:szCs w:val="20"/>
                <w:color w:val="auto"/>
              </w:rPr>
            </w:pPr>
            <w:r>
              <w:rPr>
                <w:rFonts w:ascii="Arial" w:cs="Arial" w:eastAsia="Arial" w:hAnsi="Arial"/>
                <w:sz w:val="12"/>
                <w:szCs w:val="12"/>
                <w:color w:val="183964"/>
              </w:rPr>
              <w:t>(2,510,887)</w:t>
            </w:r>
          </w:p>
        </w:tc>
        <w:tc>
          <w:tcPr>
            <w:tcW w:w="560" w:type="dxa"/>
            <w:vAlign w:val="bottom"/>
          </w:tcPr>
          <w:p>
            <w:pPr>
              <w:jc w:val="right"/>
              <w:spacing w:after="0"/>
              <w:rPr>
                <w:sz w:val="20"/>
                <w:szCs w:val="20"/>
                <w:color w:val="auto"/>
              </w:rPr>
            </w:pPr>
            <w:r>
              <w:rPr>
                <w:rFonts w:ascii="Arial" w:cs="Arial" w:eastAsia="Arial" w:hAnsi="Arial"/>
                <w:sz w:val="12"/>
                <w:szCs w:val="12"/>
                <w:color w:val="183964"/>
              </w:rPr>
              <w:t>(7,276)</w:t>
            </w:r>
          </w:p>
        </w:tc>
        <w:tc>
          <w:tcPr>
            <w:tcW w:w="840" w:type="dxa"/>
            <w:vAlign w:val="bottom"/>
          </w:tcPr>
          <w:p>
            <w:pPr>
              <w:jc w:val="right"/>
              <w:ind w:right="122"/>
              <w:spacing w:after="0"/>
              <w:rPr>
                <w:sz w:val="20"/>
                <w:szCs w:val="20"/>
                <w:color w:val="auto"/>
              </w:rPr>
            </w:pPr>
            <w:r>
              <w:rPr>
                <w:rFonts w:ascii="Arial" w:cs="Arial" w:eastAsia="Arial" w:hAnsi="Arial"/>
                <w:sz w:val="12"/>
                <w:szCs w:val="12"/>
                <w:color w:val="183964"/>
              </w:rPr>
              <w:t>—</w:t>
            </w:r>
          </w:p>
        </w:tc>
        <w:tc>
          <w:tcPr>
            <w:tcW w:w="760" w:type="dxa"/>
            <w:vAlign w:val="bottom"/>
          </w:tcPr>
          <w:p>
            <w:pPr>
              <w:jc w:val="right"/>
              <w:ind w:right="102"/>
              <w:spacing w:after="0"/>
              <w:rPr>
                <w:sz w:val="20"/>
                <w:szCs w:val="20"/>
                <w:color w:val="auto"/>
              </w:rPr>
            </w:pPr>
            <w:r>
              <w:rPr>
                <w:rFonts w:ascii="Arial" w:cs="Arial" w:eastAsia="Arial" w:hAnsi="Arial"/>
                <w:sz w:val="12"/>
                <w:szCs w:val="12"/>
                <w:color w:val="183964"/>
              </w:rPr>
              <w:t>—</w:t>
            </w:r>
          </w:p>
        </w:tc>
        <w:tc>
          <w:tcPr>
            <w:tcW w:w="680" w:type="dxa"/>
            <w:vAlign w:val="bottom"/>
          </w:tcPr>
          <w:p>
            <w:pPr>
              <w:jc w:val="right"/>
              <w:ind w:right="102"/>
              <w:spacing w:after="0"/>
              <w:rPr>
                <w:sz w:val="20"/>
                <w:szCs w:val="20"/>
                <w:color w:val="auto"/>
              </w:rPr>
            </w:pPr>
            <w:r>
              <w:rPr>
                <w:rFonts w:ascii="Arial" w:cs="Arial" w:eastAsia="Arial" w:hAnsi="Arial"/>
                <w:sz w:val="12"/>
                <w:szCs w:val="12"/>
                <w:color w:val="183964"/>
              </w:rPr>
              <w:t>—</w:t>
            </w:r>
          </w:p>
        </w:tc>
        <w:tc>
          <w:tcPr>
            <w:tcW w:w="860" w:type="dxa"/>
            <w:vAlign w:val="bottom"/>
          </w:tcPr>
          <w:p>
            <w:pPr>
              <w:jc w:val="right"/>
              <w:ind w:right="62"/>
              <w:spacing w:after="0"/>
              <w:rPr>
                <w:sz w:val="20"/>
                <w:szCs w:val="20"/>
                <w:color w:val="auto"/>
              </w:rPr>
            </w:pPr>
            <w:r>
              <w:rPr>
                <w:rFonts w:ascii="Arial" w:cs="Arial" w:eastAsia="Arial" w:hAnsi="Arial"/>
                <w:sz w:val="12"/>
                <w:szCs w:val="12"/>
                <w:color w:val="183964"/>
              </w:rPr>
              <w:t>—</w:t>
            </w:r>
          </w:p>
        </w:tc>
        <w:tc>
          <w:tcPr>
            <w:tcW w:w="700" w:type="dxa"/>
            <w:vAlign w:val="bottom"/>
          </w:tcPr>
          <w:p>
            <w:pPr>
              <w:jc w:val="right"/>
              <w:spacing w:after="0"/>
              <w:rPr>
                <w:sz w:val="20"/>
                <w:szCs w:val="20"/>
                <w:color w:val="auto"/>
              </w:rPr>
            </w:pPr>
            <w:r>
              <w:rPr>
                <w:rFonts w:ascii="Arial" w:cs="Arial" w:eastAsia="Arial" w:hAnsi="Arial"/>
                <w:sz w:val="12"/>
                <w:szCs w:val="12"/>
                <w:color w:val="183964"/>
              </w:rPr>
              <w:t>(7,276)</w:t>
            </w:r>
          </w:p>
        </w:tc>
        <w:tc>
          <w:tcPr>
            <w:tcW w:w="860" w:type="dxa"/>
            <w:vAlign w:val="bottom"/>
          </w:tcPr>
          <w:p>
            <w:pPr>
              <w:jc w:val="right"/>
              <w:ind w:right="62"/>
              <w:spacing w:after="0"/>
              <w:rPr>
                <w:sz w:val="20"/>
                <w:szCs w:val="20"/>
                <w:color w:val="auto"/>
              </w:rPr>
            </w:pPr>
            <w:r>
              <w:rPr>
                <w:rFonts w:ascii="Arial" w:cs="Arial" w:eastAsia="Arial" w:hAnsi="Arial"/>
                <w:sz w:val="12"/>
                <w:szCs w:val="12"/>
                <w:color w:val="183964"/>
              </w:rPr>
              <w:t>—</w:t>
            </w:r>
          </w:p>
        </w:tc>
        <w:tc>
          <w:tcPr>
            <w:tcW w:w="620" w:type="dxa"/>
            <w:vAlign w:val="bottom"/>
          </w:tcPr>
          <w:p>
            <w:pPr>
              <w:jc w:val="right"/>
              <w:spacing w:after="0"/>
              <w:rPr>
                <w:sz w:val="20"/>
                <w:szCs w:val="20"/>
                <w:color w:val="auto"/>
              </w:rPr>
            </w:pPr>
            <w:r>
              <w:rPr>
                <w:rFonts w:ascii="Arial" w:cs="Arial" w:eastAsia="Arial" w:hAnsi="Arial"/>
                <w:sz w:val="12"/>
                <w:szCs w:val="12"/>
                <w:color w:val="183964"/>
              </w:rPr>
              <w:t>(7,276)</w:t>
            </w:r>
          </w:p>
        </w:tc>
        <w:tc>
          <w:tcPr>
            <w:tcW w:w="0" w:type="dxa"/>
            <w:vAlign w:val="bottom"/>
          </w:tcPr>
          <w:p>
            <w:pPr>
              <w:spacing w:after="0"/>
              <w:rPr>
                <w:sz w:val="1"/>
                <w:szCs w:val="1"/>
                <w:color w:val="auto"/>
              </w:rPr>
            </w:pPr>
          </w:p>
        </w:tc>
      </w:tr>
      <w:tr>
        <w:trPr>
          <w:trHeight w:val="172"/>
        </w:trPr>
        <w:tc>
          <w:tcPr>
            <w:tcW w:w="1500" w:type="dxa"/>
            <w:vAlign w:val="bottom"/>
          </w:tcPr>
          <w:p>
            <w:pPr>
              <w:ind w:left="20"/>
              <w:spacing w:after="0"/>
              <w:rPr>
                <w:sz w:val="20"/>
                <w:szCs w:val="20"/>
                <w:color w:val="auto"/>
              </w:rPr>
            </w:pPr>
            <w:r>
              <w:rPr>
                <w:rFonts w:ascii="Arial" w:cs="Arial" w:eastAsia="Arial" w:hAnsi="Arial"/>
                <w:sz w:val="12"/>
                <w:szCs w:val="12"/>
                <w:color w:val="auto"/>
              </w:rPr>
              <w:t>Equity-settled share-based</w:t>
            </w: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500" w:type="dxa"/>
            <w:vAlign w:val="bottom"/>
          </w:tcPr>
          <w:p>
            <w:pPr>
              <w:ind w:left="20"/>
              <w:spacing w:after="0"/>
              <w:rPr>
                <w:sz w:val="20"/>
                <w:szCs w:val="20"/>
                <w:color w:val="auto"/>
              </w:rPr>
            </w:pPr>
            <w:r>
              <w:rPr>
                <w:rFonts w:ascii="Arial" w:cs="Arial" w:eastAsia="Arial" w:hAnsi="Arial"/>
                <w:sz w:val="12"/>
                <w:szCs w:val="12"/>
                <w:color w:val="auto"/>
              </w:rPr>
              <w:t>awards</w:t>
            </w:r>
          </w:p>
        </w:tc>
        <w:tc>
          <w:tcPr>
            <w:tcW w:w="440" w:type="dxa"/>
            <w:vAlign w:val="bottom"/>
          </w:tcPr>
          <w:p>
            <w:pPr>
              <w:jc w:val="right"/>
              <w:spacing w:after="0"/>
              <w:rPr>
                <w:sz w:val="20"/>
                <w:szCs w:val="20"/>
                <w:color w:val="auto"/>
              </w:rPr>
            </w:pPr>
            <w:r>
              <w:rPr>
                <w:rFonts w:ascii="Arial" w:cs="Arial" w:eastAsia="Arial" w:hAnsi="Arial"/>
                <w:sz w:val="12"/>
                <w:szCs w:val="12"/>
                <w:color w:val="183964"/>
              </w:rPr>
              <w:t>7</w:t>
            </w:r>
          </w:p>
        </w:tc>
        <w:tc>
          <w:tcPr>
            <w:tcW w:w="1060" w:type="dxa"/>
            <w:vAlign w:val="bottom"/>
          </w:tcPr>
          <w:p>
            <w:pPr>
              <w:jc w:val="right"/>
              <w:ind w:right="102"/>
              <w:spacing w:after="0"/>
              <w:rPr>
                <w:sz w:val="20"/>
                <w:szCs w:val="20"/>
                <w:color w:val="auto"/>
              </w:rPr>
            </w:pPr>
            <w:r>
              <w:rPr>
                <w:rFonts w:ascii="Arial" w:cs="Arial" w:eastAsia="Arial" w:hAnsi="Arial"/>
                <w:sz w:val="12"/>
                <w:szCs w:val="12"/>
                <w:color w:val="183964"/>
              </w:rPr>
              <w:t>—</w:t>
            </w:r>
          </w:p>
        </w:tc>
        <w:tc>
          <w:tcPr>
            <w:tcW w:w="540" w:type="dxa"/>
            <w:vAlign w:val="bottom"/>
          </w:tcPr>
          <w:p>
            <w:pPr>
              <w:jc w:val="right"/>
              <w:ind w:right="2"/>
              <w:spacing w:after="0"/>
              <w:rPr>
                <w:sz w:val="20"/>
                <w:szCs w:val="20"/>
                <w:color w:val="auto"/>
              </w:rPr>
            </w:pPr>
            <w:r>
              <w:rPr>
                <w:rFonts w:ascii="Arial" w:cs="Arial" w:eastAsia="Arial" w:hAnsi="Arial"/>
                <w:sz w:val="12"/>
                <w:szCs w:val="12"/>
                <w:color w:val="183964"/>
              </w:rPr>
              <w:t>—</w:t>
            </w:r>
          </w:p>
        </w:tc>
        <w:tc>
          <w:tcPr>
            <w:tcW w:w="680" w:type="dxa"/>
            <w:vAlign w:val="bottom"/>
          </w:tcPr>
          <w:p>
            <w:pPr>
              <w:jc w:val="right"/>
              <w:ind w:right="2"/>
              <w:spacing w:after="0"/>
              <w:rPr>
                <w:sz w:val="20"/>
                <w:szCs w:val="20"/>
                <w:color w:val="auto"/>
              </w:rPr>
            </w:pPr>
            <w:r>
              <w:rPr>
                <w:rFonts w:ascii="Arial" w:cs="Arial" w:eastAsia="Arial" w:hAnsi="Arial"/>
                <w:sz w:val="12"/>
                <w:szCs w:val="12"/>
                <w:color w:val="183964"/>
              </w:rPr>
              <w:t>—</w:t>
            </w:r>
          </w:p>
        </w:tc>
        <w:tc>
          <w:tcPr>
            <w:tcW w:w="1020" w:type="dxa"/>
            <w:vAlign w:val="bottom"/>
          </w:tcPr>
          <w:p>
            <w:pPr>
              <w:jc w:val="right"/>
              <w:ind w:right="82"/>
              <w:spacing w:after="0"/>
              <w:rPr>
                <w:sz w:val="20"/>
                <w:szCs w:val="20"/>
                <w:color w:val="auto"/>
              </w:rPr>
            </w:pPr>
            <w:r>
              <w:rPr>
                <w:rFonts w:ascii="Arial" w:cs="Arial" w:eastAsia="Arial" w:hAnsi="Arial"/>
                <w:sz w:val="12"/>
                <w:szCs w:val="12"/>
                <w:color w:val="183964"/>
              </w:rPr>
              <w:t>—</w:t>
            </w:r>
          </w:p>
        </w:tc>
        <w:tc>
          <w:tcPr>
            <w:tcW w:w="560" w:type="dxa"/>
            <w:vAlign w:val="bottom"/>
          </w:tcPr>
          <w:p>
            <w:pPr>
              <w:jc w:val="right"/>
              <w:ind w:right="2"/>
              <w:spacing w:after="0"/>
              <w:rPr>
                <w:sz w:val="20"/>
                <w:szCs w:val="20"/>
                <w:color w:val="auto"/>
              </w:rPr>
            </w:pPr>
            <w:r>
              <w:rPr>
                <w:rFonts w:ascii="Arial" w:cs="Arial" w:eastAsia="Arial" w:hAnsi="Arial"/>
                <w:sz w:val="12"/>
                <w:szCs w:val="12"/>
                <w:color w:val="183964"/>
              </w:rPr>
              <w:t>—</w:t>
            </w:r>
          </w:p>
        </w:tc>
        <w:tc>
          <w:tcPr>
            <w:tcW w:w="840" w:type="dxa"/>
            <w:vAlign w:val="bottom"/>
          </w:tcPr>
          <w:p>
            <w:pPr>
              <w:jc w:val="right"/>
              <w:ind w:right="122"/>
              <w:spacing w:after="0"/>
              <w:rPr>
                <w:sz w:val="20"/>
                <w:szCs w:val="20"/>
                <w:color w:val="auto"/>
              </w:rPr>
            </w:pPr>
            <w:r>
              <w:rPr>
                <w:rFonts w:ascii="Arial" w:cs="Arial" w:eastAsia="Arial" w:hAnsi="Arial"/>
                <w:sz w:val="12"/>
                <w:szCs w:val="12"/>
                <w:color w:val="183964"/>
              </w:rPr>
              <w:t>—</w:t>
            </w:r>
          </w:p>
        </w:tc>
        <w:tc>
          <w:tcPr>
            <w:tcW w:w="760" w:type="dxa"/>
            <w:vAlign w:val="bottom"/>
          </w:tcPr>
          <w:p>
            <w:pPr>
              <w:jc w:val="right"/>
              <w:ind w:right="102"/>
              <w:spacing w:after="0"/>
              <w:rPr>
                <w:sz w:val="20"/>
                <w:szCs w:val="20"/>
                <w:color w:val="auto"/>
              </w:rPr>
            </w:pPr>
            <w:r>
              <w:rPr>
                <w:rFonts w:ascii="Arial" w:cs="Arial" w:eastAsia="Arial" w:hAnsi="Arial"/>
                <w:sz w:val="12"/>
                <w:szCs w:val="12"/>
                <w:color w:val="183964"/>
              </w:rPr>
              <w:t>—</w:t>
            </w:r>
          </w:p>
        </w:tc>
        <w:tc>
          <w:tcPr>
            <w:tcW w:w="680" w:type="dxa"/>
            <w:vAlign w:val="bottom"/>
          </w:tcPr>
          <w:p>
            <w:pPr>
              <w:jc w:val="right"/>
              <w:ind w:right="102"/>
              <w:spacing w:after="0"/>
              <w:rPr>
                <w:sz w:val="20"/>
                <w:szCs w:val="20"/>
                <w:color w:val="auto"/>
              </w:rPr>
            </w:pPr>
            <w:r>
              <w:rPr>
                <w:rFonts w:ascii="Arial" w:cs="Arial" w:eastAsia="Arial" w:hAnsi="Arial"/>
                <w:sz w:val="12"/>
                <w:szCs w:val="12"/>
                <w:color w:val="183964"/>
              </w:rPr>
              <w:t>1,465</w:t>
            </w:r>
          </w:p>
        </w:tc>
        <w:tc>
          <w:tcPr>
            <w:tcW w:w="860" w:type="dxa"/>
            <w:vAlign w:val="bottom"/>
          </w:tcPr>
          <w:p>
            <w:pPr>
              <w:jc w:val="right"/>
              <w:ind w:right="62"/>
              <w:spacing w:after="0"/>
              <w:rPr>
                <w:sz w:val="20"/>
                <w:szCs w:val="20"/>
                <w:color w:val="auto"/>
              </w:rPr>
            </w:pPr>
            <w:r>
              <w:rPr>
                <w:rFonts w:ascii="Arial" w:cs="Arial" w:eastAsia="Arial" w:hAnsi="Arial"/>
                <w:sz w:val="12"/>
                <w:szCs w:val="12"/>
                <w:color w:val="183964"/>
              </w:rPr>
              <w:t>—</w:t>
            </w:r>
          </w:p>
        </w:tc>
        <w:tc>
          <w:tcPr>
            <w:tcW w:w="700" w:type="dxa"/>
            <w:vAlign w:val="bottom"/>
          </w:tcPr>
          <w:p>
            <w:pPr>
              <w:jc w:val="right"/>
              <w:ind w:right="22"/>
              <w:spacing w:after="0"/>
              <w:rPr>
                <w:sz w:val="20"/>
                <w:szCs w:val="20"/>
                <w:color w:val="auto"/>
              </w:rPr>
            </w:pPr>
            <w:r>
              <w:rPr>
                <w:rFonts w:ascii="Arial" w:cs="Arial" w:eastAsia="Arial" w:hAnsi="Arial"/>
                <w:sz w:val="12"/>
                <w:szCs w:val="12"/>
                <w:color w:val="183964"/>
              </w:rPr>
              <w:t>1,465</w:t>
            </w:r>
          </w:p>
        </w:tc>
        <w:tc>
          <w:tcPr>
            <w:tcW w:w="860" w:type="dxa"/>
            <w:vAlign w:val="bottom"/>
          </w:tcPr>
          <w:p>
            <w:pPr>
              <w:jc w:val="right"/>
              <w:ind w:right="62"/>
              <w:spacing w:after="0"/>
              <w:rPr>
                <w:sz w:val="20"/>
                <w:szCs w:val="20"/>
                <w:color w:val="auto"/>
              </w:rPr>
            </w:pPr>
            <w:r>
              <w:rPr>
                <w:rFonts w:ascii="Arial" w:cs="Arial" w:eastAsia="Arial" w:hAnsi="Arial"/>
                <w:sz w:val="12"/>
                <w:szCs w:val="12"/>
                <w:color w:val="183964"/>
              </w:rPr>
              <w:t>277</w:t>
            </w:r>
          </w:p>
        </w:tc>
        <w:tc>
          <w:tcPr>
            <w:tcW w:w="620" w:type="dxa"/>
            <w:vAlign w:val="bottom"/>
          </w:tcPr>
          <w:p>
            <w:pPr>
              <w:jc w:val="right"/>
              <w:ind w:right="2"/>
              <w:spacing w:after="0"/>
              <w:rPr>
                <w:sz w:val="20"/>
                <w:szCs w:val="20"/>
                <w:color w:val="auto"/>
              </w:rPr>
            </w:pPr>
            <w:r>
              <w:rPr>
                <w:rFonts w:ascii="Arial" w:cs="Arial" w:eastAsia="Arial" w:hAnsi="Arial"/>
                <w:sz w:val="12"/>
                <w:szCs w:val="12"/>
                <w:color w:val="183964"/>
              </w:rPr>
              <w:t>1,742</w:t>
            </w:r>
          </w:p>
        </w:tc>
        <w:tc>
          <w:tcPr>
            <w:tcW w:w="0" w:type="dxa"/>
            <w:vAlign w:val="bottom"/>
          </w:tcPr>
          <w:p>
            <w:pPr>
              <w:spacing w:after="0"/>
              <w:rPr>
                <w:sz w:val="1"/>
                <w:szCs w:val="1"/>
                <w:color w:val="auto"/>
              </w:rPr>
            </w:pPr>
          </w:p>
        </w:tc>
      </w:tr>
      <w:tr>
        <w:trPr>
          <w:trHeight w:val="172"/>
        </w:trPr>
        <w:tc>
          <w:tcPr>
            <w:tcW w:w="1500" w:type="dxa"/>
            <w:vAlign w:val="bottom"/>
          </w:tcPr>
          <w:p>
            <w:pPr>
              <w:ind w:left="20"/>
              <w:spacing w:after="0"/>
              <w:rPr>
                <w:sz w:val="20"/>
                <w:szCs w:val="20"/>
                <w:color w:val="auto"/>
              </w:rPr>
            </w:pPr>
            <w:r>
              <w:rPr>
                <w:rFonts w:ascii="Arial" w:cs="Arial" w:eastAsia="Arial" w:hAnsi="Arial"/>
                <w:sz w:val="12"/>
                <w:szCs w:val="12"/>
                <w:color w:val="auto"/>
              </w:rPr>
              <w:t>Settlement of restricted</w:t>
            </w: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500" w:type="dxa"/>
            <w:vAlign w:val="bottom"/>
          </w:tcPr>
          <w:p>
            <w:pPr>
              <w:ind w:left="20"/>
              <w:spacing w:after="0"/>
              <w:rPr>
                <w:sz w:val="20"/>
                <w:szCs w:val="20"/>
                <w:color w:val="auto"/>
              </w:rPr>
            </w:pPr>
            <w:r>
              <w:rPr>
                <w:rFonts w:ascii="Arial" w:cs="Arial" w:eastAsia="Arial" w:hAnsi="Arial"/>
                <w:sz w:val="12"/>
                <w:szCs w:val="12"/>
                <w:color w:val="auto"/>
              </w:rPr>
              <w:t>stock units</w:t>
            </w:r>
          </w:p>
        </w:tc>
        <w:tc>
          <w:tcPr>
            <w:tcW w:w="440" w:type="dxa"/>
            <w:vAlign w:val="bottom"/>
          </w:tcPr>
          <w:p>
            <w:pPr>
              <w:jc w:val="right"/>
              <w:spacing w:after="0"/>
              <w:rPr>
                <w:sz w:val="20"/>
                <w:szCs w:val="20"/>
                <w:color w:val="auto"/>
              </w:rPr>
            </w:pPr>
            <w:r>
              <w:rPr>
                <w:rFonts w:ascii="Arial" w:cs="Arial" w:eastAsia="Arial" w:hAnsi="Arial"/>
                <w:sz w:val="12"/>
                <w:szCs w:val="12"/>
                <w:color w:val="183964"/>
              </w:rPr>
              <w:t>7</w:t>
            </w:r>
          </w:p>
        </w:tc>
        <w:tc>
          <w:tcPr>
            <w:tcW w:w="1060" w:type="dxa"/>
            <w:vAlign w:val="bottom"/>
          </w:tcPr>
          <w:p>
            <w:pPr>
              <w:jc w:val="right"/>
              <w:ind w:right="102"/>
              <w:spacing w:after="0"/>
              <w:rPr>
                <w:sz w:val="20"/>
                <w:szCs w:val="20"/>
                <w:color w:val="auto"/>
              </w:rPr>
            </w:pPr>
            <w:r>
              <w:rPr>
                <w:rFonts w:ascii="Arial" w:cs="Arial" w:eastAsia="Arial" w:hAnsi="Arial"/>
                <w:sz w:val="12"/>
                <w:szCs w:val="12"/>
                <w:color w:val="183964"/>
              </w:rPr>
              <w:t>—</w:t>
            </w:r>
          </w:p>
        </w:tc>
        <w:tc>
          <w:tcPr>
            <w:tcW w:w="540" w:type="dxa"/>
            <w:vAlign w:val="bottom"/>
          </w:tcPr>
          <w:p>
            <w:pPr>
              <w:jc w:val="right"/>
              <w:ind w:right="2"/>
              <w:spacing w:after="0"/>
              <w:rPr>
                <w:sz w:val="20"/>
                <w:szCs w:val="20"/>
                <w:color w:val="auto"/>
              </w:rPr>
            </w:pPr>
            <w:r>
              <w:rPr>
                <w:rFonts w:ascii="Arial" w:cs="Arial" w:eastAsia="Arial" w:hAnsi="Arial"/>
                <w:sz w:val="12"/>
                <w:szCs w:val="12"/>
                <w:color w:val="183964"/>
              </w:rPr>
              <w:t>—</w:t>
            </w:r>
          </w:p>
        </w:tc>
        <w:tc>
          <w:tcPr>
            <w:tcW w:w="680" w:type="dxa"/>
            <w:vAlign w:val="bottom"/>
          </w:tcPr>
          <w:p>
            <w:pPr>
              <w:jc w:val="right"/>
              <w:ind w:right="2"/>
              <w:spacing w:after="0"/>
              <w:rPr>
                <w:sz w:val="20"/>
                <w:szCs w:val="20"/>
                <w:color w:val="auto"/>
              </w:rPr>
            </w:pPr>
            <w:r>
              <w:rPr>
                <w:rFonts w:ascii="Arial" w:cs="Arial" w:eastAsia="Arial" w:hAnsi="Arial"/>
                <w:sz w:val="12"/>
                <w:szCs w:val="12"/>
                <w:color w:val="183964"/>
              </w:rPr>
              <w:t>—</w:t>
            </w:r>
          </w:p>
        </w:tc>
        <w:tc>
          <w:tcPr>
            <w:tcW w:w="1020" w:type="dxa"/>
            <w:vAlign w:val="bottom"/>
          </w:tcPr>
          <w:p>
            <w:pPr>
              <w:jc w:val="right"/>
              <w:ind w:right="82"/>
              <w:spacing w:after="0"/>
              <w:rPr>
                <w:sz w:val="20"/>
                <w:szCs w:val="20"/>
                <w:color w:val="auto"/>
              </w:rPr>
            </w:pPr>
            <w:r>
              <w:rPr>
                <w:rFonts w:ascii="Arial" w:cs="Arial" w:eastAsia="Arial" w:hAnsi="Arial"/>
                <w:sz w:val="12"/>
                <w:szCs w:val="12"/>
                <w:color w:val="183964"/>
              </w:rPr>
              <w:t>161,678</w:t>
            </w:r>
          </w:p>
        </w:tc>
        <w:tc>
          <w:tcPr>
            <w:tcW w:w="560" w:type="dxa"/>
            <w:vAlign w:val="bottom"/>
          </w:tcPr>
          <w:p>
            <w:pPr>
              <w:jc w:val="right"/>
              <w:ind w:right="2"/>
              <w:spacing w:after="0"/>
              <w:rPr>
                <w:sz w:val="20"/>
                <w:szCs w:val="20"/>
                <w:color w:val="auto"/>
              </w:rPr>
            </w:pPr>
            <w:r>
              <w:rPr>
                <w:rFonts w:ascii="Arial" w:cs="Arial" w:eastAsia="Arial" w:hAnsi="Arial"/>
                <w:sz w:val="12"/>
                <w:szCs w:val="12"/>
                <w:color w:val="183964"/>
              </w:rPr>
              <w:t>337</w:t>
            </w:r>
          </w:p>
        </w:tc>
        <w:tc>
          <w:tcPr>
            <w:tcW w:w="840" w:type="dxa"/>
            <w:vAlign w:val="bottom"/>
          </w:tcPr>
          <w:p>
            <w:pPr>
              <w:jc w:val="right"/>
              <w:ind w:right="122"/>
              <w:spacing w:after="0"/>
              <w:rPr>
                <w:sz w:val="20"/>
                <w:szCs w:val="20"/>
                <w:color w:val="auto"/>
              </w:rPr>
            </w:pPr>
            <w:r>
              <w:rPr>
                <w:rFonts w:ascii="Arial" w:cs="Arial" w:eastAsia="Arial" w:hAnsi="Arial"/>
                <w:sz w:val="12"/>
                <w:szCs w:val="12"/>
                <w:color w:val="183964"/>
              </w:rPr>
              <w:t>—</w:t>
            </w:r>
          </w:p>
        </w:tc>
        <w:tc>
          <w:tcPr>
            <w:tcW w:w="760" w:type="dxa"/>
            <w:vAlign w:val="bottom"/>
          </w:tcPr>
          <w:p>
            <w:pPr>
              <w:jc w:val="right"/>
              <w:ind w:right="102"/>
              <w:spacing w:after="0"/>
              <w:rPr>
                <w:sz w:val="20"/>
                <w:szCs w:val="20"/>
                <w:color w:val="auto"/>
              </w:rPr>
            </w:pPr>
            <w:r>
              <w:rPr>
                <w:rFonts w:ascii="Arial" w:cs="Arial" w:eastAsia="Arial" w:hAnsi="Arial"/>
                <w:sz w:val="12"/>
                <w:szCs w:val="12"/>
                <w:color w:val="183964"/>
              </w:rPr>
              <w:t>—</w:t>
            </w:r>
          </w:p>
        </w:tc>
        <w:tc>
          <w:tcPr>
            <w:tcW w:w="680" w:type="dxa"/>
            <w:vAlign w:val="bottom"/>
          </w:tcPr>
          <w:p>
            <w:pPr>
              <w:jc w:val="right"/>
              <w:ind w:right="102"/>
              <w:spacing w:after="0"/>
              <w:rPr>
                <w:sz w:val="20"/>
                <w:szCs w:val="20"/>
                <w:color w:val="auto"/>
              </w:rPr>
            </w:pPr>
            <w:r>
              <w:rPr>
                <w:rFonts w:ascii="Arial" w:cs="Arial" w:eastAsia="Arial" w:hAnsi="Arial"/>
                <w:sz w:val="12"/>
                <w:szCs w:val="12"/>
                <w:color w:val="183964"/>
              </w:rPr>
              <w:t>87</w:t>
            </w:r>
          </w:p>
        </w:tc>
        <w:tc>
          <w:tcPr>
            <w:tcW w:w="860" w:type="dxa"/>
            <w:vAlign w:val="bottom"/>
          </w:tcPr>
          <w:p>
            <w:pPr>
              <w:jc w:val="right"/>
              <w:ind w:right="62"/>
              <w:spacing w:after="0"/>
              <w:rPr>
                <w:sz w:val="20"/>
                <w:szCs w:val="20"/>
                <w:color w:val="auto"/>
              </w:rPr>
            </w:pPr>
            <w:r>
              <w:rPr>
                <w:rFonts w:ascii="Arial" w:cs="Arial" w:eastAsia="Arial" w:hAnsi="Arial"/>
                <w:sz w:val="12"/>
                <w:szCs w:val="12"/>
                <w:color w:val="183964"/>
              </w:rPr>
              <w:t>—</w:t>
            </w:r>
          </w:p>
        </w:tc>
        <w:tc>
          <w:tcPr>
            <w:tcW w:w="700" w:type="dxa"/>
            <w:vAlign w:val="bottom"/>
          </w:tcPr>
          <w:p>
            <w:pPr>
              <w:jc w:val="right"/>
              <w:ind w:right="22"/>
              <w:spacing w:after="0"/>
              <w:rPr>
                <w:sz w:val="20"/>
                <w:szCs w:val="20"/>
                <w:color w:val="auto"/>
              </w:rPr>
            </w:pPr>
            <w:r>
              <w:rPr>
                <w:rFonts w:ascii="Arial" w:cs="Arial" w:eastAsia="Arial" w:hAnsi="Arial"/>
                <w:sz w:val="12"/>
                <w:szCs w:val="12"/>
                <w:color w:val="183964"/>
              </w:rPr>
              <w:t>424</w:t>
            </w:r>
          </w:p>
        </w:tc>
        <w:tc>
          <w:tcPr>
            <w:tcW w:w="860" w:type="dxa"/>
            <w:vAlign w:val="bottom"/>
          </w:tcPr>
          <w:p>
            <w:pPr>
              <w:jc w:val="right"/>
              <w:ind w:right="62"/>
              <w:spacing w:after="0"/>
              <w:rPr>
                <w:sz w:val="20"/>
                <w:szCs w:val="20"/>
                <w:color w:val="auto"/>
              </w:rPr>
            </w:pPr>
            <w:r>
              <w:rPr>
                <w:rFonts w:ascii="Arial" w:cs="Arial" w:eastAsia="Arial" w:hAnsi="Arial"/>
                <w:sz w:val="12"/>
                <w:szCs w:val="12"/>
                <w:color w:val="183964"/>
              </w:rPr>
              <w:t>—</w:t>
            </w:r>
          </w:p>
        </w:tc>
        <w:tc>
          <w:tcPr>
            <w:tcW w:w="620" w:type="dxa"/>
            <w:vAlign w:val="bottom"/>
          </w:tcPr>
          <w:p>
            <w:pPr>
              <w:jc w:val="right"/>
              <w:ind w:right="2"/>
              <w:spacing w:after="0"/>
              <w:rPr>
                <w:sz w:val="20"/>
                <w:szCs w:val="20"/>
                <w:color w:val="auto"/>
              </w:rPr>
            </w:pPr>
            <w:r>
              <w:rPr>
                <w:rFonts w:ascii="Arial" w:cs="Arial" w:eastAsia="Arial" w:hAnsi="Arial"/>
                <w:sz w:val="12"/>
                <w:szCs w:val="12"/>
                <w:color w:val="183964"/>
              </w:rPr>
              <w:t>424</w:t>
            </w:r>
          </w:p>
        </w:tc>
        <w:tc>
          <w:tcPr>
            <w:tcW w:w="0" w:type="dxa"/>
            <w:vAlign w:val="bottom"/>
          </w:tcPr>
          <w:p>
            <w:pPr>
              <w:spacing w:after="0"/>
              <w:rPr>
                <w:sz w:val="1"/>
                <w:szCs w:val="1"/>
                <w:color w:val="auto"/>
              </w:rPr>
            </w:pPr>
          </w:p>
        </w:tc>
      </w:tr>
      <w:tr>
        <w:trPr>
          <w:trHeight w:val="172"/>
        </w:trPr>
        <w:tc>
          <w:tcPr>
            <w:tcW w:w="1500" w:type="dxa"/>
            <w:vAlign w:val="bottom"/>
          </w:tcPr>
          <w:p>
            <w:pPr>
              <w:ind w:left="20"/>
              <w:spacing w:after="0"/>
              <w:rPr>
                <w:sz w:val="20"/>
                <w:szCs w:val="20"/>
                <w:color w:val="auto"/>
              </w:rPr>
            </w:pPr>
            <w:r>
              <w:rPr>
                <w:rFonts w:ascii="Arial" w:cs="Arial" w:eastAsia="Arial" w:hAnsi="Arial"/>
                <w:sz w:val="12"/>
                <w:szCs w:val="12"/>
                <w:color w:val="auto"/>
              </w:rPr>
              <w:t>Expiration of share options</w:t>
            </w: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500" w:type="dxa"/>
            <w:vAlign w:val="bottom"/>
          </w:tcPr>
          <w:p>
            <w:pPr>
              <w:ind w:left="20"/>
              <w:spacing w:after="0"/>
              <w:rPr>
                <w:sz w:val="20"/>
                <w:szCs w:val="20"/>
                <w:color w:val="auto"/>
              </w:rPr>
            </w:pPr>
            <w:r>
              <w:rPr>
                <w:rFonts w:ascii="Arial" w:cs="Arial" w:eastAsia="Arial" w:hAnsi="Arial"/>
                <w:sz w:val="12"/>
                <w:szCs w:val="12"/>
                <w:color w:val="auto"/>
              </w:rPr>
              <w:t>in subsidiary</w:t>
            </w:r>
          </w:p>
        </w:tc>
        <w:tc>
          <w:tcPr>
            <w:tcW w:w="440" w:type="dxa"/>
            <w:vAlign w:val="bottom"/>
          </w:tcPr>
          <w:p>
            <w:pPr>
              <w:spacing w:after="0"/>
              <w:rPr>
                <w:sz w:val="14"/>
                <w:szCs w:val="14"/>
                <w:color w:val="auto"/>
              </w:rPr>
            </w:pPr>
          </w:p>
        </w:tc>
        <w:tc>
          <w:tcPr>
            <w:tcW w:w="1060" w:type="dxa"/>
            <w:vAlign w:val="bottom"/>
          </w:tcPr>
          <w:p>
            <w:pPr>
              <w:jc w:val="right"/>
              <w:ind w:right="102"/>
              <w:spacing w:after="0"/>
              <w:rPr>
                <w:sz w:val="20"/>
                <w:szCs w:val="20"/>
                <w:color w:val="auto"/>
              </w:rPr>
            </w:pPr>
            <w:r>
              <w:rPr>
                <w:rFonts w:ascii="Arial" w:cs="Arial" w:eastAsia="Arial" w:hAnsi="Arial"/>
                <w:sz w:val="12"/>
                <w:szCs w:val="12"/>
                <w:color w:val="183964"/>
              </w:rPr>
              <w:t>—</w:t>
            </w:r>
          </w:p>
        </w:tc>
        <w:tc>
          <w:tcPr>
            <w:tcW w:w="540" w:type="dxa"/>
            <w:vAlign w:val="bottom"/>
          </w:tcPr>
          <w:p>
            <w:pPr>
              <w:jc w:val="right"/>
              <w:ind w:right="2"/>
              <w:spacing w:after="0"/>
              <w:rPr>
                <w:sz w:val="20"/>
                <w:szCs w:val="20"/>
                <w:color w:val="auto"/>
              </w:rPr>
            </w:pPr>
            <w:r>
              <w:rPr>
                <w:rFonts w:ascii="Arial" w:cs="Arial" w:eastAsia="Arial" w:hAnsi="Arial"/>
                <w:sz w:val="12"/>
                <w:szCs w:val="12"/>
                <w:color w:val="183964"/>
              </w:rPr>
              <w:t>—</w:t>
            </w:r>
          </w:p>
        </w:tc>
        <w:tc>
          <w:tcPr>
            <w:tcW w:w="680" w:type="dxa"/>
            <w:vAlign w:val="bottom"/>
          </w:tcPr>
          <w:p>
            <w:pPr>
              <w:jc w:val="right"/>
              <w:ind w:right="2"/>
              <w:spacing w:after="0"/>
              <w:rPr>
                <w:sz w:val="20"/>
                <w:szCs w:val="20"/>
                <w:color w:val="auto"/>
              </w:rPr>
            </w:pPr>
            <w:r>
              <w:rPr>
                <w:rFonts w:ascii="Arial" w:cs="Arial" w:eastAsia="Arial" w:hAnsi="Arial"/>
                <w:sz w:val="12"/>
                <w:szCs w:val="12"/>
                <w:color w:val="183964"/>
              </w:rPr>
              <w:t>—</w:t>
            </w:r>
          </w:p>
        </w:tc>
        <w:tc>
          <w:tcPr>
            <w:tcW w:w="1020" w:type="dxa"/>
            <w:vAlign w:val="bottom"/>
          </w:tcPr>
          <w:p>
            <w:pPr>
              <w:jc w:val="right"/>
              <w:ind w:right="82"/>
              <w:spacing w:after="0"/>
              <w:rPr>
                <w:sz w:val="20"/>
                <w:szCs w:val="20"/>
                <w:color w:val="auto"/>
              </w:rPr>
            </w:pPr>
            <w:r>
              <w:rPr>
                <w:rFonts w:ascii="Arial" w:cs="Arial" w:eastAsia="Arial" w:hAnsi="Arial"/>
                <w:sz w:val="12"/>
                <w:szCs w:val="12"/>
                <w:color w:val="183964"/>
              </w:rPr>
              <w:t>—</w:t>
            </w:r>
          </w:p>
        </w:tc>
        <w:tc>
          <w:tcPr>
            <w:tcW w:w="560" w:type="dxa"/>
            <w:vAlign w:val="bottom"/>
          </w:tcPr>
          <w:p>
            <w:pPr>
              <w:jc w:val="right"/>
              <w:ind w:right="2"/>
              <w:spacing w:after="0"/>
              <w:rPr>
                <w:sz w:val="20"/>
                <w:szCs w:val="20"/>
                <w:color w:val="auto"/>
              </w:rPr>
            </w:pPr>
            <w:r>
              <w:rPr>
                <w:rFonts w:ascii="Arial" w:cs="Arial" w:eastAsia="Arial" w:hAnsi="Arial"/>
                <w:sz w:val="12"/>
                <w:szCs w:val="12"/>
                <w:color w:val="183964"/>
              </w:rPr>
              <w:t>—</w:t>
            </w:r>
          </w:p>
        </w:tc>
        <w:tc>
          <w:tcPr>
            <w:tcW w:w="840" w:type="dxa"/>
            <w:vAlign w:val="bottom"/>
          </w:tcPr>
          <w:p>
            <w:pPr>
              <w:jc w:val="right"/>
              <w:ind w:right="122"/>
              <w:spacing w:after="0"/>
              <w:rPr>
                <w:sz w:val="20"/>
                <w:szCs w:val="20"/>
                <w:color w:val="auto"/>
              </w:rPr>
            </w:pPr>
            <w:r>
              <w:rPr>
                <w:rFonts w:ascii="Arial" w:cs="Arial" w:eastAsia="Arial" w:hAnsi="Arial"/>
                <w:sz w:val="12"/>
                <w:szCs w:val="12"/>
                <w:color w:val="183964"/>
              </w:rPr>
              <w:t>—</w:t>
            </w:r>
          </w:p>
        </w:tc>
        <w:tc>
          <w:tcPr>
            <w:tcW w:w="760" w:type="dxa"/>
            <w:vAlign w:val="bottom"/>
          </w:tcPr>
          <w:p>
            <w:pPr>
              <w:jc w:val="right"/>
              <w:ind w:right="102"/>
              <w:spacing w:after="0"/>
              <w:rPr>
                <w:sz w:val="20"/>
                <w:szCs w:val="20"/>
                <w:color w:val="auto"/>
              </w:rPr>
            </w:pPr>
            <w:r>
              <w:rPr>
                <w:rFonts w:ascii="Arial" w:cs="Arial" w:eastAsia="Arial" w:hAnsi="Arial"/>
                <w:sz w:val="12"/>
                <w:szCs w:val="12"/>
                <w:color w:val="183964"/>
              </w:rPr>
              <w:t>—</w:t>
            </w:r>
          </w:p>
        </w:tc>
        <w:tc>
          <w:tcPr>
            <w:tcW w:w="680" w:type="dxa"/>
            <w:vAlign w:val="bottom"/>
          </w:tcPr>
          <w:p>
            <w:pPr>
              <w:jc w:val="right"/>
              <w:ind w:right="102"/>
              <w:spacing w:after="0"/>
              <w:rPr>
                <w:sz w:val="20"/>
                <w:szCs w:val="20"/>
                <w:color w:val="auto"/>
              </w:rPr>
            </w:pPr>
            <w:r>
              <w:rPr>
                <w:rFonts w:ascii="Arial" w:cs="Arial" w:eastAsia="Arial" w:hAnsi="Arial"/>
                <w:sz w:val="12"/>
                <w:szCs w:val="12"/>
                <w:color w:val="183964"/>
              </w:rPr>
              <w:t>786</w:t>
            </w:r>
          </w:p>
        </w:tc>
        <w:tc>
          <w:tcPr>
            <w:tcW w:w="860" w:type="dxa"/>
            <w:vAlign w:val="bottom"/>
          </w:tcPr>
          <w:p>
            <w:pPr>
              <w:jc w:val="right"/>
              <w:ind w:right="62"/>
              <w:spacing w:after="0"/>
              <w:rPr>
                <w:sz w:val="20"/>
                <w:szCs w:val="20"/>
                <w:color w:val="auto"/>
              </w:rPr>
            </w:pPr>
            <w:r>
              <w:rPr>
                <w:rFonts w:ascii="Arial" w:cs="Arial" w:eastAsia="Arial" w:hAnsi="Arial"/>
                <w:sz w:val="12"/>
                <w:szCs w:val="12"/>
                <w:color w:val="183964"/>
              </w:rPr>
              <w:t>—</w:t>
            </w:r>
          </w:p>
        </w:tc>
        <w:tc>
          <w:tcPr>
            <w:tcW w:w="700" w:type="dxa"/>
            <w:vAlign w:val="bottom"/>
          </w:tcPr>
          <w:p>
            <w:pPr>
              <w:jc w:val="right"/>
              <w:ind w:right="22"/>
              <w:spacing w:after="0"/>
              <w:rPr>
                <w:sz w:val="20"/>
                <w:szCs w:val="20"/>
                <w:color w:val="auto"/>
              </w:rPr>
            </w:pPr>
            <w:r>
              <w:rPr>
                <w:rFonts w:ascii="Arial" w:cs="Arial" w:eastAsia="Arial" w:hAnsi="Arial"/>
                <w:sz w:val="12"/>
                <w:szCs w:val="12"/>
                <w:color w:val="183964"/>
              </w:rPr>
              <w:t>786</w:t>
            </w:r>
          </w:p>
        </w:tc>
        <w:tc>
          <w:tcPr>
            <w:tcW w:w="860" w:type="dxa"/>
            <w:vAlign w:val="bottom"/>
          </w:tcPr>
          <w:p>
            <w:pPr>
              <w:jc w:val="right"/>
              <w:ind w:right="42"/>
              <w:spacing w:after="0"/>
              <w:rPr>
                <w:sz w:val="20"/>
                <w:szCs w:val="20"/>
                <w:color w:val="auto"/>
              </w:rPr>
            </w:pPr>
            <w:r>
              <w:rPr>
                <w:rFonts w:ascii="Arial" w:cs="Arial" w:eastAsia="Arial" w:hAnsi="Arial"/>
                <w:sz w:val="12"/>
                <w:szCs w:val="12"/>
                <w:color w:val="183964"/>
              </w:rPr>
              <w:t>(786)</w:t>
            </w:r>
          </w:p>
        </w:tc>
        <w:tc>
          <w:tcPr>
            <w:tcW w:w="620" w:type="dxa"/>
            <w:vAlign w:val="bottom"/>
          </w:tcPr>
          <w:p>
            <w:pPr>
              <w:jc w:val="right"/>
              <w:ind w:right="2"/>
              <w:spacing w:after="0"/>
              <w:rPr>
                <w:sz w:val="20"/>
                <w:szCs w:val="20"/>
                <w:color w:val="auto"/>
              </w:rPr>
            </w:pPr>
            <w:r>
              <w:rPr>
                <w:rFonts w:ascii="Arial" w:cs="Arial" w:eastAsia="Arial" w:hAnsi="Arial"/>
                <w:sz w:val="12"/>
                <w:szCs w:val="12"/>
                <w:color w:val="183964"/>
              </w:rPr>
              <w:t>—</w:t>
            </w:r>
          </w:p>
        </w:tc>
        <w:tc>
          <w:tcPr>
            <w:tcW w:w="0" w:type="dxa"/>
            <w:vAlign w:val="bottom"/>
          </w:tcPr>
          <w:p>
            <w:pPr>
              <w:spacing w:after="0"/>
              <w:rPr>
                <w:sz w:val="1"/>
                <w:szCs w:val="1"/>
                <w:color w:val="auto"/>
              </w:rPr>
            </w:pPr>
          </w:p>
        </w:tc>
      </w:tr>
      <w:tr>
        <w:trPr>
          <w:trHeight w:val="200"/>
        </w:trPr>
        <w:tc>
          <w:tcPr>
            <w:tcW w:w="1500" w:type="dxa"/>
            <w:vAlign w:val="bottom"/>
            <w:tcBorders>
              <w:bottom w:val="single" w:sz="8" w:color="183964"/>
            </w:tcBorders>
          </w:tcPr>
          <w:p>
            <w:pPr>
              <w:ind w:left="20"/>
              <w:spacing w:after="0"/>
              <w:rPr>
                <w:sz w:val="20"/>
                <w:szCs w:val="20"/>
                <w:color w:val="auto"/>
              </w:rPr>
            </w:pPr>
            <w:r>
              <w:rPr>
                <w:rFonts w:ascii="Arial" w:cs="Arial" w:eastAsia="Arial" w:hAnsi="Arial"/>
                <w:sz w:val="12"/>
                <w:szCs w:val="12"/>
                <w:color w:val="auto"/>
              </w:rPr>
              <w:t>Other</w:t>
            </w:r>
          </w:p>
        </w:tc>
        <w:tc>
          <w:tcPr>
            <w:tcW w:w="440" w:type="dxa"/>
            <w:vAlign w:val="bottom"/>
            <w:tcBorders>
              <w:bottom w:val="single" w:sz="8" w:color="183964"/>
            </w:tcBorders>
          </w:tcPr>
          <w:p>
            <w:pPr>
              <w:spacing w:after="0"/>
              <w:rPr>
                <w:sz w:val="17"/>
                <w:szCs w:val="17"/>
                <w:color w:val="auto"/>
              </w:rPr>
            </w:pPr>
          </w:p>
        </w:tc>
        <w:tc>
          <w:tcPr>
            <w:tcW w:w="1060" w:type="dxa"/>
            <w:vAlign w:val="bottom"/>
            <w:tcBorders>
              <w:bottom w:val="single" w:sz="8" w:color="183964"/>
            </w:tcBorders>
          </w:tcPr>
          <w:p>
            <w:pPr>
              <w:jc w:val="right"/>
              <w:ind w:right="102"/>
              <w:spacing w:after="0"/>
              <w:rPr>
                <w:sz w:val="20"/>
                <w:szCs w:val="20"/>
                <w:color w:val="auto"/>
              </w:rPr>
            </w:pPr>
            <w:r>
              <w:rPr>
                <w:rFonts w:ascii="Arial" w:cs="Arial" w:eastAsia="Arial" w:hAnsi="Arial"/>
                <w:sz w:val="12"/>
                <w:szCs w:val="12"/>
                <w:color w:val="183964"/>
              </w:rPr>
              <w:t>—</w:t>
            </w:r>
          </w:p>
        </w:tc>
        <w:tc>
          <w:tcPr>
            <w:tcW w:w="540" w:type="dxa"/>
            <w:vAlign w:val="bottom"/>
            <w:tcBorders>
              <w:bottom w:val="single" w:sz="8" w:color="183964"/>
            </w:tcBorders>
          </w:tcPr>
          <w:p>
            <w:pPr>
              <w:jc w:val="right"/>
              <w:ind w:right="2"/>
              <w:spacing w:after="0"/>
              <w:rPr>
                <w:sz w:val="20"/>
                <w:szCs w:val="20"/>
                <w:color w:val="auto"/>
              </w:rPr>
            </w:pPr>
            <w:r>
              <w:rPr>
                <w:rFonts w:ascii="Arial" w:cs="Arial" w:eastAsia="Arial" w:hAnsi="Arial"/>
                <w:sz w:val="12"/>
                <w:szCs w:val="12"/>
                <w:color w:val="183964"/>
              </w:rPr>
              <w:t>—</w:t>
            </w:r>
          </w:p>
        </w:tc>
        <w:tc>
          <w:tcPr>
            <w:tcW w:w="680" w:type="dxa"/>
            <w:vAlign w:val="bottom"/>
            <w:tcBorders>
              <w:bottom w:val="single" w:sz="8" w:color="183964"/>
            </w:tcBorders>
          </w:tcPr>
          <w:p>
            <w:pPr>
              <w:jc w:val="right"/>
              <w:ind w:right="2"/>
              <w:spacing w:after="0"/>
              <w:rPr>
                <w:sz w:val="20"/>
                <w:szCs w:val="20"/>
                <w:color w:val="auto"/>
              </w:rPr>
            </w:pPr>
            <w:r>
              <w:rPr>
                <w:rFonts w:ascii="Arial" w:cs="Arial" w:eastAsia="Arial" w:hAnsi="Arial"/>
                <w:sz w:val="12"/>
                <w:szCs w:val="12"/>
                <w:color w:val="183964"/>
              </w:rPr>
              <w:t>—</w:t>
            </w:r>
          </w:p>
        </w:tc>
        <w:tc>
          <w:tcPr>
            <w:tcW w:w="1020" w:type="dxa"/>
            <w:vAlign w:val="bottom"/>
            <w:tcBorders>
              <w:bottom w:val="single" w:sz="8" w:color="183964"/>
            </w:tcBorders>
          </w:tcPr>
          <w:p>
            <w:pPr>
              <w:jc w:val="right"/>
              <w:ind w:right="82"/>
              <w:spacing w:after="0"/>
              <w:rPr>
                <w:sz w:val="20"/>
                <w:szCs w:val="20"/>
                <w:color w:val="auto"/>
              </w:rPr>
            </w:pPr>
            <w:r>
              <w:rPr>
                <w:rFonts w:ascii="Arial" w:cs="Arial" w:eastAsia="Arial" w:hAnsi="Arial"/>
                <w:sz w:val="12"/>
                <w:szCs w:val="12"/>
                <w:color w:val="183964"/>
              </w:rPr>
              <w:t>—</w:t>
            </w:r>
          </w:p>
        </w:tc>
        <w:tc>
          <w:tcPr>
            <w:tcW w:w="560" w:type="dxa"/>
            <w:vAlign w:val="bottom"/>
            <w:tcBorders>
              <w:bottom w:val="single" w:sz="8" w:color="183964"/>
            </w:tcBorders>
          </w:tcPr>
          <w:p>
            <w:pPr>
              <w:jc w:val="right"/>
              <w:ind w:right="2"/>
              <w:spacing w:after="0"/>
              <w:rPr>
                <w:sz w:val="20"/>
                <w:szCs w:val="20"/>
                <w:color w:val="auto"/>
              </w:rPr>
            </w:pPr>
            <w:r>
              <w:rPr>
                <w:rFonts w:ascii="Arial" w:cs="Arial" w:eastAsia="Arial" w:hAnsi="Arial"/>
                <w:sz w:val="12"/>
                <w:szCs w:val="12"/>
                <w:color w:val="183964"/>
              </w:rPr>
              <w:t>—</w:t>
            </w:r>
          </w:p>
        </w:tc>
        <w:tc>
          <w:tcPr>
            <w:tcW w:w="840" w:type="dxa"/>
            <w:vAlign w:val="bottom"/>
            <w:tcBorders>
              <w:bottom w:val="single" w:sz="8" w:color="183964"/>
            </w:tcBorders>
          </w:tcPr>
          <w:p>
            <w:pPr>
              <w:jc w:val="right"/>
              <w:ind w:right="122"/>
              <w:spacing w:after="0"/>
              <w:rPr>
                <w:sz w:val="20"/>
                <w:szCs w:val="20"/>
                <w:color w:val="auto"/>
              </w:rPr>
            </w:pPr>
            <w:r>
              <w:rPr>
                <w:rFonts w:ascii="Arial" w:cs="Arial" w:eastAsia="Arial" w:hAnsi="Arial"/>
                <w:sz w:val="12"/>
                <w:szCs w:val="12"/>
                <w:color w:val="183964"/>
              </w:rPr>
              <w:t>—</w:t>
            </w:r>
          </w:p>
        </w:tc>
        <w:tc>
          <w:tcPr>
            <w:tcW w:w="760" w:type="dxa"/>
            <w:vAlign w:val="bottom"/>
            <w:tcBorders>
              <w:bottom w:val="single" w:sz="8" w:color="183964"/>
            </w:tcBorders>
          </w:tcPr>
          <w:p>
            <w:pPr>
              <w:jc w:val="right"/>
              <w:ind w:right="102"/>
              <w:spacing w:after="0"/>
              <w:rPr>
                <w:sz w:val="20"/>
                <w:szCs w:val="20"/>
                <w:color w:val="auto"/>
              </w:rPr>
            </w:pPr>
            <w:r>
              <w:rPr>
                <w:rFonts w:ascii="Arial" w:cs="Arial" w:eastAsia="Arial" w:hAnsi="Arial"/>
                <w:sz w:val="12"/>
                <w:szCs w:val="12"/>
                <w:color w:val="183964"/>
              </w:rPr>
              <w:t>—</w:t>
            </w:r>
          </w:p>
        </w:tc>
        <w:tc>
          <w:tcPr>
            <w:tcW w:w="680" w:type="dxa"/>
            <w:vAlign w:val="bottom"/>
            <w:tcBorders>
              <w:bottom w:val="single" w:sz="8" w:color="183964"/>
            </w:tcBorders>
          </w:tcPr>
          <w:p>
            <w:pPr>
              <w:jc w:val="right"/>
              <w:ind w:right="102"/>
              <w:spacing w:after="0"/>
              <w:rPr>
                <w:sz w:val="20"/>
                <w:szCs w:val="20"/>
                <w:color w:val="auto"/>
              </w:rPr>
            </w:pPr>
            <w:r>
              <w:rPr>
                <w:rFonts w:ascii="Arial" w:cs="Arial" w:eastAsia="Arial" w:hAnsi="Arial"/>
                <w:sz w:val="12"/>
                <w:szCs w:val="12"/>
                <w:color w:val="183964"/>
              </w:rPr>
              <w:t>—</w:t>
            </w:r>
          </w:p>
        </w:tc>
        <w:tc>
          <w:tcPr>
            <w:tcW w:w="860" w:type="dxa"/>
            <w:vAlign w:val="bottom"/>
            <w:tcBorders>
              <w:bottom w:val="single" w:sz="8" w:color="183964"/>
            </w:tcBorders>
          </w:tcPr>
          <w:p>
            <w:pPr>
              <w:jc w:val="right"/>
              <w:ind w:right="62"/>
              <w:spacing w:after="0"/>
              <w:rPr>
                <w:sz w:val="20"/>
                <w:szCs w:val="20"/>
                <w:color w:val="auto"/>
              </w:rPr>
            </w:pPr>
            <w:r>
              <w:rPr>
                <w:rFonts w:ascii="Arial" w:cs="Arial" w:eastAsia="Arial" w:hAnsi="Arial"/>
                <w:sz w:val="12"/>
                <w:szCs w:val="12"/>
                <w:color w:val="183964"/>
              </w:rPr>
              <w:t>—</w:t>
            </w:r>
          </w:p>
        </w:tc>
        <w:tc>
          <w:tcPr>
            <w:tcW w:w="700" w:type="dxa"/>
            <w:vAlign w:val="bottom"/>
            <w:tcBorders>
              <w:bottom w:val="single" w:sz="8" w:color="183964"/>
            </w:tcBorders>
          </w:tcPr>
          <w:p>
            <w:pPr>
              <w:jc w:val="right"/>
              <w:ind w:right="22"/>
              <w:spacing w:after="0"/>
              <w:rPr>
                <w:sz w:val="20"/>
                <w:szCs w:val="20"/>
                <w:color w:val="auto"/>
              </w:rPr>
            </w:pPr>
            <w:r>
              <w:rPr>
                <w:rFonts w:ascii="Arial" w:cs="Arial" w:eastAsia="Arial" w:hAnsi="Arial"/>
                <w:sz w:val="12"/>
                <w:szCs w:val="12"/>
                <w:color w:val="183964"/>
              </w:rPr>
              <w:t>—</w:t>
            </w:r>
          </w:p>
        </w:tc>
        <w:tc>
          <w:tcPr>
            <w:tcW w:w="860" w:type="dxa"/>
            <w:vAlign w:val="bottom"/>
            <w:tcBorders>
              <w:bottom w:val="single" w:sz="8" w:color="183964"/>
            </w:tcBorders>
          </w:tcPr>
          <w:p>
            <w:pPr>
              <w:jc w:val="right"/>
              <w:ind w:right="42"/>
              <w:spacing w:after="0"/>
              <w:rPr>
                <w:sz w:val="20"/>
                <w:szCs w:val="20"/>
                <w:color w:val="auto"/>
              </w:rPr>
            </w:pPr>
            <w:r>
              <w:rPr>
                <w:rFonts w:ascii="Arial" w:cs="Arial" w:eastAsia="Arial" w:hAnsi="Arial"/>
                <w:sz w:val="12"/>
                <w:szCs w:val="12"/>
                <w:color w:val="183964"/>
              </w:rPr>
              <w:t>(6)</w:t>
            </w:r>
          </w:p>
        </w:tc>
        <w:tc>
          <w:tcPr>
            <w:tcW w:w="620" w:type="dxa"/>
            <w:vAlign w:val="bottom"/>
            <w:tcBorders>
              <w:bottom w:val="single" w:sz="8" w:color="183964"/>
            </w:tcBorders>
          </w:tcPr>
          <w:p>
            <w:pPr>
              <w:jc w:val="right"/>
              <w:spacing w:after="0"/>
              <w:rPr>
                <w:sz w:val="20"/>
                <w:szCs w:val="20"/>
                <w:color w:val="auto"/>
              </w:rPr>
            </w:pPr>
            <w:r>
              <w:rPr>
                <w:rFonts w:ascii="Arial" w:cs="Arial" w:eastAsia="Arial" w:hAnsi="Arial"/>
                <w:sz w:val="12"/>
                <w:szCs w:val="12"/>
                <w:color w:val="183964"/>
              </w:rPr>
              <w:t>(6)</w:t>
            </w:r>
          </w:p>
        </w:tc>
        <w:tc>
          <w:tcPr>
            <w:tcW w:w="0" w:type="dxa"/>
            <w:vAlign w:val="bottom"/>
          </w:tcPr>
          <w:p>
            <w:pPr>
              <w:spacing w:after="0"/>
              <w:rPr>
                <w:sz w:val="1"/>
                <w:szCs w:val="1"/>
                <w:color w:val="auto"/>
              </w:rPr>
            </w:pPr>
          </w:p>
        </w:tc>
      </w:tr>
      <w:tr>
        <w:trPr>
          <w:trHeight w:val="183"/>
        </w:trPr>
        <w:tc>
          <w:tcPr>
            <w:tcW w:w="1500" w:type="dxa"/>
            <w:vAlign w:val="bottom"/>
            <w:tcBorders>
              <w:bottom w:val="single" w:sz="8" w:color="183964"/>
            </w:tcBorders>
          </w:tcPr>
          <w:p>
            <w:pPr>
              <w:ind w:left="20"/>
              <w:spacing w:after="0"/>
              <w:rPr>
                <w:sz w:val="20"/>
                <w:szCs w:val="20"/>
                <w:color w:val="auto"/>
              </w:rPr>
            </w:pPr>
            <w:r>
              <w:rPr>
                <w:rFonts w:ascii="Arial" w:cs="Arial" w:eastAsia="Arial" w:hAnsi="Arial"/>
                <w:sz w:val="12"/>
                <w:szCs w:val="12"/>
                <w:b w:val="1"/>
                <w:bCs w:val="1"/>
                <w:color w:val="auto"/>
              </w:rPr>
              <w:t>Balance June 30, 2023</w:t>
            </w:r>
          </w:p>
        </w:tc>
        <w:tc>
          <w:tcPr>
            <w:tcW w:w="440" w:type="dxa"/>
            <w:vAlign w:val="bottom"/>
            <w:tcBorders>
              <w:bottom w:val="single" w:sz="8" w:color="183964"/>
            </w:tcBorders>
          </w:tcPr>
          <w:p>
            <w:pPr>
              <w:spacing w:after="0"/>
              <w:rPr>
                <w:sz w:val="15"/>
                <w:szCs w:val="15"/>
                <w:color w:val="auto"/>
              </w:rPr>
            </w:pPr>
          </w:p>
        </w:tc>
        <w:tc>
          <w:tcPr>
            <w:tcW w:w="1060" w:type="dxa"/>
            <w:vAlign w:val="bottom"/>
            <w:tcBorders>
              <w:bottom w:val="single" w:sz="8" w:color="183964"/>
            </w:tcBorders>
          </w:tcPr>
          <w:p>
            <w:pPr>
              <w:jc w:val="right"/>
              <w:ind w:right="102"/>
              <w:spacing w:after="0"/>
              <w:rPr>
                <w:sz w:val="20"/>
                <w:szCs w:val="20"/>
                <w:color w:val="auto"/>
              </w:rPr>
            </w:pPr>
            <w:r>
              <w:rPr>
                <w:rFonts w:ascii="Arial" w:cs="Arial" w:eastAsia="Arial" w:hAnsi="Arial"/>
                <w:sz w:val="12"/>
                <w:szCs w:val="12"/>
                <w:b w:val="1"/>
                <w:bCs w:val="1"/>
                <w:color w:val="auto"/>
              </w:rPr>
              <w:t>289,468,159</w:t>
            </w:r>
          </w:p>
        </w:tc>
        <w:tc>
          <w:tcPr>
            <w:tcW w:w="540" w:type="dxa"/>
            <w:vAlign w:val="bottom"/>
            <w:tcBorders>
              <w:bottom w:val="single" w:sz="8" w:color="183964"/>
            </w:tcBorders>
          </w:tcPr>
          <w:p>
            <w:pPr>
              <w:jc w:val="right"/>
              <w:ind w:right="2"/>
              <w:spacing w:after="0"/>
              <w:rPr>
                <w:sz w:val="20"/>
                <w:szCs w:val="20"/>
                <w:color w:val="auto"/>
              </w:rPr>
            </w:pPr>
            <w:r>
              <w:rPr>
                <w:rFonts w:ascii="Arial" w:cs="Arial" w:eastAsia="Arial" w:hAnsi="Arial"/>
                <w:sz w:val="12"/>
                <w:szCs w:val="12"/>
                <w:b w:val="1"/>
                <w:bCs w:val="1"/>
                <w:color w:val="auto"/>
              </w:rPr>
              <w:t>5,461</w:t>
            </w:r>
          </w:p>
        </w:tc>
        <w:tc>
          <w:tcPr>
            <w:tcW w:w="680" w:type="dxa"/>
            <w:vAlign w:val="bottom"/>
            <w:tcBorders>
              <w:bottom w:val="single" w:sz="8" w:color="183964"/>
            </w:tcBorders>
          </w:tcPr>
          <w:p>
            <w:pPr>
              <w:jc w:val="right"/>
              <w:ind w:right="2"/>
              <w:spacing w:after="0"/>
              <w:rPr>
                <w:sz w:val="20"/>
                <w:szCs w:val="20"/>
                <w:color w:val="auto"/>
              </w:rPr>
            </w:pPr>
            <w:r>
              <w:rPr>
                <w:rFonts w:ascii="Arial" w:cs="Arial" w:eastAsia="Arial" w:hAnsi="Arial"/>
                <w:sz w:val="12"/>
                <w:szCs w:val="12"/>
                <w:b w:val="1"/>
                <w:bCs w:val="1"/>
                <w:color w:val="auto"/>
              </w:rPr>
              <w:t>290,262</w:t>
            </w:r>
          </w:p>
        </w:tc>
        <w:tc>
          <w:tcPr>
            <w:tcW w:w="1020" w:type="dxa"/>
            <w:vAlign w:val="bottom"/>
            <w:tcBorders>
              <w:bottom w:val="single" w:sz="8" w:color="183964"/>
            </w:tcBorders>
          </w:tcPr>
          <w:p>
            <w:pPr>
              <w:jc w:val="right"/>
              <w:ind w:right="62"/>
              <w:spacing w:after="0"/>
              <w:rPr>
                <w:sz w:val="20"/>
                <w:szCs w:val="20"/>
                <w:color w:val="auto"/>
              </w:rPr>
            </w:pPr>
            <w:r>
              <w:rPr>
                <w:rFonts w:ascii="Arial" w:cs="Arial" w:eastAsia="Arial" w:hAnsi="Arial"/>
                <w:sz w:val="12"/>
                <w:szCs w:val="12"/>
                <w:b w:val="1"/>
                <w:bCs w:val="1"/>
                <w:color w:val="auto"/>
              </w:rPr>
              <w:t>(12,795,330)</w:t>
            </w:r>
          </w:p>
        </w:tc>
        <w:tc>
          <w:tcPr>
            <w:tcW w:w="560" w:type="dxa"/>
            <w:vAlign w:val="bottom"/>
            <w:tcBorders>
              <w:bottom w:val="single" w:sz="8" w:color="183964"/>
            </w:tcBorders>
          </w:tcPr>
          <w:p>
            <w:pPr>
              <w:jc w:val="right"/>
              <w:spacing w:after="0"/>
              <w:rPr>
                <w:sz w:val="20"/>
                <w:szCs w:val="20"/>
                <w:color w:val="auto"/>
              </w:rPr>
            </w:pPr>
            <w:r>
              <w:rPr>
                <w:rFonts w:ascii="Arial" w:cs="Arial" w:eastAsia="Arial" w:hAnsi="Arial"/>
                <w:sz w:val="12"/>
                <w:szCs w:val="12"/>
                <w:b w:val="1"/>
                <w:bCs w:val="1"/>
                <w:color w:val="auto"/>
              </w:rPr>
              <w:t>(33,105)</w:t>
            </w:r>
          </w:p>
        </w:tc>
        <w:tc>
          <w:tcPr>
            <w:tcW w:w="840" w:type="dxa"/>
            <w:vAlign w:val="bottom"/>
            <w:tcBorders>
              <w:bottom w:val="single" w:sz="8" w:color="183964"/>
            </w:tcBorders>
          </w:tcPr>
          <w:p>
            <w:pPr>
              <w:jc w:val="right"/>
              <w:ind w:right="122"/>
              <w:spacing w:after="0"/>
              <w:rPr>
                <w:sz w:val="20"/>
                <w:szCs w:val="20"/>
                <w:color w:val="auto"/>
              </w:rPr>
            </w:pPr>
            <w:r>
              <w:rPr>
                <w:rFonts w:ascii="Arial" w:cs="Arial" w:eastAsia="Arial" w:hAnsi="Arial"/>
                <w:sz w:val="12"/>
                <w:szCs w:val="12"/>
                <w:b w:val="1"/>
                <w:bCs w:val="1"/>
                <w:color w:val="auto"/>
              </w:rPr>
              <w:t>138,506</w:t>
            </w:r>
          </w:p>
        </w:tc>
        <w:tc>
          <w:tcPr>
            <w:tcW w:w="760" w:type="dxa"/>
            <w:vAlign w:val="bottom"/>
            <w:tcBorders>
              <w:bottom w:val="single" w:sz="8" w:color="183964"/>
            </w:tcBorders>
          </w:tcPr>
          <w:p>
            <w:pPr>
              <w:jc w:val="right"/>
              <w:ind w:right="102"/>
              <w:spacing w:after="0"/>
              <w:rPr>
                <w:sz w:val="20"/>
                <w:szCs w:val="20"/>
                <w:color w:val="auto"/>
              </w:rPr>
            </w:pPr>
            <w:r>
              <w:rPr>
                <w:rFonts w:ascii="Arial" w:cs="Arial" w:eastAsia="Arial" w:hAnsi="Arial"/>
                <w:sz w:val="12"/>
                <w:szCs w:val="12"/>
                <w:b w:val="1"/>
                <w:bCs w:val="1"/>
                <w:color w:val="auto"/>
              </w:rPr>
              <w:t>182</w:t>
            </w:r>
          </w:p>
        </w:tc>
        <w:tc>
          <w:tcPr>
            <w:tcW w:w="680" w:type="dxa"/>
            <w:vAlign w:val="bottom"/>
            <w:tcBorders>
              <w:bottom w:val="single" w:sz="8" w:color="183964"/>
            </w:tcBorders>
          </w:tcPr>
          <w:p>
            <w:pPr>
              <w:jc w:val="right"/>
              <w:ind w:right="82"/>
              <w:spacing w:after="0"/>
              <w:rPr>
                <w:sz w:val="20"/>
                <w:szCs w:val="20"/>
                <w:color w:val="auto"/>
              </w:rPr>
            </w:pPr>
            <w:r>
              <w:rPr>
                <w:rFonts w:ascii="Arial" w:cs="Arial" w:eastAsia="Arial" w:hAnsi="Arial"/>
                <w:sz w:val="12"/>
                <w:szCs w:val="12"/>
                <w:b w:val="1"/>
                <w:bCs w:val="1"/>
                <w:color w:val="auto"/>
              </w:rPr>
              <w:t>(12,149)</w:t>
            </w:r>
          </w:p>
        </w:tc>
        <w:tc>
          <w:tcPr>
            <w:tcW w:w="860" w:type="dxa"/>
            <w:vAlign w:val="bottom"/>
            <w:tcBorders>
              <w:bottom w:val="single" w:sz="8" w:color="183964"/>
            </w:tcBorders>
          </w:tcPr>
          <w:p>
            <w:pPr>
              <w:jc w:val="right"/>
              <w:ind w:right="62"/>
              <w:spacing w:after="0"/>
              <w:rPr>
                <w:sz w:val="20"/>
                <w:szCs w:val="20"/>
                <w:color w:val="auto"/>
              </w:rPr>
            </w:pPr>
            <w:r>
              <w:rPr>
                <w:rFonts w:ascii="Arial" w:cs="Arial" w:eastAsia="Arial" w:hAnsi="Arial"/>
                <w:sz w:val="12"/>
                <w:szCs w:val="12"/>
                <w:b w:val="1"/>
                <w:bCs w:val="1"/>
                <w:color w:val="auto"/>
              </w:rPr>
              <w:t>124,512</w:t>
            </w:r>
          </w:p>
        </w:tc>
        <w:tc>
          <w:tcPr>
            <w:tcW w:w="700" w:type="dxa"/>
            <w:vAlign w:val="bottom"/>
            <w:tcBorders>
              <w:bottom w:val="single" w:sz="8" w:color="183964"/>
            </w:tcBorders>
          </w:tcPr>
          <w:p>
            <w:pPr>
              <w:jc w:val="right"/>
              <w:ind w:right="22"/>
              <w:spacing w:after="0"/>
              <w:rPr>
                <w:sz w:val="20"/>
                <w:szCs w:val="20"/>
                <w:color w:val="auto"/>
              </w:rPr>
            </w:pPr>
            <w:r>
              <w:rPr>
                <w:rFonts w:ascii="Arial" w:cs="Arial" w:eastAsia="Arial" w:hAnsi="Arial"/>
                <w:sz w:val="12"/>
                <w:szCs w:val="12"/>
                <w:b w:val="1"/>
                <w:bCs w:val="1"/>
                <w:color w:val="auto"/>
              </w:rPr>
              <w:t>513,669</w:t>
            </w:r>
          </w:p>
        </w:tc>
        <w:tc>
          <w:tcPr>
            <w:tcW w:w="860" w:type="dxa"/>
            <w:vAlign w:val="bottom"/>
            <w:tcBorders>
              <w:bottom w:val="single" w:sz="8" w:color="183964"/>
            </w:tcBorders>
          </w:tcPr>
          <w:p>
            <w:pPr>
              <w:jc w:val="right"/>
              <w:ind w:right="42"/>
              <w:spacing w:after="0"/>
              <w:rPr>
                <w:sz w:val="20"/>
                <w:szCs w:val="20"/>
                <w:color w:val="auto"/>
              </w:rPr>
            </w:pPr>
            <w:r>
              <w:rPr>
                <w:rFonts w:ascii="Arial" w:cs="Arial" w:eastAsia="Arial" w:hAnsi="Arial"/>
                <w:sz w:val="12"/>
                <w:szCs w:val="12"/>
                <w:b w:val="1"/>
                <w:bCs w:val="1"/>
                <w:color w:val="auto"/>
              </w:rPr>
              <w:t>(4,778)</w:t>
            </w:r>
          </w:p>
        </w:tc>
        <w:tc>
          <w:tcPr>
            <w:tcW w:w="620" w:type="dxa"/>
            <w:vAlign w:val="bottom"/>
            <w:tcBorders>
              <w:bottom w:val="single" w:sz="8" w:color="183964"/>
            </w:tcBorders>
          </w:tcPr>
          <w:p>
            <w:pPr>
              <w:jc w:val="right"/>
              <w:ind w:right="2"/>
              <w:spacing w:after="0"/>
              <w:rPr>
                <w:sz w:val="20"/>
                <w:szCs w:val="20"/>
                <w:color w:val="auto"/>
              </w:rPr>
            </w:pPr>
            <w:r>
              <w:rPr>
                <w:rFonts w:ascii="Arial" w:cs="Arial" w:eastAsia="Arial" w:hAnsi="Arial"/>
                <w:sz w:val="12"/>
                <w:szCs w:val="12"/>
                <w:b w:val="1"/>
                <w:bCs w:val="1"/>
                <w:color w:val="auto"/>
              </w:rPr>
              <w:t>508,891</w:t>
            </w:r>
          </w:p>
        </w:tc>
        <w:tc>
          <w:tcPr>
            <w:tcW w:w="0" w:type="dxa"/>
            <w:vAlign w:val="bottom"/>
          </w:tcPr>
          <w:p>
            <w:pPr>
              <w:spacing w:after="0"/>
              <w:rPr>
                <w:sz w:val="1"/>
                <w:szCs w:val="1"/>
                <w:color w:val="auto"/>
              </w:rPr>
            </w:pPr>
          </w:p>
        </w:tc>
      </w:tr>
      <w:tr>
        <w:trPr>
          <w:trHeight w:val="528"/>
        </w:trPr>
        <w:tc>
          <w:tcPr>
            <w:tcW w:w="1500" w:type="dxa"/>
            <w:vAlign w:val="bottom"/>
          </w:tcPr>
          <w:p>
            <w:pPr>
              <w:ind w:left="20"/>
              <w:spacing w:after="0"/>
              <w:rPr>
                <w:sz w:val="20"/>
                <w:szCs w:val="20"/>
                <w:color w:val="auto"/>
              </w:rPr>
            </w:pPr>
            <w:r>
              <w:rPr>
                <w:rFonts w:ascii="Arial" w:cs="Arial" w:eastAsia="Arial" w:hAnsi="Arial"/>
                <w:sz w:val="12"/>
                <w:szCs w:val="12"/>
                <w:color w:val="auto"/>
              </w:rPr>
              <w:t>Balance January 1, 2024</w:t>
            </w:r>
          </w:p>
        </w:tc>
        <w:tc>
          <w:tcPr>
            <w:tcW w:w="440" w:type="dxa"/>
            <w:vAlign w:val="bottom"/>
          </w:tcPr>
          <w:p>
            <w:pPr>
              <w:spacing w:after="0"/>
              <w:rPr>
                <w:sz w:val="24"/>
                <w:szCs w:val="24"/>
                <w:color w:val="auto"/>
              </w:rPr>
            </w:pPr>
          </w:p>
        </w:tc>
        <w:tc>
          <w:tcPr>
            <w:tcW w:w="1060" w:type="dxa"/>
            <w:vAlign w:val="bottom"/>
          </w:tcPr>
          <w:p>
            <w:pPr>
              <w:jc w:val="right"/>
              <w:ind w:right="102"/>
              <w:spacing w:after="0"/>
              <w:rPr>
                <w:sz w:val="20"/>
                <w:szCs w:val="20"/>
                <w:color w:val="auto"/>
              </w:rPr>
            </w:pPr>
            <w:r>
              <w:rPr>
                <w:rFonts w:ascii="Arial" w:cs="Arial" w:eastAsia="Arial" w:hAnsi="Arial"/>
                <w:sz w:val="12"/>
                <w:szCs w:val="12"/>
                <w:b w:val="1"/>
                <w:bCs w:val="1"/>
                <w:color w:val="auto"/>
              </w:rPr>
              <w:t>289,468,159</w:t>
            </w:r>
          </w:p>
        </w:tc>
        <w:tc>
          <w:tcPr>
            <w:tcW w:w="540" w:type="dxa"/>
            <w:vAlign w:val="bottom"/>
          </w:tcPr>
          <w:p>
            <w:pPr>
              <w:jc w:val="right"/>
              <w:ind w:right="2"/>
              <w:spacing w:after="0"/>
              <w:rPr>
                <w:sz w:val="20"/>
                <w:szCs w:val="20"/>
                <w:color w:val="auto"/>
              </w:rPr>
            </w:pPr>
            <w:r>
              <w:rPr>
                <w:rFonts w:ascii="Arial" w:cs="Arial" w:eastAsia="Arial" w:hAnsi="Arial"/>
                <w:sz w:val="12"/>
                <w:szCs w:val="12"/>
                <w:b w:val="1"/>
                <w:bCs w:val="1"/>
                <w:color w:val="auto"/>
              </w:rPr>
              <w:t>5,461</w:t>
            </w:r>
          </w:p>
        </w:tc>
        <w:tc>
          <w:tcPr>
            <w:tcW w:w="680" w:type="dxa"/>
            <w:vAlign w:val="bottom"/>
          </w:tcPr>
          <w:p>
            <w:pPr>
              <w:jc w:val="right"/>
              <w:ind w:right="2"/>
              <w:spacing w:after="0"/>
              <w:rPr>
                <w:sz w:val="20"/>
                <w:szCs w:val="20"/>
                <w:color w:val="auto"/>
              </w:rPr>
            </w:pPr>
            <w:r>
              <w:rPr>
                <w:rFonts w:ascii="Arial" w:cs="Arial" w:eastAsia="Arial" w:hAnsi="Arial"/>
                <w:sz w:val="12"/>
                <w:szCs w:val="12"/>
                <w:b w:val="1"/>
                <w:bCs w:val="1"/>
                <w:color w:val="auto"/>
              </w:rPr>
              <w:t>290,262</w:t>
            </w:r>
          </w:p>
        </w:tc>
        <w:tc>
          <w:tcPr>
            <w:tcW w:w="1020" w:type="dxa"/>
            <w:vAlign w:val="bottom"/>
          </w:tcPr>
          <w:p>
            <w:pPr>
              <w:jc w:val="right"/>
              <w:ind w:right="62"/>
              <w:spacing w:after="0"/>
              <w:rPr>
                <w:sz w:val="20"/>
                <w:szCs w:val="20"/>
                <w:color w:val="auto"/>
              </w:rPr>
            </w:pPr>
            <w:r>
              <w:rPr>
                <w:rFonts w:ascii="Arial" w:cs="Arial" w:eastAsia="Arial" w:hAnsi="Arial"/>
                <w:sz w:val="12"/>
                <w:szCs w:val="12"/>
                <w:b w:val="1"/>
                <w:bCs w:val="1"/>
                <w:color w:val="auto"/>
              </w:rPr>
              <w:t>(17,614,428)</w:t>
            </w:r>
          </w:p>
        </w:tc>
        <w:tc>
          <w:tcPr>
            <w:tcW w:w="560" w:type="dxa"/>
            <w:vAlign w:val="bottom"/>
          </w:tcPr>
          <w:p>
            <w:pPr>
              <w:jc w:val="right"/>
              <w:spacing w:after="0"/>
              <w:rPr>
                <w:sz w:val="20"/>
                <w:szCs w:val="20"/>
                <w:color w:val="auto"/>
              </w:rPr>
            </w:pPr>
            <w:r>
              <w:rPr>
                <w:rFonts w:ascii="Arial" w:cs="Arial" w:eastAsia="Arial" w:hAnsi="Arial"/>
                <w:sz w:val="12"/>
                <w:szCs w:val="12"/>
                <w:b w:val="1"/>
                <w:bCs w:val="1"/>
                <w:color w:val="auto"/>
              </w:rPr>
              <w:t>(44,626)</w:t>
            </w:r>
          </w:p>
        </w:tc>
        <w:tc>
          <w:tcPr>
            <w:tcW w:w="840" w:type="dxa"/>
            <w:vAlign w:val="bottom"/>
          </w:tcPr>
          <w:p>
            <w:pPr>
              <w:jc w:val="right"/>
              <w:ind w:right="122"/>
              <w:spacing w:after="0"/>
              <w:rPr>
                <w:sz w:val="20"/>
                <w:szCs w:val="20"/>
                <w:color w:val="auto"/>
              </w:rPr>
            </w:pPr>
            <w:r>
              <w:rPr>
                <w:rFonts w:ascii="Arial" w:cs="Arial" w:eastAsia="Arial" w:hAnsi="Arial"/>
                <w:sz w:val="12"/>
                <w:szCs w:val="12"/>
                <w:b w:val="1"/>
                <w:bCs w:val="1"/>
                <w:color w:val="auto"/>
              </w:rPr>
              <w:t>138,506</w:t>
            </w:r>
          </w:p>
        </w:tc>
        <w:tc>
          <w:tcPr>
            <w:tcW w:w="760" w:type="dxa"/>
            <w:vAlign w:val="bottom"/>
          </w:tcPr>
          <w:p>
            <w:pPr>
              <w:jc w:val="right"/>
              <w:ind w:right="102"/>
              <w:spacing w:after="0"/>
              <w:rPr>
                <w:sz w:val="20"/>
                <w:szCs w:val="20"/>
                <w:color w:val="auto"/>
              </w:rPr>
            </w:pPr>
            <w:r>
              <w:rPr>
                <w:rFonts w:ascii="Arial" w:cs="Arial" w:eastAsia="Arial" w:hAnsi="Arial"/>
                <w:sz w:val="12"/>
                <w:szCs w:val="12"/>
                <w:b w:val="1"/>
                <w:bCs w:val="1"/>
                <w:color w:val="auto"/>
              </w:rPr>
              <w:t>182</w:t>
            </w:r>
          </w:p>
        </w:tc>
        <w:tc>
          <w:tcPr>
            <w:tcW w:w="680" w:type="dxa"/>
            <w:vAlign w:val="bottom"/>
          </w:tcPr>
          <w:p>
            <w:pPr>
              <w:jc w:val="right"/>
              <w:ind w:right="82"/>
              <w:spacing w:after="0"/>
              <w:rPr>
                <w:sz w:val="20"/>
                <w:szCs w:val="20"/>
                <w:color w:val="auto"/>
              </w:rPr>
            </w:pPr>
            <w:r>
              <w:rPr>
                <w:rFonts w:ascii="Arial" w:cs="Arial" w:eastAsia="Arial" w:hAnsi="Arial"/>
                <w:sz w:val="12"/>
                <w:szCs w:val="12"/>
                <w:b w:val="1"/>
                <w:bCs w:val="1"/>
                <w:color w:val="auto"/>
              </w:rPr>
              <w:t>(9,538)</w:t>
            </w:r>
          </w:p>
        </w:tc>
        <w:tc>
          <w:tcPr>
            <w:tcW w:w="860" w:type="dxa"/>
            <w:vAlign w:val="bottom"/>
          </w:tcPr>
          <w:p>
            <w:pPr>
              <w:jc w:val="right"/>
              <w:ind w:right="62"/>
              <w:spacing w:after="0"/>
              <w:rPr>
                <w:sz w:val="20"/>
                <w:szCs w:val="20"/>
                <w:color w:val="auto"/>
              </w:rPr>
            </w:pPr>
            <w:r>
              <w:rPr>
                <w:rFonts w:ascii="Arial" w:cs="Arial" w:eastAsia="Arial" w:hAnsi="Arial"/>
                <w:sz w:val="12"/>
                <w:szCs w:val="12"/>
                <w:b w:val="1"/>
                <w:bCs w:val="1"/>
                <w:color w:val="auto"/>
              </w:rPr>
              <w:t>83,820</w:t>
            </w:r>
          </w:p>
        </w:tc>
        <w:tc>
          <w:tcPr>
            <w:tcW w:w="700" w:type="dxa"/>
            <w:vAlign w:val="bottom"/>
          </w:tcPr>
          <w:p>
            <w:pPr>
              <w:jc w:val="right"/>
              <w:ind w:right="22"/>
              <w:spacing w:after="0"/>
              <w:rPr>
                <w:sz w:val="20"/>
                <w:szCs w:val="20"/>
                <w:color w:val="auto"/>
              </w:rPr>
            </w:pPr>
            <w:r>
              <w:rPr>
                <w:rFonts w:ascii="Arial" w:cs="Arial" w:eastAsia="Arial" w:hAnsi="Arial"/>
                <w:sz w:val="12"/>
                <w:szCs w:val="12"/>
                <w:b w:val="1"/>
                <w:bCs w:val="1"/>
                <w:color w:val="auto"/>
              </w:rPr>
              <w:t>464,066</w:t>
            </w:r>
          </w:p>
        </w:tc>
        <w:tc>
          <w:tcPr>
            <w:tcW w:w="860" w:type="dxa"/>
            <w:vAlign w:val="bottom"/>
          </w:tcPr>
          <w:p>
            <w:pPr>
              <w:jc w:val="right"/>
              <w:ind w:right="42"/>
              <w:spacing w:after="0"/>
              <w:rPr>
                <w:sz w:val="20"/>
                <w:szCs w:val="20"/>
                <w:color w:val="auto"/>
              </w:rPr>
            </w:pPr>
            <w:r>
              <w:rPr>
                <w:rFonts w:ascii="Arial" w:cs="Arial" w:eastAsia="Arial" w:hAnsi="Arial"/>
                <w:sz w:val="12"/>
                <w:szCs w:val="12"/>
                <w:b w:val="1"/>
                <w:bCs w:val="1"/>
                <w:color w:val="auto"/>
              </w:rPr>
              <w:t>(5,835)</w:t>
            </w:r>
          </w:p>
        </w:tc>
        <w:tc>
          <w:tcPr>
            <w:tcW w:w="620" w:type="dxa"/>
            <w:vAlign w:val="bottom"/>
          </w:tcPr>
          <w:p>
            <w:pPr>
              <w:jc w:val="right"/>
              <w:ind w:right="2"/>
              <w:spacing w:after="0"/>
              <w:rPr>
                <w:sz w:val="20"/>
                <w:szCs w:val="20"/>
                <w:color w:val="auto"/>
              </w:rPr>
            </w:pPr>
            <w:r>
              <w:rPr>
                <w:rFonts w:ascii="Arial" w:cs="Arial" w:eastAsia="Arial" w:hAnsi="Arial"/>
                <w:sz w:val="12"/>
                <w:szCs w:val="12"/>
                <w:b w:val="1"/>
                <w:bCs w:val="1"/>
                <w:color w:val="auto"/>
              </w:rPr>
              <w:t>458,232</w:t>
            </w:r>
          </w:p>
        </w:tc>
        <w:tc>
          <w:tcPr>
            <w:tcW w:w="0" w:type="dxa"/>
            <w:vAlign w:val="bottom"/>
          </w:tcPr>
          <w:p>
            <w:pPr>
              <w:spacing w:after="0"/>
              <w:rPr>
                <w:sz w:val="1"/>
                <w:szCs w:val="1"/>
                <w:color w:val="auto"/>
              </w:rPr>
            </w:pPr>
          </w:p>
        </w:tc>
      </w:tr>
      <w:tr>
        <w:trPr>
          <w:trHeight w:val="183"/>
        </w:trPr>
        <w:tc>
          <w:tcPr>
            <w:tcW w:w="1500" w:type="dxa"/>
            <w:vAlign w:val="bottom"/>
          </w:tcPr>
          <w:p>
            <w:pPr>
              <w:ind w:left="20"/>
              <w:spacing w:after="0"/>
              <w:rPr>
                <w:sz w:val="20"/>
                <w:szCs w:val="20"/>
                <w:color w:val="auto"/>
              </w:rPr>
            </w:pPr>
            <w:r>
              <w:rPr>
                <w:rFonts w:ascii="Arial" w:cs="Arial" w:eastAsia="Arial" w:hAnsi="Arial"/>
                <w:sz w:val="12"/>
                <w:szCs w:val="12"/>
                <w:color w:val="auto"/>
              </w:rPr>
              <w:t>Net income/(loss)</w:t>
            </w:r>
          </w:p>
        </w:tc>
        <w:tc>
          <w:tcPr>
            <w:tcW w:w="440" w:type="dxa"/>
            <w:vAlign w:val="bottom"/>
          </w:tcPr>
          <w:p>
            <w:pPr>
              <w:spacing w:after="0"/>
              <w:rPr>
                <w:sz w:val="15"/>
                <w:szCs w:val="15"/>
                <w:color w:val="auto"/>
              </w:rPr>
            </w:pPr>
          </w:p>
        </w:tc>
        <w:tc>
          <w:tcPr>
            <w:tcW w:w="1060" w:type="dxa"/>
            <w:vAlign w:val="bottom"/>
          </w:tcPr>
          <w:p>
            <w:pPr>
              <w:jc w:val="right"/>
              <w:ind w:right="102"/>
              <w:spacing w:after="0"/>
              <w:rPr>
                <w:sz w:val="20"/>
                <w:szCs w:val="20"/>
                <w:color w:val="auto"/>
              </w:rPr>
            </w:pPr>
            <w:r>
              <w:rPr>
                <w:rFonts w:ascii="Arial" w:cs="Arial" w:eastAsia="Arial" w:hAnsi="Arial"/>
                <w:sz w:val="12"/>
                <w:szCs w:val="12"/>
                <w:color w:val="183964"/>
              </w:rPr>
              <w:t>—</w:t>
            </w:r>
          </w:p>
        </w:tc>
        <w:tc>
          <w:tcPr>
            <w:tcW w:w="540" w:type="dxa"/>
            <w:vAlign w:val="bottom"/>
          </w:tcPr>
          <w:p>
            <w:pPr>
              <w:jc w:val="right"/>
              <w:ind w:right="2"/>
              <w:spacing w:after="0"/>
              <w:rPr>
                <w:sz w:val="20"/>
                <w:szCs w:val="20"/>
                <w:color w:val="auto"/>
              </w:rPr>
            </w:pPr>
            <w:r>
              <w:rPr>
                <w:rFonts w:ascii="Arial" w:cs="Arial" w:eastAsia="Arial" w:hAnsi="Arial"/>
                <w:sz w:val="12"/>
                <w:szCs w:val="12"/>
                <w:color w:val="183964"/>
              </w:rPr>
              <w:t>—</w:t>
            </w:r>
          </w:p>
        </w:tc>
        <w:tc>
          <w:tcPr>
            <w:tcW w:w="680" w:type="dxa"/>
            <w:vAlign w:val="bottom"/>
          </w:tcPr>
          <w:p>
            <w:pPr>
              <w:jc w:val="right"/>
              <w:ind w:right="2"/>
              <w:spacing w:after="0"/>
              <w:rPr>
                <w:sz w:val="20"/>
                <w:szCs w:val="20"/>
                <w:color w:val="auto"/>
              </w:rPr>
            </w:pPr>
            <w:r>
              <w:rPr>
                <w:rFonts w:ascii="Arial" w:cs="Arial" w:eastAsia="Arial" w:hAnsi="Arial"/>
                <w:sz w:val="12"/>
                <w:szCs w:val="12"/>
                <w:color w:val="183964"/>
              </w:rPr>
              <w:t>—</w:t>
            </w:r>
          </w:p>
        </w:tc>
        <w:tc>
          <w:tcPr>
            <w:tcW w:w="1020" w:type="dxa"/>
            <w:vAlign w:val="bottom"/>
          </w:tcPr>
          <w:p>
            <w:pPr>
              <w:jc w:val="right"/>
              <w:ind w:right="82"/>
              <w:spacing w:after="0"/>
              <w:rPr>
                <w:sz w:val="20"/>
                <w:szCs w:val="20"/>
                <w:color w:val="auto"/>
              </w:rPr>
            </w:pPr>
            <w:r>
              <w:rPr>
                <w:rFonts w:ascii="Arial" w:cs="Arial" w:eastAsia="Arial" w:hAnsi="Arial"/>
                <w:sz w:val="12"/>
                <w:szCs w:val="12"/>
                <w:color w:val="183964"/>
              </w:rPr>
              <w:t>—</w:t>
            </w:r>
          </w:p>
        </w:tc>
        <w:tc>
          <w:tcPr>
            <w:tcW w:w="560" w:type="dxa"/>
            <w:vAlign w:val="bottom"/>
          </w:tcPr>
          <w:p>
            <w:pPr>
              <w:jc w:val="right"/>
              <w:ind w:right="2"/>
              <w:spacing w:after="0"/>
              <w:rPr>
                <w:sz w:val="20"/>
                <w:szCs w:val="20"/>
                <w:color w:val="auto"/>
              </w:rPr>
            </w:pPr>
            <w:r>
              <w:rPr>
                <w:rFonts w:ascii="Arial" w:cs="Arial" w:eastAsia="Arial" w:hAnsi="Arial"/>
                <w:sz w:val="12"/>
                <w:szCs w:val="12"/>
                <w:color w:val="183964"/>
              </w:rPr>
              <w:t>—</w:t>
            </w:r>
          </w:p>
        </w:tc>
        <w:tc>
          <w:tcPr>
            <w:tcW w:w="840" w:type="dxa"/>
            <w:vAlign w:val="bottom"/>
          </w:tcPr>
          <w:p>
            <w:pPr>
              <w:jc w:val="right"/>
              <w:ind w:right="122"/>
              <w:spacing w:after="0"/>
              <w:rPr>
                <w:sz w:val="20"/>
                <w:szCs w:val="20"/>
                <w:color w:val="auto"/>
              </w:rPr>
            </w:pPr>
            <w:r>
              <w:rPr>
                <w:rFonts w:ascii="Arial" w:cs="Arial" w:eastAsia="Arial" w:hAnsi="Arial"/>
                <w:sz w:val="12"/>
                <w:szCs w:val="12"/>
                <w:color w:val="183964"/>
              </w:rPr>
              <w:t>—</w:t>
            </w:r>
          </w:p>
        </w:tc>
        <w:tc>
          <w:tcPr>
            <w:tcW w:w="760" w:type="dxa"/>
            <w:vAlign w:val="bottom"/>
          </w:tcPr>
          <w:p>
            <w:pPr>
              <w:jc w:val="right"/>
              <w:ind w:right="102"/>
              <w:spacing w:after="0"/>
              <w:rPr>
                <w:sz w:val="20"/>
                <w:szCs w:val="20"/>
                <w:color w:val="auto"/>
              </w:rPr>
            </w:pPr>
            <w:r>
              <w:rPr>
                <w:rFonts w:ascii="Arial" w:cs="Arial" w:eastAsia="Arial" w:hAnsi="Arial"/>
                <w:sz w:val="12"/>
                <w:szCs w:val="12"/>
                <w:color w:val="183964"/>
              </w:rPr>
              <w:t>—</w:t>
            </w:r>
          </w:p>
        </w:tc>
        <w:tc>
          <w:tcPr>
            <w:tcW w:w="680" w:type="dxa"/>
            <w:vAlign w:val="bottom"/>
          </w:tcPr>
          <w:p>
            <w:pPr>
              <w:jc w:val="right"/>
              <w:ind w:right="102"/>
              <w:spacing w:after="0"/>
              <w:rPr>
                <w:sz w:val="20"/>
                <w:szCs w:val="20"/>
                <w:color w:val="auto"/>
              </w:rPr>
            </w:pPr>
            <w:r>
              <w:rPr>
                <w:rFonts w:ascii="Arial" w:cs="Arial" w:eastAsia="Arial" w:hAnsi="Arial"/>
                <w:sz w:val="12"/>
                <w:szCs w:val="12"/>
                <w:color w:val="183964"/>
              </w:rPr>
              <w:t>—</w:t>
            </w:r>
          </w:p>
        </w:tc>
        <w:tc>
          <w:tcPr>
            <w:tcW w:w="860" w:type="dxa"/>
            <w:vAlign w:val="bottom"/>
          </w:tcPr>
          <w:p>
            <w:pPr>
              <w:jc w:val="right"/>
              <w:ind w:right="22"/>
              <w:spacing w:after="0"/>
              <w:rPr>
                <w:sz w:val="20"/>
                <w:szCs w:val="20"/>
                <w:color w:val="auto"/>
              </w:rPr>
            </w:pPr>
            <w:r>
              <w:rPr>
                <w:rFonts w:ascii="Arial" w:cs="Arial" w:eastAsia="Arial" w:hAnsi="Arial"/>
                <w:sz w:val="12"/>
                <w:szCs w:val="12"/>
                <w:color w:val="183964"/>
              </w:rPr>
              <w:t>(41,773)</w:t>
            </w:r>
          </w:p>
        </w:tc>
        <w:tc>
          <w:tcPr>
            <w:tcW w:w="700" w:type="dxa"/>
            <w:vAlign w:val="bottom"/>
          </w:tcPr>
          <w:p>
            <w:pPr>
              <w:jc w:val="right"/>
              <w:spacing w:after="0"/>
              <w:rPr>
                <w:sz w:val="20"/>
                <w:szCs w:val="20"/>
                <w:color w:val="auto"/>
              </w:rPr>
            </w:pPr>
            <w:r>
              <w:rPr>
                <w:rFonts w:ascii="Arial" w:cs="Arial" w:eastAsia="Arial" w:hAnsi="Arial"/>
                <w:sz w:val="12"/>
                <w:szCs w:val="12"/>
                <w:color w:val="183964"/>
              </w:rPr>
              <w:t>(41,773)</w:t>
            </w:r>
          </w:p>
        </w:tc>
        <w:tc>
          <w:tcPr>
            <w:tcW w:w="860" w:type="dxa"/>
            <w:vAlign w:val="bottom"/>
          </w:tcPr>
          <w:p>
            <w:pPr>
              <w:jc w:val="right"/>
              <w:ind w:right="42"/>
              <w:spacing w:after="0"/>
              <w:rPr>
                <w:sz w:val="20"/>
                <w:szCs w:val="20"/>
                <w:color w:val="auto"/>
              </w:rPr>
            </w:pPr>
            <w:r>
              <w:rPr>
                <w:rFonts w:ascii="Arial" w:cs="Arial" w:eastAsia="Arial" w:hAnsi="Arial"/>
                <w:sz w:val="12"/>
                <w:szCs w:val="12"/>
                <w:color w:val="183964"/>
              </w:rPr>
              <w:t>(7,111)</w:t>
            </w:r>
          </w:p>
        </w:tc>
        <w:tc>
          <w:tcPr>
            <w:tcW w:w="620" w:type="dxa"/>
            <w:vAlign w:val="bottom"/>
          </w:tcPr>
          <w:p>
            <w:pPr>
              <w:jc w:val="right"/>
              <w:spacing w:after="0"/>
              <w:rPr>
                <w:sz w:val="20"/>
                <w:szCs w:val="20"/>
                <w:color w:val="auto"/>
              </w:rPr>
            </w:pPr>
            <w:r>
              <w:rPr>
                <w:rFonts w:ascii="Arial" w:cs="Arial" w:eastAsia="Arial" w:hAnsi="Arial"/>
                <w:sz w:val="12"/>
                <w:szCs w:val="12"/>
                <w:color w:val="183964"/>
              </w:rPr>
              <w:t>(48,883)</w:t>
            </w:r>
          </w:p>
        </w:tc>
        <w:tc>
          <w:tcPr>
            <w:tcW w:w="0" w:type="dxa"/>
            <w:vAlign w:val="bottom"/>
          </w:tcPr>
          <w:p>
            <w:pPr>
              <w:spacing w:after="0"/>
              <w:rPr>
                <w:sz w:val="1"/>
                <w:szCs w:val="1"/>
                <w:color w:val="auto"/>
              </w:rPr>
            </w:pPr>
          </w:p>
        </w:tc>
      </w:tr>
      <w:tr>
        <w:trPr>
          <w:trHeight w:val="170"/>
        </w:trPr>
        <w:tc>
          <w:tcPr>
            <w:tcW w:w="1500" w:type="dxa"/>
            <w:vAlign w:val="bottom"/>
          </w:tcPr>
          <w:p>
            <w:pPr>
              <w:ind w:left="20"/>
              <w:spacing w:after="0"/>
              <w:rPr>
                <w:sz w:val="20"/>
                <w:szCs w:val="20"/>
                <w:color w:val="auto"/>
              </w:rPr>
            </w:pPr>
            <w:r>
              <w:rPr>
                <w:rFonts w:ascii="Arial" w:cs="Arial" w:eastAsia="Arial" w:hAnsi="Arial"/>
                <w:sz w:val="12"/>
                <w:szCs w:val="12"/>
                <w:b w:val="1"/>
                <w:bCs w:val="1"/>
                <w:color w:val="auto"/>
              </w:rPr>
              <w:t>Total comprehensive</w:t>
            </w: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500" w:type="dxa"/>
            <w:vAlign w:val="bottom"/>
          </w:tcPr>
          <w:p>
            <w:pPr>
              <w:ind w:left="20"/>
              <w:spacing w:after="0"/>
              <w:rPr>
                <w:sz w:val="20"/>
                <w:szCs w:val="20"/>
                <w:color w:val="auto"/>
              </w:rPr>
            </w:pPr>
            <w:r>
              <w:rPr>
                <w:rFonts w:ascii="Arial" w:cs="Arial" w:eastAsia="Arial" w:hAnsi="Arial"/>
                <w:sz w:val="12"/>
                <w:szCs w:val="12"/>
                <w:b w:val="1"/>
                <w:bCs w:val="1"/>
                <w:color w:val="auto"/>
              </w:rPr>
              <w:t>income/(loss)</w:t>
            </w:r>
          </w:p>
        </w:tc>
        <w:tc>
          <w:tcPr>
            <w:tcW w:w="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500" w:type="dxa"/>
            <w:vAlign w:val="bottom"/>
          </w:tcPr>
          <w:p>
            <w:pPr>
              <w:ind w:left="20"/>
              <w:spacing w:after="0"/>
              <w:rPr>
                <w:sz w:val="20"/>
                <w:szCs w:val="20"/>
                <w:color w:val="auto"/>
              </w:rPr>
            </w:pPr>
            <w:r>
              <w:rPr>
                <w:rFonts w:ascii="Arial" w:cs="Arial" w:eastAsia="Arial" w:hAnsi="Arial"/>
                <w:sz w:val="12"/>
                <w:szCs w:val="12"/>
                <w:b w:val="1"/>
                <w:bCs w:val="1"/>
                <w:color w:val="auto"/>
              </w:rPr>
              <w:t>for the period</w:t>
            </w:r>
          </w:p>
        </w:tc>
        <w:tc>
          <w:tcPr>
            <w:tcW w:w="440" w:type="dxa"/>
            <w:vAlign w:val="bottom"/>
          </w:tcPr>
          <w:p>
            <w:pPr>
              <w:spacing w:after="0"/>
              <w:rPr>
                <w:sz w:val="13"/>
                <w:szCs w:val="13"/>
                <w:color w:val="auto"/>
              </w:rPr>
            </w:pPr>
          </w:p>
        </w:tc>
        <w:tc>
          <w:tcPr>
            <w:tcW w:w="1060" w:type="dxa"/>
            <w:vAlign w:val="bottom"/>
          </w:tcPr>
          <w:p>
            <w:pPr>
              <w:jc w:val="right"/>
              <w:ind w:right="102"/>
              <w:spacing w:after="0"/>
              <w:rPr>
                <w:sz w:val="20"/>
                <w:szCs w:val="20"/>
                <w:color w:val="auto"/>
              </w:rPr>
            </w:pPr>
            <w:r>
              <w:rPr>
                <w:rFonts w:ascii="Arial" w:cs="Arial" w:eastAsia="Arial" w:hAnsi="Arial"/>
                <w:sz w:val="12"/>
                <w:szCs w:val="12"/>
                <w:b w:val="1"/>
                <w:bCs w:val="1"/>
                <w:color w:val="auto"/>
              </w:rPr>
              <w:t>—</w:t>
            </w:r>
          </w:p>
        </w:tc>
        <w:tc>
          <w:tcPr>
            <w:tcW w:w="540" w:type="dxa"/>
            <w:vAlign w:val="bottom"/>
          </w:tcPr>
          <w:p>
            <w:pPr>
              <w:jc w:val="right"/>
              <w:ind w:right="2"/>
              <w:spacing w:after="0"/>
              <w:rPr>
                <w:sz w:val="20"/>
                <w:szCs w:val="20"/>
                <w:color w:val="auto"/>
              </w:rPr>
            </w:pPr>
            <w:r>
              <w:rPr>
                <w:rFonts w:ascii="Arial" w:cs="Arial" w:eastAsia="Arial" w:hAnsi="Arial"/>
                <w:sz w:val="12"/>
                <w:szCs w:val="12"/>
                <w:b w:val="1"/>
                <w:bCs w:val="1"/>
                <w:color w:val="auto"/>
              </w:rPr>
              <w:t>—</w:t>
            </w:r>
          </w:p>
        </w:tc>
        <w:tc>
          <w:tcPr>
            <w:tcW w:w="680" w:type="dxa"/>
            <w:vAlign w:val="bottom"/>
          </w:tcPr>
          <w:p>
            <w:pPr>
              <w:jc w:val="right"/>
              <w:ind w:right="2"/>
              <w:spacing w:after="0"/>
              <w:rPr>
                <w:sz w:val="20"/>
                <w:szCs w:val="20"/>
                <w:color w:val="auto"/>
              </w:rPr>
            </w:pPr>
            <w:r>
              <w:rPr>
                <w:rFonts w:ascii="Arial" w:cs="Arial" w:eastAsia="Arial" w:hAnsi="Arial"/>
                <w:sz w:val="12"/>
                <w:szCs w:val="12"/>
                <w:b w:val="1"/>
                <w:bCs w:val="1"/>
                <w:color w:val="auto"/>
              </w:rPr>
              <w:t>—</w:t>
            </w:r>
          </w:p>
        </w:tc>
        <w:tc>
          <w:tcPr>
            <w:tcW w:w="1020" w:type="dxa"/>
            <w:vAlign w:val="bottom"/>
          </w:tcPr>
          <w:p>
            <w:pPr>
              <w:jc w:val="right"/>
              <w:ind w:right="82"/>
              <w:spacing w:after="0"/>
              <w:rPr>
                <w:sz w:val="20"/>
                <w:szCs w:val="20"/>
                <w:color w:val="auto"/>
              </w:rPr>
            </w:pPr>
            <w:r>
              <w:rPr>
                <w:rFonts w:ascii="Arial" w:cs="Arial" w:eastAsia="Arial" w:hAnsi="Arial"/>
                <w:sz w:val="12"/>
                <w:szCs w:val="12"/>
                <w:b w:val="1"/>
                <w:bCs w:val="1"/>
                <w:color w:val="auto"/>
              </w:rPr>
              <w:t>—</w:t>
            </w:r>
          </w:p>
        </w:tc>
        <w:tc>
          <w:tcPr>
            <w:tcW w:w="560" w:type="dxa"/>
            <w:vAlign w:val="bottom"/>
          </w:tcPr>
          <w:p>
            <w:pPr>
              <w:jc w:val="right"/>
              <w:ind w:right="2"/>
              <w:spacing w:after="0"/>
              <w:rPr>
                <w:sz w:val="20"/>
                <w:szCs w:val="20"/>
                <w:color w:val="auto"/>
              </w:rPr>
            </w:pPr>
            <w:r>
              <w:rPr>
                <w:rFonts w:ascii="Arial" w:cs="Arial" w:eastAsia="Arial" w:hAnsi="Arial"/>
                <w:sz w:val="12"/>
                <w:szCs w:val="12"/>
                <w:b w:val="1"/>
                <w:bCs w:val="1"/>
                <w:color w:val="auto"/>
              </w:rPr>
              <w:t>—</w:t>
            </w:r>
          </w:p>
        </w:tc>
        <w:tc>
          <w:tcPr>
            <w:tcW w:w="840" w:type="dxa"/>
            <w:vAlign w:val="bottom"/>
          </w:tcPr>
          <w:p>
            <w:pPr>
              <w:jc w:val="right"/>
              <w:ind w:right="122"/>
              <w:spacing w:after="0"/>
              <w:rPr>
                <w:sz w:val="20"/>
                <w:szCs w:val="20"/>
                <w:color w:val="auto"/>
              </w:rPr>
            </w:pPr>
            <w:r>
              <w:rPr>
                <w:rFonts w:ascii="Arial" w:cs="Arial" w:eastAsia="Arial" w:hAnsi="Arial"/>
                <w:sz w:val="12"/>
                <w:szCs w:val="12"/>
                <w:b w:val="1"/>
                <w:bCs w:val="1"/>
                <w:color w:val="auto"/>
              </w:rPr>
              <w:t>—</w:t>
            </w:r>
          </w:p>
        </w:tc>
        <w:tc>
          <w:tcPr>
            <w:tcW w:w="760" w:type="dxa"/>
            <w:vAlign w:val="bottom"/>
          </w:tcPr>
          <w:p>
            <w:pPr>
              <w:jc w:val="right"/>
              <w:ind w:right="102"/>
              <w:spacing w:after="0"/>
              <w:rPr>
                <w:sz w:val="20"/>
                <w:szCs w:val="20"/>
                <w:color w:val="auto"/>
              </w:rPr>
            </w:pPr>
            <w:r>
              <w:rPr>
                <w:rFonts w:ascii="Arial" w:cs="Arial" w:eastAsia="Arial" w:hAnsi="Arial"/>
                <w:sz w:val="12"/>
                <w:szCs w:val="12"/>
                <w:b w:val="1"/>
                <w:bCs w:val="1"/>
                <w:color w:val="auto"/>
              </w:rPr>
              <w:t>—</w:t>
            </w:r>
          </w:p>
        </w:tc>
        <w:tc>
          <w:tcPr>
            <w:tcW w:w="680" w:type="dxa"/>
            <w:vAlign w:val="bottom"/>
          </w:tcPr>
          <w:p>
            <w:pPr>
              <w:jc w:val="right"/>
              <w:ind w:right="102"/>
              <w:spacing w:after="0"/>
              <w:rPr>
                <w:sz w:val="20"/>
                <w:szCs w:val="20"/>
                <w:color w:val="auto"/>
              </w:rPr>
            </w:pPr>
            <w:r>
              <w:rPr>
                <w:rFonts w:ascii="Arial" w:cs="Arial" w:eastAsia="Arial" w:hAnsi="Arial"/>
                <w:sz w:val="12"/>
                <w:szCs w:val="12"/>
                <w:b w:val="1"/>
                <w:bCs w:val="1"/>
                <w:color w:val="auto"/>
              </w:rPr>
              <w:t>—</w:t>
            </w:r>
          </w:p>
        </w:tc>
        <w:tc>
          <w:tcPr>
            <w:tcW w:w="860" w:type="dxa"/>
            <w:vAlign w:val="bottom"/>
          </w:tcPr>
          <w:p>
            <w:pPr>
              <w:jc w:val="right"/>
              <w:ind w:right="22"/>
              <w:spacing w:after="0"/>
              <w:rPr>
                <w:sz w:val="20"/>
                <w:szCs w:val="20"/>
                <w:color w:val="auto"/>
              </w:rPr>
            </w:pPr>
            <w:r>
              <w:rPr>
                <w:rFonts w:ascii="Arial" w:cs="Arial" w:eastAsia="Arial" w:hAnsi="Arial"/>
                <w:sz w:val="12"/>
                <w:szCs w:val="12"/>
                <w:b w:val="1"/>
                <w:bCs w:val="1"/>
                <w:color w:val="auto"/>
              </w:rPr>
              <w:t>(41,773)</w:t>
            </w: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(41,773)</w:t>
            </w:r>
          </w:p>
        </w:tc>
        <w:tc>
          <w:tcPr>
            <w:tcW w:w="860" w:type="dxa"/>
            <w:vAlign w:val="bottom"/>
          </w:tcPr>
          <w:p>
            <w:pPr>
              <w:jc w:val="right"/>
              <w:ind w:right="42"/>
              <w:spacing w:after="0"/>
              <w:rPr>
                <w:sz w:val="20"/>
                <w:szCs w:val="20"/>
                <w:color w:val="auto"/>
              </w:rPr>
            </w:pPr>
            <w:r>
              <w:rPr>
                <w:rFonts w:ascii="Arial" w:cs="Arial" w:eastAsia="Arial" w:hAnsi="Arial"/>
                <w:sz w:val="12"/>
                <w:szCs w:val="12"/>
                <w:b w:val="1"/>
                <w:bCs w:val="1"/>
                <w:color w:val="auto"/>
              </w:rPr>
              <w:t>(7,111)</w:t>
            </w:r>
          </w:p>
        </w:tc>
        <w:tc>
          <w:tcPr>
            <w:tcW w:w="620" w:type="dxa"/>
            <w:vAlign w:val="bottom"/>
          </w:tcPr>
          <w:p>
            <w:pPr>
              <w:jc w:val="right"/>
              <w:spacing w:after="0"/>
              <w:rPr>
                <w:sz w:val="20"/>
                <w:szCs w:val="20"/>
                <w:color w:val="auto"/>
              </w:rPr>
            </w:pPr>
            <w:r>
              <w:rPr>
                <w:rFonts w:ascii="Arial" w:cs="Arial" w:eastAsia="Arial" w:hAnsi="Arial"/>
                <w:sz w:val="12"/>
                <w:szCs w:val="12"/>
                <w:b w:val="1"/>
                <w:bCs w:val="1"/>
                <w:color w:val="auto"/>
              </w:rPr>
              <w:t>(48,883)</w:t>
            </w:r>
          </w:p>
        </w:tc>
        <w:tc>
          <w:tcPr>
            <w:tcW w:w="0" w:type="dxa"/>
            <w:vAlign w:val="bottom"/>
          </w:tcPr>
          <w:p>
            <w:pPr>
              <w:spacing w:after="0"/>
              <w:rPr>
                <w:sz w:val="1"/>
                <w:szCs w:val="1"/>
                <w:color w:val="auto"/>
              </w:rPr>
            </w:pPr>
          </w:p>
        </w:tc>
      </w:tr>
      <w:tr>
        <w:trPr>
          <w:trHeight w:val="183"/>
        </w:trPr>
        <w:tc>
          <w:tcPr>
            <w:tcW w:w="1500" w:type="dxa"/>
            <w:vAlign w:val="bottom"/>
          </w:tcPr>
          <w:p>
            <w:pPr>
              <w:ind w:left="20"/>
              <w:spacing w:after="0"/>
              <w:rPr>
                <w:sz w:val="20"/>
                <w:szCs w:val="20"/>
                <w:color w:val="auto"/>
              </w:rPr>
            </w:pPr>
            <w:r>
              <w:rPr>
                <w:rFonts w:ascii="Arial" w:cs="Arial" w:eastAsia="Arial" w:hAnsi="Arial"/>
                <w:sz w:val="12"/>
                <w:szCs w:val="12"/>
                <w:color w:val="auto"/>
              </w:rPr>
              <w:t>Exercise of stock options</w:t>
            </w:r>
          </w:p>
        </w:tc>
        <w:tc>
          <w:tcPr>
            <w:tcW w:w="440" w:type="dxa"/>
            <w:vAlign w:val="bottom"/>
          </w:tcPr>
          <w:p>
            <w:pPr>
              <w:jc w:val="right"/>
              <w:spacing w:after="0"/>
              <w:rPr>
                <w:sz w:val="20"/>
                <w:szCs w:val="20"/>
                <w:color w:val="auto"/>
              </w:rPr>
            </w:pPr>
            <w:r>
              <w:rPr>
                <w:rFonts w:ascii="Arial" w:cs="Arial" w:eastAsia="Arial" w:hAnsi="Arial"/>
                <w:sz w:val="12"/>
                <w:szCs w:val="12"/>
                <w:color w:val="183964"/>
              </w:rPr>
              <w:t>7</w:t>
            </w:r>
          </w:p>
        </w:tc>
        <w:tc>
          <w:tcPr>
            <w:tcW w:w="1060" w:type="dxa"/>
            <w:vAlign w:val="bottom"/>
          </w:tcPr>
          <w:p>
            <w:pPr>
              <w:jc w:val="right"/>
              <w:ind w:right="102"/>
              <w:spacing w:after="0"/>
              <w:rPr>
                <w:sz w:val="20"/>
                <w:szCs w:val="20"/>
                <w:color w:val="auto"/>
              </w:rPr>
            </w:pPr>
            <w:r>
              <w:rPr>
                <w:rFonts w:ascii="Arial" w:cs="Arial" w:eastAsia="Arial" w:hAnsi="Arial"/>
                <w:sz w:val="12"/>
                <w:szCs w:val="12"/>
                <w:color w:val="183964"/>
              </w:rPr>
              <w:t>—</w:t>
            </w:r>
          </w:p>
        </w:tc>
        <w:tc>
          <w:tcPr>
            <w:tcW w:w="540" w:type="dxa"/>
            <w:vAlign w:val="bottom"/>
          </w:tcPr>
          <w:p>
            <w:pPr>
              <w:jc w:val="right"/>
              <w:ind w:right="2"/>
              <w:spacing w:after="0"/>
              <w:rPr>
                <w:sz w:val="20"/>
                <w:szCs w:val="20"/>
                <w:color w:val="auto"/>
              </w:rPr>
            </w:pPr>
            <w:r>
              <w:rPr>
                <w:rFonts w:ascii="Arial" w:cs="Arial" w:eastAsia="Arial" w:hAnsi="Arial"/>
                <w:sz w:val="12"/>
                <w:szCs w:val="12"/>
                <w:color w:val="183964"/>
              </w:rPr>
              <w:t>—</w:t>
            </w:r>
          </w:p>
        </w:tc>
        <w:tc>
          <w:tcPr>
            <w:tcW w:w="680" w:type="dxa"/>
            <w:vAlign w:val="bottom"/>
          </w:tcPr>
          <w:p>
            <w:pPr>
              <w:jc w:val="right"/>
              <w:ind w:right="2"/>
              <w:spacing w:after="0"/>
              <w:rPr>
                <w:sz w:val="20"/>
                <w:szCs w:val="20"/>
                <w:color w:val="auto"/>
              </w:rPr>
            </w:pPr>
            <w:r>
              <w:rPr>
                <w:rFonts w:ascii="Arial" w:cs="Arial" w:eastAsia="Arial" w:hAnsi="Arial"/>
                <w:sz w:val="12"/>
                <w:szCs w:val="12"/>
                <w:color w:val="183964"/>
              </w:rPr>
              <w:t>—</w:t>
            </w:r>
          </w:p>
        </w:tc>
        <w:tc>
          <w:tcPr>
            <w:tcW w:w="1020" w:type="dxa"/>
            <w:vAlign w:val="bottom"/>
          </w:tcPr>
          <w:p>
            <w:pPr>
              <w:jc w:val="right"/>
              <w:ind w:right="82"/>
              <w:spacing w:after="0"/>
              <w:rPr>
                <w:sz w:val="20"/>
                <w:szCs w:val="20"/>
                <w:color w:val="auto"/>
              </w:rPr>
            </w:pPr>
            <w:r>
              <w:rPr>
                <w:rFonts w:ascii="Arial" w:cs="Arial" w:eastAsia="Arial" w:hAnsi="Arial"/>
                <w:sz w:val="12"/>
                <w:szCs w:val="12"/>
                <w:color w:val="183964"/>
              </w:rPr>
              <w:t>412,729</w:t>
            </w:r>
          </w:p>
        </w:tc>
        <w:tc>
          <w:tcPr>
            <w:tcW w:w="560" w:type="dxa"/>
            <w:vAlign w:val="bottom"/>
          </w:tcPr>
          <w:p>
            <w:pPr>
              <w:jc w:val="right"/>
              <w:ind w:right="2"/>
              <w:spacing w:after="0"/>
              <w:rPr>
                <w:sz w:val="20"/>
                <w:szCs w:val="20"/>
                <w:color w:val="auto"/>
              </w:rPr>
            </w:pPr>
            <w:r>
              <w:rPr>
                <w:rFonts w:ascii="Arial" w:cs="Arial" w:eastAsia="Arial" w:hAnsi="Arial"/>
                <w:sz w:val="12"/>
                <w:szCs w:val="12"/>
                <w:color w:val="183964"/>
              </w:rPr>
              <w:t>1,041</w:t>
            </w:r>
          </w:p>
        </w:tc>
        <w:tc>
          <w:tcPr>
            <w:tcW w:w="840" w:type="dxa"/>
            <w:vAlign w:val="bottom"/>
          </w:tcPr>
          <w:p>
            <w:pPr>
              <w:jc w:val="right"/>
              <w:ind w:right="122"/>
              <w:spacing w:after="0"/>
              <w:rPr>
                <w:sz w:val="20"/>
                <w:szCs w:val="20"/>
                <w:color w:val="auto"/>
              </w:rPr>
            </w:pPr>
            <w:r>
              <w:rPr>
                <w:rFonts w:ascii="Arial" w:cs="Arial" w:eastAsia="Arial" w:hAnsi="Arial"/>
                <w:sz w:val="12"/>
                <w:szCs w:val="12"/>
                <w:color w:val="183964"/>
              </w:rPr>
              <w:t>—</w:t>
            </w:r>
          </w:p>
        </w:tc>
        <w:tc>
          <w:tcPr>
            <w:tcW w:w="760" w:type="dxa"/>
            <w:vAlign w:val="bottom"/>
          </w:tcPr>
          <w:p>
            <w:pPr>
              <w:jc w:val="right"/>
              <w:ind w:right="102"/>
              <w:spacing w:after="0"/>
              <w:rPr>
                <w:sz w:val="20"/>
                <w:szCs w:val="20"/>
                <w:color w:val="auto"/>
              </w:rPr>
            </w:pPr>
            <w:r>
              <w:rPr>
                <w:rFonts w:ascii="Arial" w:cs="Arial" w:eastAsia="Arial" w:hAnsi="Arial"/>
                <w:sz w:val="12"/>
                <w:szCs w:val="12"/>
                <w:color w:val="183964"/>
              </w:rPr>
              <w:t>—</w:t>
            </w:r>
          </w:p>
        </w:tc>
        <w:tc>
          <w:tcPr>
            <w:tcW w:w="680" w:type="dxa"/>
            <w:vAlign w:val="bottom"/>
          </w:tcPr>
          <w:p>
            <w:pPr>
              <w:jc w:val="right"/>
              <w:ind w:right="82"/>
              <w:spacing w:after="0"/>
              <w:rPr>
                <w:sz w:val="20"/>
                <w:szCs w:val="20"/>
                <w:color w:val="auto"/>
              </w:rPr>
            </w:pPr>
            <w:r>
              <w:rPr>
                <w:rFonts w:ascii="Arial" w:cs="Arial" w:eastAsia="Arial" w:hAnsi="Arial"/>
                <w:sz w:val="12"/>
                <w:szCs w:val="12"/>
                <w:color w:val="183964"/>
              </w:rPr>
              <w:t>(146)</w:t>
            </w:r>
          </w:p>
        </w:tc>
        <w:tc>
          <w:tcPr>
            <w:tcW w:w="860" w:type="dxa"/>
            <w:vAlign w:val="bottom"/>
          </w:tcPr>
          <w:p>
            <w:pPr>
              <w:jc w:val="right"/>
              <w:ind w:right="62"/>
              <w:spacing w:after="0"/>
              <w:rPr>
                <w:sz w:val="20"/>
                <w:szCs w:val="20"/>
                <w:color w:val="auto"/>
              </w:rPr>
            </w:pPr>
            <w:r>
              <w:rPr>
                <w:rFonts w:ascii="Arial" w:cs="Arial" w:eastAsia="Arial" w:hAnsi="Arial"/>
                <w:sz w:val="12"/>
                <w:szCs w:val="12"/>
                <w:color w:val="183964"/>
              </w:rPr>
              <w:t>—</w:t>
            </w:r>
          </w:p>
        </w:tc>
        <w:tc>
          <w:tcPr>
            <w:tcW w:w="700" w:type="dxa"/>
            <w:vAlign w:val="bottom"/>
          </w:tcPr>
          <w:p>
            <w:pPr>
              <w:jc w:val="right"/>
              <w:ind w:right="22"/>
              <w:spacing w:after="0"/>
              <w:rPr>
                <w:sz w:val="20"/>
                <w:szCs w:val="20"/>
                <w:color w:val="auto"/>
              </w:rPr>
            </w:pPr>
            <w:r>
              <w:rPr>
                <w:rFonts w:ascii="Arial" w:cs="Arial" w:eastAsia="Arial" w:hAnsi="Arial"/>
                <w:sz w:val="12"/>
                <w:szCs w:val="12"/>
                <w:color w:val="183964"/>
              </w:rPr>
              <w:t>895</w:t>
            </w:r>
          </w:p>
        </w:tc>
        <w:tc>
          <w:tcPr>
            <w:tcW w:w="860" w:type="dxa"/>
            <w:vAlign w:val="bottom"/>
          </w:tcPr>
          <w:p>
            <w:pPr>
              <w:jc w:val="right"/>
              <w:ind w:right="62"/>
              <w:spacing w:after="0"/>
              <w:rPr>
                <w:sz w:val="20"/>
                <w:szCs w:val="20"/>
                <w:color w:val="auto"/>
              </w:rPr>
            </w:pPr>
            <w:r>
              <w:rPr>
                <w:rFonts w:ascii="Arial" w:cs="Arial" w:eastAsia="Arial" w:hAnsi="Arial"/>
                <w:sz w:val="12"/>
                <w:szCs w:val="12"/>
                <w:color w:val="183964"/>
              </w:rPr>
              <w:t>—</w:t>
            </w:r>
          </w:p>
        </w:tc>
        <w:tc>
          <w:tcPr>
            <w:tcW w:w="620" w:type="dxa"/>
            <w:vAlign w:val="bottom"/>
          </w:tcPr>
          <w:p>
            <w:pPr>
              <w:jc w:val="right"/>
              <w:ind w:right="2"/>
              <w:spacing w:after="0"/>
              <w:rPr>
                <w:sz w:val="20"/>
                <w:szCs w:val="20"/>
                <w:color w:val="auto"/>
              </w:rPr>
            </w:pPr>
            <w:r>
              <w:rPr>
                <w:rFonts w:ascii="Arial" w:cs="Arial" w:eastAsia="Arial" w:hAnsi="Arial"/>
                <w:sz w:val="12"/>
                <w:szCs w:val="12"/>
                <w:color w:val="183964"/>
              </w:rPr>
              <w:t>895</w:t>
            </w:r>
          </w:p>
        </w:tc>
        <w:tc>
          <w:tcPr>
            <w:tcW w:w="0" w:type="dxa"/>
            <w:vAlign w:val="bottom"/>
          </w:tcPr>
          <w:p>
            <w:pPr>
              <w:spacing w:after="0"/>
              <w:rPr>
                <w:sz w:val="1"/>
                <w:szCs w:val="1"/>
                <w:color w:val="auto"/>
              </w:rPr>
            </w:pPr>
          </w:p>
        </w:tc>
      </w:tr>
      <w:tr>
        <w:trPr>
          <w:trHeight w:val="172"/>
        </w:trPr>
        <w:tc>
          <w:tcPr>
            <w:tcW w:w="1500" w:type="dxa"/>
            <w:vAlign w:val="bottom"/>
          </w:tcPr>
          <w:p>
            <w:pPr>
              <w:ind w:left="20"/>
              <w:spacing w:after="0"/>
              <w:rPr>
                <w:sz w:val="20"/>
                <w:szCs w:val="20"/>
                <w:color w:val="auto"/>
              </w:rPr>
            </w:pPr>
            <w:r>
              <w:rPr>
                <w:rFonts w:ascii="Arial" w:cs="Arial" w:eastAsia="Arial" w:hAnsi="Arial"/>
                <w:sz w:val="12"/>
                <w:szCs w:val="12"/>
                <w:color w:val="auto"/>
              </w:rPr>
              <w:t>Repurchase and</w:t>
            </w: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500" w:type="dxa"/>
            <w:vAlign w:val="bottom"/>
          </w:tcPr>
          <w:p>
            <w:pPr>
              <w:ind w:left="20"/>
              <w:spacing w:after="0"/>
              <w:rPr>
                <w:sz w:val="20"/>
                <w:szCs w:val="20"/>
                <w:color w:val="auto"/>
              </w:rPr>
            </w:pPr>
            <w:r>
              <w:rPr>
                <w:rFonts w:ascii="Arial" w:cs="Arial" w:eastAsia="Arial" w:hAnsi="Arial"/>
                <w:sz w:val="12"/>
                <w:szCs w:val="12"/>
                <w:color w:val="auto"/>
              </w:rPr>
              <w:t>cancellation of ordinary</w:t>
            </w:r>
          </w:p>
        </w:tc>
        <w:tc>
          <w:tcPr>
            <w:tcW w:w="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500" w:type="dxa"/>
            <w:vAlign w:val="bottom"/>
          </w:tcPr>
          <w:p>
            <w:pPr>
              <w:ind w:left="20"/>
              <w:spacing w:after="0"/>
              <w:rPr>
                <w:sz w:val="20"/>
                <w:szCs w:val="20"/>
                <w:color w:val="auto"/>
              </w:rPr>
            </w:pPr>
            <w:r>
              <w:rPr>
                <w:rFonts w:ascii="Arial" w:cs="Arial" w:eastAsia="Arial" w:hAnsi="Arial"/>
                <w:sz w:val="12"/>
                <w:szCs w:val="12"/>
                <w:color w:val="auto"/>
              </w:rPr>
              <w:t>shares from Tender Offer</w:t>
            </w:r>
          </w:p>
        </w:tc>
        <w:tc>
          <w:tcPr>
            <w:tcW w:w="440" w:type="dxa"/>
            <w:vAlign w:val="bottom"/>
          </w:tcPr>
          <w:p>
            <w:pPr>
              <w:jc w:val="right"/>
              <w:spacing w:after="0"/>
              <w:rPr>
                <w:sz w:val="20"/>
                <w:szCs w:val="20"/>
                <w:color w:val="auto"/>
              </w:rPr>
            </w:pPr>
            <w:r>
              <w:rPr>
                <w:rFonts w:ascii="Arial" w:cs="Arial" w:eastAsia="Arial" w:hAnsi="Arial"/>
                <w:sz w:val="12"/>
                <w:szCs w:val="12"/>
                <w:color w:val="183964"/>
              </w:rPr>
              <w:t>10</w:t>
            </w:r>
          </w:p>
        </w:tc>
        <w:tc>
          <w:tcPr>
            <w:tcW w:w="1060" w:type="dxa"/>
            <w:vAlign w:val="bottom"/>
          </w:tcPr>
          <w:p>
            <w:pPr>
              <w:jc w:val="right"/>
              <w:ind w:right="62"/>
              <w:spacing w:after="0"/>
              <w:rPr>
                <w:sz w:val="20"/>
                <w:szCs w:val="20"/>
                <w:color w:val="auto"/>
              </w:rPr>
            </w:pPr>
            <w:r>
              <w:rPr>
                <w:rFonts w:ascii="Arial" w:cs="Arial" w:eastAsia="Arial" w:hAnsi="Arial"/>
                <w:sz w:val="12"/>
                <w:szCs w:val="12"/>
                <w:color w:val="183964"/>
              </w:rPr>
              <w:t>(31,540,670)</w:t>
            </w:r>
          </w:p>
        </w:tc>
        <w:tc>
          <w:tcPr>
            <w:tcW w:w="540" w:type="dxa"/>
            <w:vAlign w:val="bottom"/>
          </w:tcPr>
          <w:p>
            <w:pPr>
              <w:jc w:val="right"/>
              <w:spacing w:after="0"/>
              <w:rPr>
                <w:sz w:val="20"/>
                <w:szCs w:val="20"/>
                <w:color w:val="auto"/>
              </w:rPr>
            </w:pPr>
            <w:r>
              <w:rPr>
                <w:rFonts w:ascii="Arial" w:cs="Arial" w:eastAsia="Arial" w:hAnsi="Arial"/>
                <w:sz w:val="12"/>
                <w:szCs w:val="12"/>
                <w:color w:val="183964"/>
              </w:rPr>
              <w:t>(600)</w:t>
            </w:r>
          </w:p>
        </w:tc>
        <w:tc>
          <w:tcPr>
            <w:tcW w:w="680" w:type="dxa"/>
            <w:vAlign w:val="bottom"/>
          </w:tcPr>
          <w:p>
            <w:pPr>
              <w:jc w:val="right"/>
              <w:ind w:right="2"/>
              <w:spacing w:after="0"/>
              <w:rPr>
                <w:sz w:val="20"/>
                <w:szCs w:val="20"/>
                <w:color w:val="auto"/>
              </w:rPr>
            </w:pPr>
            <w:r>
              <w:rPr>
                <w:rFonts w:ascii="Arial" w:cs="Arial" w:eastAsia="Arial" w:hAnsi="Arial"/>
                <w:sz w:val="12"/>
                <w:szCs w:val="12"/>
                <w:color w:val="183964"/>
              </w:rPr>
              <w:t>—</w:t>
            </w:r>
          </w:p>
        </w:tc>
        <w:tc>
          <w:tcPr>
            <w:tcW w:w="1020" w:type="dxa"/>
            <w:vAlign w:val="bottom"/>
          </w:tcPr>
          <w:p>
            <w:pPr>
              <w:jc w:val="right"/>
              <w:ind w:right="82"/>
              <w:spacing w:after="0"/>
              <w:rPr>
                <w:sz w:val="20"/>
                <w:szCs w:val="20"/>
                <w:color w:val="auto"/>
              </w:rPr>
            </w:pPr>
            <w:r>
              <w:rPr>
                <w:rFonts w:ascii="Arial" w:cs="Arial" w:eastAsia="Arial" w:hAnsi="Arial"/>
                <w:sz w:val="12"/>
                <w:szCs w:val="12"/>
                <w:color w:val="183964"/>
              </w:rPr>
              <w:t>—</w:t>
            </w:r>
          </w:p>
        </w:tc>
        <w:tc>
          <w:tcPr>
            <w:tcW w:w="560" w:type="dxa"/>
            <w:vAlign w:val="bottom"/>
          </w:tcPr>
          <w:p>
            <w:pPr>
              <w:jc w:val="right"/>
              <w:ind w:right="2"/>
              <w:spacing w:after="0"/>
              <w:rPr>
                <w:sz w:val="20"/>
                <w:szCs w:val="20"/>
                <w:color w:val="auto"/>
              </w:rPr>
            </w:pPr>
            <w:r>
              <w:rPr>
                <w:rFonts w:ascii="Arial" w:cs="Arial" w:eastAsia="Arial" w:hAnsi="Arial"/>
                <w:sz w:val="12"/>
                <w:szCs w:val="12"/>
                <w:color w:val="183964"/>
              </w:rPr>
              <w:t>—</w:t>
            </w:r>
          </w:p>
        </w:tc>
        <w:tc>
          <w:tcPr>
            <w:tcW w:w="840" w:type="dxa"/>
            <w:vAlign w:val="bottom"/>
          </w:tcPr>
          <w:p>
            <w:pPr>
              <w:jc w:val="right"/>
              <w:ind w:right="122"/>
              <w:spacing w:after="0"/>
              <w:rPr>
                <w:sz w:val="20"/>
                <w:szCs w:val="20"/>
                <w:color w:val="auto"/>
              </w:rPr>
            </w:pPr>
            <w:r>
              <w:rPr>
                <w:rFonts w:ascii="Arial" w:cs="Arial" w:eastAsia="Arial" w:hAnsi="Arial"/>
                <w:sz w:val="12"/>
                <w:szCs w:val="12"/>
                <w:color w:val="183964"/>
              </w:rPr>
              <w:t>—</w:t>
            </w:r>
          </w:p>
        </w:tc>
        <w:tc>
          <w:tcPr>
            <w:tcW w:w="760" w:type="dxa"/>
            <w:vAlign w:val="bottom"/>
          </w:tcPr>
          <w:p>
            <w:pPr>
              <w:jc w:val="right"/>
              <w:ind w:right="102"/>
              <w:spacing w:after="0"/>
              <w:rPr>
                <w:sz w:val="20"/>
                <w:szCs w:val="20"/>
                <w:color w:val="auto"/>
              </w:rPr>
            </w:pPr>
            <w:r>
              <w:rPr>
                <w:rFonts w:ascii="Arial" w:cs="Arial" w:eastAsia="Arial" w:hAnsi="Arial"/>
                <w:sz w:val="12"/>
                <w:szCs w:val="12"/>
                <w:color w:val="183964"/>
              </w:rPr>
              <w:t>—</w:t>
            </w:r>
          </w:p>
        </w:tc>
        <w:tc>
          <w:tcPr>
            <w:tcW w:w="680" w:type="dxa"/>
            <w:vAlign w:val="bottom"/>
          </w:tcPr>
          <w:p>
            <w:pPr>
              <w:jc w:val="right"/>
              <w:ind w:right="102"/>
              <w:spacing w:after="0"/>
              <w:rPr>
                <w:sz w:val="20"/>
                <w:szCs w:val="20"/>
                <w:color w:val="auto"/>
              </w:rPr>
            </w:pPr>
            <w:r>
              <w:rPr>
                <w:rFonts w:ascii="Arial" w:cs="Arial" w:eastAsia="Arial" w:hAnsi="Arial"/>
                <w:sz w:val="12"/>
                <w:szCs w:val="12"/>
                <w:color w:val="183964"/>
              </w:rPr>
              <w:t>600</w:t>
            </w:r>
          </w:p>
        </w:tc>
        <w:tc>
          <w:tcPr>
            <w:tcW w:w="860" w:type="dxa"/>
            <w:vAlign w:val="bottom"/>
          </w:tcPr>
          <w:p>
            <w:pPr>
              <w:jc w:val="right"/>
              <w:ind w:right="22"/>
              <w:spacing w:after="0"/>
              <w:rPr>
                <w:sz w:val="20"/>
                <w:szCs w:val="20"/>
                <w:color w:val="auto"/>
              </w:rPr>
            </w:pPr>
            <w:r>
              <w:rPr>
                <w:rFonts w:ascii="Arial" w:cs="Arial" w:eastAsia="Arial" w:hAnsi="Arial"/>
                <w:sz w:val="12"/>
                <w:szCs w:val="12"/>
                <w:color w:val="183964"/>
              </w:rPr>
              <w:t>(104,558)</w:t>
            </w:r>
          </w:p>
        </w:tc>
        <w:tc>
          <w:tcPr>
            <w:tcW w:w="700" w:type="dxa"/>
            <w:vAlign w:val="bottom"/>
          </w:tcPr>
          <w:p>
            <w:pPr>
              <w:jc w:val="right"/>
              <w:spacing w:after="0"/>
              <w:rPr>
                <w:sz w:val="20"/>
                <w:szCs w:val="20"/>
                <w:color w:val="auto"/>
              </w:rPr>
            </w:pPr>
            <w:r>
              <w:rPr>
                <w:rFonts w:ascii="Arial" w:cs="Arial" w:eastAsia="Arial" w:hAnsi="Arial"/>
                <w:sz w:val="12"/>
                <w:szCs w:val="12"/>
                <w:color w:val="183964"/>
              </w:rPr>
              <w:t>(104,558)</w:t>
            </w:r>
          </w:p>
        </w:tc>
        <w:tc>
          <w:tcPr>
            <w:tcW w:w="860" w:type="dxa"/>
            <w:vAlign w:val="bottom"/>
          </w:tcPr>
          <w:p>
            <w:pPr>
              <w:jc w:val="right"/>
              <w:ind w:right="62"/>
              <w:spacing w:after="0"/>
              <w:rPr>
                <w:sz w:val="20"/>
                <w:szCs w:val="20"/>
                <w:color w:val="auto"/>
              </w:rPr>
            </w:pPr>
            <w:r>
              <w:rPr>
                <w:rFonts w:ascii="Arial" w:cs="Arial" w:eastAsia="Arial" w:hAnsi="Arial"/>
                <w:sz w:val="12"/>
                <w:szCs w:val="12"/>
                <w:color w:val="183964"/>
              </w:rPr>
              <w:t>—</w:t>
            </w:r>
          </w:p>
        </w:tc>
        <w:tc>
          <w:tcPr>
            <w:tcW w:w="620" w:type="dxa"/>
            <w:vAlign w:val="bottom"/>
          </w:tcPr>
          <w:p>
            <w:pPr>
              <w:jc w:val="right"/>
              <w:spacing w:after="0"/>
              <w:rPr>
                <w:sz w:val="20"/>
                <w:szCs w:val="20"/>
                <w:color w:val="auto"/>
              </w:rPr>
            </w:pPr>
            <w:r>
              <w:rPr>
                <w:rFonts w:ascii="Arial" w:cs="Arial" w:eastAsia="Arial" w:hAnsi="Arial"/>
                <w:sz w:val="12"/>
                <w:szCs w:val="12"/>
                <w:color w:val="183964"/>
              </w:rPr>
              <w:t>(104,558)</w:t>
            </w:r>
          </w:p>
        </w:tc>
        <w:tc>
          <w:tcPr>
            <w:tcW w:w="0" w:type="dxa"/>
            <w:vAlign w:val="bottom"/>
          </w:tcPr>
          <w:p>
            <w:pPr>
              <w:spacing w:after="0"/>
              <w:rPr>
                <w:sz w:val="1"/>
                <w:szCs w:val="1"/>
                <w:color w:val="auto"/>
              </w:rPr>
            </w:pPr>
          </w:p>
        </w:tc>
      </w:tr>
      <w:tr>
        <w:trPr>
          <w:trHeight w:val="189"/>
        </w:trPr>
        <w:tc>
          <w:tcPr>
            <w:tcW w:w="1500" w:type="dxa"/>
            <w:vAlign w:val="bottom"/>
          </w:tcPr>
          <w:p>
            <w:pPr>
              <w:ind w:left="20"/>
              <w:spacing w:after="0"/>
              <w:rPr>
                <w:sz w:val="20"/>
                <w:szCs w:val="20"/>
                <w:color w:val="auto"/>
              </w:rPr>
            </w:pPr>
            <w:r>
              <w:rPr>
                <w:rFonts w:ascii="Arial" w:cs="Arial" w:eastAsia="Arial" w:hAnsi="Arial"/>
                <w:sz w:val="12"/>
                <w:szCs w:val="12"/>
                <w:color w:val="auto"/>
                <w:w w:val="99"/>
              </w:rPr>
              <w:t>Purchase of Treasury stock</w:t>
            </w:r>
          </w:p>
        </w:tc>
        <w:tc>
          <w:tcPr>
            <w:tcW w:w="440" w:type="dxa"/>
            <w:vAlign w:val="bottom"/>
          </w:tcPr>
          <w:p>
            <w:pPr>
              <w:jc w:val="right"/>
              <w:spacing w:after="0"/>
              <w:rPr>
                <w:sz w:val="20"/>
                <w:szCs w:val="20"/>
                <w:color w:val="auto"/>
              </w:rPr>
            </w:pPr>
            <w:r>
              <w:rPr>
                <w:rFonts w:ascii="Arial" w:cs="Arial" w:eastAsia="Arial" w:hAnsi="Arial"/>
                <w:sz w:val="12"/>
                <w:szCs w:val="12"/>
                <w:color w:val="183964"/>
              </w:rPr>
              <w:t>10</w:t>
            </w:r>
          </w:p>
        </w:tc>
        <w:tc>
          <w:tcPr>
            <w:tcW w:w="1060" w:type="dxa"/>
            <w:vAlign w:val="bottom"/>
          </w:tcPr>
          <w:p>
            <w:pPr>
              <w:jc w:val="right"/>
              <w:ind w:right="102"/>
              <w:spacing w:after="0"/>
              <w:rPr>
                <w:sz w:val="20"/>
                <w:szCs w:val="20"/>
                <w:color w:val="auto"/>
              </w:rPr>
            </w:pPr>
            <w:r>
              <w:rPr>
                <w:rFonts w:ascii="Arial" w:cs="Arial" w:eastAsia="Arial" w:hAnsi="Arial"/>
                <w:sz w:val="12"/>
                <w:szCs w:val="12"/>
                <w:color w:val="183964"/>
              </w:rPr>
              <w:t>—</w:t>
            </w:r>
          </w:p>
        </w:tc>
        <w:tc>
          <w:tcPr>
            <w:tcW w:w="540" w:type="dxa"/>
            <w:vAlign w:val="bottom"/>
          </w:tcPr>
          <w:p>
            <w:pPr>
              <w:jc w:val="right"/>
              <w:ind w:right="2"/>
              <w:spacing w:after="0"/>
              <w:rPr>
                <w:sz w:val="20"/>
                <w:szCs w:val="20"/>
                <w:color w:val="auto"/>
              </w:rPr>
            </w:pPr>
            <w:r>
              <w:rPr>
                <w:rFonts w:ascii="Arial" w:cs="Arial" w:eastAsia="Arial" w:hAnsi="Arial"/>
                <w:sz w:val="12"/>
                <w:szCs w:val="12"/>
                <w:color w:val="183964"/>
              </w:rPr>
              <w:t>—</w:t>
            </w:r>
          </w:p>
        </w:tc>
        <w:tc>
          <w:tcPr>
            <w:tcW w:w="680" w:type="dxa"/>
            <w:vAlign w:val="bottom"/>
          </w:tcPr>
          <w:p>
            <w:pPr>
              <w:jc w:val="right"/>
              <w:ind w:right="2"/>
              <w:spacing w:after="0"/>
              <w:rPr>
                <w:sz w:val="20"/>
                <w:szCs w:val="20"/>
                <w:color w:val="auto"/>
              </w:rPr>
            </w:pPr>
            <w:r>
              <w:rPr>
                <w:rFonts w:ascii="Arial" w:cs="Arial" w:eastAsia="Arial" w:hAnsi="Arial"/>
                <w:sz w:val="12"/>
                <w:szCs w:val="12"/>
                <w:color w:val="183964"/>
              </w:rPr>
              <w:t>—</w:t>
            </w:r>
          </w:p>
        </w:tc>
        <w:tc>
          <w:tcPr>
            <w:tcW w:w="1020" w:type="dxa"/>
            <w:vAlign w:val="bottom"/>
          </w:tcPr>
          <w:p>
            <w:pPr>
              <w:jc w:val="right"/>
              <w:ind w:right="62"/>
              <w:spacing w:after="0"/>
              <w:rPr>
                <w:sz w:val="20"/>
                <w:szCs w:val="20"/>
                <w:color w:val="auto"/>
              </w:rPr>
            </w:pPr>
            <w:r>
              <w:rPr>
                <w:rFonts w:ascii="Arial" w:cs="Arial" w:eastAsia="Arial" w:hAnsi="Arial"/>
                <w:sz w:val="12"/>
                <w:szCs w:val="12"/>
                <w:color w:val="183964"/>
              </w:rPr>
              <w:t>(1,903,990)</w:t>
            </w:r>
          </w:p>
        </w:tc>
        <w:tc>
          <w:tcPr>
            <w:tcW w:w="560" w:type="dxa"/>
            <w:vAlign w:val="bottom"/>
          </w:tcPr>
          <w:p>
            <w:pPr>
              <w:jc w:val="right"/>
              <w:spacing w:after="0"/>
              <w:rPr>
                <w:sz w:val="20"/>
                <w:szCs w:val="20"/>
                <w:color w:val="auto"/>
              </w:rPr>
            </w:pPr>
            <w:r>
              <w:rPr>
                <w:rFonts w:ascii="Arial" w:cs="Arial" w:eastAsia="Arial" w:hAnsi="Arial"/>
                <w:sz w:val="12"/>
                <w:szCs w:val="12"/>
                <w:color w:val="183964"/>
              </w:rPr>
              <w:t>(4,819)</w:t>
            </w:r>
          </w:p>
        </w:tc>
        <w:tc>
          <w:tcPr>
            <w:tcW w:w="840" w:type="dxa"/>
            <w:vAlign w:val="bottom"/>
          </w:tcPr>
          <w:p>
            <w:pPr>
              <w:jc w:val="right"/>
              <w:ind w:right="122"/>
              <w:spacing w:after="0"/>
              <w:rPr>
                <w:sz w:val="20"/>
                <w:szCs w:val="20"/>
                <w:color w:val="auto"/>
              </w:rPr>
            </w:pPr>
            <w:r>
              <w:rPr>
                <w:rFonts w:ascii="Arial" w:cs="Arial" w:eastAsia="Arial" w:hAnsi="Arial"/>
                <w:sz w:val="12"/>
                <w:szCs w:val="12"/>
                <w:color w:val="183964"/>
              </w:rPr>
              <w:t>—</w:t>
            </w:r>
          </w:p>
        </w:tc>
        <w:tc>
          <w:tcPr>
            <w:tcW w:w="760" w:type="dxa"/>
            <w:vAlign w:val="bottom"/>
          </w:tcPr>
          <w:p>
            <w:pPr>
              <w:jc w:val="right"/>
              <w:ind w:right="102"/>
              <w:spacing w:after="0"/>
              <w:rPr>
                <w:sz w:val="20"/>
                <w:szCs w:val="20"/>
                <w:color w:val="auto"/>
              </w:rPr>
            </w:pPr>
            <w:r>
              <w:rPr>
                <w:rFonts w:ascii="Arial" w:cs="Arial" w:eastAsia="Arial" w:hAnsi="Arial"/>
                <w:sz w:val="12"/>
                <w:szCs w:val="12"/>
                <w:color w:val="183964"/>
              </w:rPr>
              <w:t>—</w:t>
            </w:r>
          </w:p>
        </w:tc>
        <w:tc>
          <w:tcPr>
            <w:tcW w:w="680" w:type="dxa"/>
            <w:vAlign w:val="bottom"/>
          </w:tcPr>
          <w:p>
            <w:pPr>
              <w:jc w:val="right"/>
              <w:ind w:right="102"/>
              <w:spacing w:after="0"/>
              <w:rPr>
                <w:sz w:val="20"/>
                <w:szCs w:val="20"/>
                <w:color w:val="auto"/>
              </w:rPr>
            </w:pPr>
            <w:r>
              <w:rPr>
                <w:rFonts w:ascii="Arial" w:cs="Arial" w:eastAsia="Arial" w:hAnsi="Arial"/>
                <w:sz w:val="12"/>
                <w:szCs w:val="12"/>
                <w:color w:val="183964"/>
              </w:rPr>
              <w:t>—</w:t>
            </w:r>
          </w:p>
        </w:tc>
        <w:tc>
          <w:tcPr>
            <w:tcW w:w="860" w:type="dxa"/>
            <w:vAlign w:val="bottom"/>
          </w:tcPr>
          <w:p>
            <w:pPr>
              <w:jc w:val="right"/>
              <w:ind w:right="62"/>
              <w:spacing w:after="0"/>
              <w:rPr>
                <w:sz w:val="20"/>
                <w:szCs w:val="20"/>
                <w:color w:val="auto"/>
              </w:rPr>
            </w:pPr>
            <w:r>
              <w:rPr>
                <w:rFonts w:ascii="Arial" w:cs="Arial" w:eastAsia="Arial" w:hAnsi="Arial"/>
                <w:sz w:val="12"/>
                <w:szCs w:val="12"/>
                <w:color w:val="183964"/>
              </w:rPr>
              <w:t>—</w:t>
            </w:r>
          </w:p>
        </w:tc>
        <w:tc>
          <w:tcPr>
            <w:tcW w:w="700" w:type="dxa"/>
            <w:vAlign w:val="bottom"/>
          </w:tcPr>
          <w:p>
            <w:pPr>
              <w:jc w:val="right"/>
              <w:spacing w:after="0"/>
              <w:rPr>
                <w:sz w:val="20"/>
                <w:szCs w:val="20"/>
                <w:color w:val="auto"/>
              </w:rPr>
            </w:pPr>
            <w:r>
              <w:rPr>
                <w:rFonts w:ascii="Arial" w:cs="Arial" w:eastAsia="Arial" w:hAnsi="Arial"/>
                <w:sz w:val="12"/>
                <w:szCs w:val="12"/>
                <w:color w:val="183964"/>
              </w:rPr>
              <w:t>(4,819)</w:t>
            </w:r>
          </w:p>
        </w:tc>
        <w:tc>
          <w:tcPr>
            <w:tcW w:w="860" w:type="dxa"/>
            <w:vAlign w:val="bottom"/>
          </w:tcPr>
          <w:p>
            <w:pPr>
              <w:jc w:val="right"/>
              <w:ind w:right="62"/>
              <w:spacing w:after="0"/>
              <w:rPr>
                <w:sz w:val="20"/>
                <w:szCs w:val="20"/>
                <w:color w:val="auto"/>
              </w:rPr>
            </w:pPr>
            <w:r>
              <w:rPr>
                <w:rFonts w:ascii="Arial" w:cs="Arial" w:eastAsia="Arial" w:hAnsi="Arial"/>
                <w:sz w:val="12"/>
                <w:szCs w:val="12"/>
                <w:color w:val="183964"/>
              </w:rPr>
              <w:t>—</w:t>
            </w:r>
          </w:p>
        </w:tc>
        <w:tc>
          <w:tcPr>
            <w:tcW w:w="620" w:type="dxa"/>
            <w:vAlign w:val="bottom"/>
          </w:tcPr>
          <w:p>
            <w:pPr>
              <w:jc w:val="right"/>
              <w:spacing w:after="0"/>
              <w:rPr>
                <w:sz w:val="20"/>
                <w:szCs w:val="20"/>
                <w:color w:val="auto"/>
              </w:rPr>
            </w:pPr>
            <w:r>
              <w:rPr>
                <w:rFonts w:ascii="Arial" w:cs="Arial" w:eastAsia="Arial" w:hAnsi="Arial"/>
                <w:sz w:val="12"/>
                <w:szCs w:val="12"/>
                <w:color w:val="183964"/>
              </w:rPr>
              <w:t>(4,819)</w:t>
            </w:r>
          </w:p>
        </w:tc>
        <w:tc>
          <w:tcPr>
            <w:tcW w:w="0" w:type="dxa"/>
            <w:vAlign w:val="bottom"/>
          </w:tcPr>
          <w:p>
            <w:pPr>
              <w:spacing w:after="0"/>
              <w:rPr>
                <w:sz w:val="1"/>
                <w:szCs w:val="1"/>
                <w:color w:val="auto"/>
              </w:rPr>
            </w:pPr>
          </w:p>
        </w:tc>
      </w:tr>
      <w:tr>
        <w:trPr>
          <w:trHeight w:val="172"/>
        </w:trPr>
        <w:tc>
          <w:tcPr>
            <w:tcW w:w="1500" w:type="dxa"/>
            <w:vAlign w:val="bottom"/>
          </w:tcPr>
          <w:p>
            <w:pPr>
              <w:ind w:left="20"/>
              <w:spacing w:after="0"/>
              <w:rPr>
                <w:sz w:val="20"/>
                <w:szCs w:val="20"/>
                <w:color w:val="auto"/>
              </w:rPr>
            </w:pPr>
            <w:r>
              <w:rPr>
                <w:rFonts w:ascii="Arial" w:cs="Arial" w:eastAsia="Arial" w:hAnsi="Arial"/>
                <w:sz w:val="12"/>
                <w:szCs w:val="12"/>
                <w:color w:val="auto"/>
              </w:rPr>
              <w:t>Equity-settled share-based</w:t>
            </w: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500" w:type="dxa"/>
            <w:vAlign w:val="bottom"/>
          </w:tcPr>
          <w:p>
            <w:pPr>
              <w:ind w:left="20"/>
              <w:spacing w:after="0"/>
              <w:rPr>
                <w:sz w:val="20"/>
                <w:szCs w:val="20"/>
                <w:color w:val="auto"/>
              </w:rPr>
            </w:pPr>
            <w:r>
              <w:rPr>
                <w:rFonts w:ascii="Arial" w:cs="Arial" w:eastAsia="Arial" w:hAnsi="Arial"/>
                <w:sz w:val="12"/>
                <w:szCs w:val="12"/>
                <w:color w:val="auto"/>
              </w:rPr>
              <w:t>awards expense</w:t>
            </w:r>
          </w:p>
        </w:tc>
        <w:tc>
          <w:tcPr>
            <w:tcW w:w="440" w:type="dxa"/>
            <w:vAlign w:val="bottom"/>
          </w:tcPr>
          <w:p>
            <w:pPr>
              <w:jc w:val="right"/>
              <w:spacing w:after="0"/>
              <w:rPr>
                <w:sz w:val="20"/>
                <w:szCs w:val="20"/>
                <w:color w:val="auto"/>
              </w:rPr>
            </w:pPr>
            <w:r>
              <w:rPr>
                <w:rFonts w:ascii="Arial" w:cs="Arial" w:eastAsia="Arial" w:hAnsi="Arial"/>
                <w:sz w:val="12"/>
                <w:szCs w:val="12"/>
                <w:color w:val="183964"/>
              </w:rPr>
              <w:t>7</w:t>
            </w:r>
          </w:p>
        </w:tc>
        <w:tc>
          <w:tcPr>
            <w:tcW w:w="1060" w:type="dxa"/>
            <w:vAlign w:val="bottom"/>
          </w:tcPr>
          <w:p>
            <w:pPr>
              <w:jc w:val="right"/>
              <w:ind w:right="102"/>
              <w:spacing w:after="0"/>
              <w:rPr>
                <w:sz w:val="20"/>
                <w:szCs w:val="20"/>
                <w:color w:val="auto"/>
              </w:rPr>
            </w:pPr>
            <w:r>
              <w:rPr>
                <w:rFonts w:ascii="Arial" w:cs="Arial" w:eastAsia="Arial" w:hAnsi="Arial"/>
                <w:sz w:val="12"/>
                <w:szCs w:val="12"/>
                <w:color w:val="183964"/>
              </w:rPr>
              <w:t>—</w:t>
            </w:r>
          </w:p>
        </w:tc>
        <w:tc>
          <w:tcPr>
            <w:tcW w:w="540" w:type="dxa"/>
            <w:vAlign w:val="bottom"/>
          </w:tcPr>
          <w:p>
            <w:pPr>
              <w:jc w:val="right"/>
              <w:ind w:right="2"/>
              <w:spacing w:after="0"/>
              <w:rPr>
                <w:sz w:val="20"/>
                <w:szCs w:val="20"/>
                <w:color w:val="auto"/>
              </w:rPr>
            </w:pPr>
            <w:r>
              <w:rPr>
                <w:rFonts w:ascii="Arial" w:cs="Arial" w:eastAsia="Arial" w:hAnsi="Arial"/>
                <w:sz w:val="12"/>
                <w:szCs w:val="12"/>
                <w:color w:val="183964"/>
              </w:rPr>
              <w:t>—</w:t>
            </w:r>
          </w:p>
        </w:tc>
        <w:tc>
          <w:tcPr>
            <w:tcW w:w="680" w:type="dxa"/>
            <w:vAlign w:val="bottom"/>
          </w:tcPr>
          <w:p>
            <w:pPr>
              <w:jc w:val="right"/>
              <w:ind w:right="2"/>
              <w:spacing w:after="0"/>
              <w:rPr>
                <w:sz w:val="20"/>
                <w:szCs w:val="20"/>
                <w:color w:val="auto"/>
              </w:rPr>
            </w:pPr>
            <w:r>
              <w:rPr>
                <w:rFonts w:ascii="Arial" w:cs="Arial" w:eastAsia="Arial" w:hAnsi="Arial"/>
                <w:sz w:val="12"/>
                <w:szCs w:val="12"/>
                <w:color w:val="183964"/>
              </w:rPr>
              <w:t>—</w:t>
            </w:r>
          </w:p>
        </w:tc>
        <w:tc>
          <w:tcPr>
            <w:tcW w:w="1020" w:type="dxa"/>
            <w:vAlign w:val="bottom"/>
          </w:tcPr>
          <w:p>
            <w:pPr>
              <w:jc w:val="right"/>
              <w:ind w:right="82"/>
              <w:spacing w:after="0"/>
              <w:rPr>
                <w:sz w:val="20"/>
                <w:szCs w:val="20"/>
                <w:color w:val="auto"/>
              </w:rPr>
            </w:pPr>
            <w:r>
              <w:rPr>
                <w:rFonts w:ascii="Arial" w:cs="Arial" w:eastAsia="Arial" w:hAnsi="Arial"/>
                <w:sz w:val="12"/>
                <w:szCs w:val="12"/>
                <w:color w:val="183964"/>
              </w:rPr>
              <w:t>—</w:t>
            </w:r>
          </w:p>
        </w:tc>
        <w:tc>
          <w:tcPr>
            <w:tcW w:w="560" w:type="dxa"/>
            <w:vAlign w:val="bottom"/>
          </w:tcPr>
          <w:p>
            <w:pPr>
              <w:jc w:val="right"/>
              <w:ind w:right="2"/>
              <w:spacing w:after="0"/>
              <w:rPr>
                <w:sz w:val="20"/>
                <w:szCs w:val="20"/>
                <w:color w:val="auto"/>
              </w:rPr>
            </w:pPr>
            <w:r>
              <w:rPr>
                <w:rFonts w:ascii="Arial" w:cs="Arial" w:eastAsia="Arial" w:hAnsi="Arial"/>
                <w:sz w:val="12"/>
                <w:szCs w:val="12"/>
                <w:color w:val="183964"/>
              </w:rPr>
              <w:t>—</w:t>
            </w:r>
          </w:p>
        </w:tc>
        <w:tc>
          <w:tcPr>
            <w:tcW w:w="840" w:type="dxa"/>
            <w:vAlign w:val="bottom"/>
          </w:tcPr>
          <w:p>
            <w:pPr>
              <w:jc w:val="right"/>
              <w:ind w:right="122"/>
              <w:spacing w:after="0"/>
              <w:rPr>
                <w:sz w:val="20"/>
                <w:szCs w:val="20"/>
                <w:color w:val="auto"/>
              </w:rPr>
            </w:pPr>
            <w:r>
              <w:rPr>
                <w:rFonts w:ascii="Arial" w:cs="Arial" w:eastAsia="Arial" w:hAnsi="Arial"/>
                <w:sz w:val="12"/>
                <w:szCs w:val="12"/>
                <w:color w:val="183964"/>
              </w:rPr>
              <w:t>—</w:t>
            </w:r>
          </w:p>
        </w:tc>
        <w:tc>
          <w:tcPr>
            <w:tcW w:w="760" w:type="dxa"/>
            <w:vAlign w:val="bottom"/>
          </w:tcPr>
          <w:p>
            <w:pPr>
              <w:jc w:val="right"/>
              <w:ind w:right="102"/>
              <w:spacing w:after="0"/>
              <w:rPr>
                <w:sz w:val="20"/>
                <w:szCs w:val="20"/>
                <w:color w:val="auto"/>
              </w:rPr>
            </w:pPr>
            <w:r>
              <w:rPr>
                <w:rFonts w:ascii="Arial" w:cs="Arial" w:eastAsia="Arial" w:hAnsi="Arial"/>
                <w:sz w:val="12"/>
                <w:szCs w:val="12"/>
                <w:color w:val="183964"/>
              </w:rPr>
              <w:t>—</w:t>
            </w:r>
          </w:p>
        </w:tc>
        <w:tc>
          <w:tcPr>
            <w:tcW w:w="680" w:type="dxa"/>
            <w:vAlign w:val="bottom"/>
          </w:tcPr>
          <w:p>
            <w:pPr>
              <w:jc w:val="right"/>
              <w:ind w:right="102"/>
              <w:spacing w:after="0"/>
              <w:rPr>
                <w:sz w:val="20"/>
                <w:szCs w:val="20"/>
                <w:color w:val="auto"/>
              </w:rPr>
            </w:pPr>
            <w:r>
              <w:rPr>
                <w:rFonts w:ascii="Arial" w:cs="Arial" w:eastAsia="Arial" w:hAnsi="Arial"/>
                <w:sz w:val="12"/>
                <w:szCs w:val="12"/>
                <w:color w:val="183964"/>
              </w:rPr>
              <w:t>754</w:t>
            </w:r>
          </w:p>
        </w:tc>
        <w:tc>
          <w:tcPr>
            <w:tcW w:w="860" w:type="dxa"/>
            <w:vAlign w:val="bottom"/>
          </w:tcPr>
          <w:p>
            <w:pPr>
              <w:jc w:val="right"/>
              <w:ind w:right="62"/>
              <w:spacing w:after="0"/>
              <w:rPr>
                <w:sz w:val="20"/>
                <w:szCs w:val="20"/>
                <w:color w:val="auto"/>
              </w:rPr>
            </w:pPr>
            <w:r>
              <w:rPr>
                <w:rFonts w:ascii="Arial" w:cs="Arial" w:eastAsia="Arial" w:hAnsi="Arial"/>
                <w:sz w:val="12"/>
                <w:szCs w:val="12"/>
                <w:color w:val="183964"/>
              </w:rPr>
              <w:t>—</w:t>
            </w:r>
          </w:p>
        </w:tc>
        <w:tc>
          <w:tcPr>
            <w:tcW w:w="700" w:type="dxa"/>
            <w:vAlign w:val="bottom"/>
          </w:tcPr>
          <w:p>
            <w:pPr>
              <w:jc w:val="right"/>
              <w:ind w:right="22"/>
              <w:spacing w:after="0"/>
              <w:rPr>
                <w:sz w:val="20"/>
                <w:szCs w:val="20"/>
                <w:color w:val="auto"/>
              </w:rPr>
            </w:pPr>
            <w:r>
              <w:rPr>
                <w:rFonts w:ascii="Arial" w:cs="Arial" w:eastAsia="Arial" w:hAnsi="Arial"/>
                <w:sz w:val="12"/>
                <w:szCs w:val="12"/>
                <w:color w:val="183964"/>
              </w:rPr>
              <w:t>754</w:t>
            </w:r>
          </w:p>
        </w:tc>
        <w:tc>
          <w:tcPr>
            <w:tcW w:w="860" w:type="dxa"/>
            <w:vAlign w:val="bottom"/>
          </w:tcPr>
          <w:p>
            <w:pPr>
              <w:jc w:val="right"/>
              <w:ind w:right="62"/>
              <w:spacing w:after="0"/>
              <w:rPr>
                <w:sz w:val="20"/>
                <w:szCs w:val="20"/>
                <w:color w:val="auto"/>
              </w:rPr>
            </w:pPr>
            <w:r>
              <w:rPr>
                <w:rFonts w:ascii="Arial" w:cs="Arial" w:eastAsia="Arial" w:hAnsi="Arial"/>
                <w:sz w:val="12"/>
                <w:szCs w:val="12"/>
                <w:color w:val="183964"/>
              </w:rPr>
              <w:t>3,285</w:t>
            </w:r>
          </w:p>
        </w:tc>
        <w:tc>
          <w:tcPr>
            <w:tcW w:w="620" w:type="dxa"/>
            <w:vAlign w:val="bottom"/>
          </w:tcPr>
          <w:p>
            <w:pPr>
              <w:jc w:val="right"/>
              <w:ind w:right="2"/>
              <w:spacing w:after="0"/>
              <w:rPr>
                <w:sz w:val="20"/>
                <w:szCs w:val="20"/>
                <w:color w:val="auto"/>
              </w:rPr>
            </w:pPr>
            <w:r>
              <w:rPr>
                <w:rFonts w:ascii="Arial" w:cs="Arial" w:eastAsia="Arial" w:hAnsi="Arial"/>
                <w:sz w:val="12"/>
                <w:szCs w:val="12"/>
                <w:color w:val="183964"/>
              </w:rPr>
              <w:t>4,039</w:t>
            </w:r>
          </w:p>
        </w:tc>
        <w:tc>
          <w:tcPr>
            <w:tcW w:w="0" w:type="dxa"/>
            <w:vAlign w:val="bottom"/>
          </w:tcPr>
          <w:p>
            <w:pPr>
              <w:spacing w:after="0"/>
              <w:rPr>
                <w:sz w:val="1"/>
                <w:szCs w:val="1"/>
                <w:color w:val="auto"/>
              </w:rPr>
            </w:pPr>
          </w:p>
        </w:tc>
      </w:tr>
      <w:tr>
        <w:trPr>
          <w:trHeight w:val="172"/>
        </w:trPr>
        <w:tc>
          <w:tcPr>
            <w:tcW w:w="1500" w:type="dxa"/>
            <w:vAlign w:val="bottom"/>
          </w:tcPr>
          <w:p>
            <w:pPr>
              <w:ind w:left="20"/>
              <w:spacing w:after="0"/>
              <w:rPr>
                <w:sz w:val="20"/>
                <w:szCs w:val="20"/>
                <w:color w:val="auto"/>
              </w:rPr>
            </w:pPr>
            <w:r>
              <w:rPr>
                <w:rFonts w:ascii="Arial" w:cs="Arial" w:eastAsia="Arial" w:hAnsi="Arial"/>
                <w:sz w:val="12"/>
                <w:szCs w:val="12"/>
                <w:color w:val="auto"/>
              </w:rPr>
              <w:t>Settlement of restricted</w:t>
            </w: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500" w:type="dxa"/>
            <w:vAlign w:val="bottom"/>
          </w:tcPr>
          <w:p>
            <w:pPr>
              <w:ind w:left="20"/>
              <w:spacing w:after="0"/>
              <w:rPr>
                <w:sz w:val="20"/>
                <w:szCs w:val="20"/>
                <w:color w:val="auto"/>
              </w:rPr>
            </w:pPr>
            <w:r>
              <w:rPr>
                <w:rFonts w:ascii="Arial" w:cs="Arial" w:eastAsia="Arial" w:hAnsi="Arial"/>
                <w:sz w:val="12"/>
                <w:szCs w:val="12"/>
                <w:color w:val="auto"/>
              </w:rPr>
              <w:t>stock units</w:t>
            </w:r>
          </w:p>
        </w:tc>
        <w:tc>
          <w:tcPr>
            <w:tcW w:w="440" w:type="dxa"/>
            <w:vAlign w:val="bottom"/>
          </w:tcPr>
          <w:p>
            <w:pPr>
              <w:jc w:val="right"/>
              <w:spacing w:after="0"/>
              <w:rPr>
                <w:sz w:val="20"/>
                <w:szCs w:val="20"/>
                <w:color w:val="auto"/>
              </w:rPr>
            </w:pPr>
            <w:r>
              <w:rPr>
                <w:rFonts w:ascii="Arial" w:cs="Arial" w:eastAsia="Arial" w:hAnsi="Arial"/>
                <w:sz w:val="12"/>
                <w:szCs w:val="12"/>
                <w:color w:val="183964"/>
              </w:rPr>
              <w:t>7</w:t>
            </w:r>
          </w:p>
        </w:tc>
        <w:tc>
          <w:tcPr>
            <w:tcW w:w="1060" w:type="dxa"/>
            <w:vAlign w:val="bottom"/>
          </w:tcPr>
          <w:p>
            <w:pPr>
              <w:jc w:val="right"/>
              <w:ind w:right="102"/>
              <w:spacing w:after="0"/>
              <w:rPr>
                <w:sz w:val="20"/>
                <w:szCs w:val="20"/>
                <w:color w:val="auto"/>
              </w:rPr>
            </w:pPr>
            <w:r>
              <w:rPr>
                <w:rFonts w:ascii="Arial" w:cs="Arial" w:eastAsia="Arial" w:hAnsi="Arial"/>
                <w:sz w:val="12"/>
                <w:szCs w:val="12"/>
                <w:color w:val="183964"/>
              </w:rPr>
              <w:t>—</w:t>
            </w:r>
          </w:p>
        </w:tc>
        <w:tc>
          <w:tcPr>
            <w:tcW w:w="540" w:type="dxa"/>
            <w:vAlign w:val="bottom"/>
          </w:tcPr>
          <w:p>
            <w:pPr>
              <w:jc w:val="right"/>
              <w:ind w:right="2"/>
              <w:spacing w:after="0"/>
              <w:rPr>
                <w:sz w:val="20"/>
                <w:szCs w:val="20"/>
                <w:color w:val="auto"/>
              </w:rPr>
            </w:pPr>
            <w:r>
              <w:rPr>
                <w:rFonts w:ascii="Arial" w:cs="Arial" w:eastAsia="Arial" w:hAnsi="Arial"/>
                <w:sz w:val="12"/>
                <w:szCs w:val="12"/>
                <w:color w:val="183964"/>
              </w:rPr>
              <w:t>—</w:t>
            </w:r>
          </w:p>
        </w:tc>
        <w:tc>
          <w:tcPr>
            <w:tcW w:w="680" w:type="dxa"/>
            <w:vAlign w:val="bottom"/>
          </w:tcPr>
          <w:p>
            <w:pPr>
              <w:jc w:val="right"/>
              <w:ind w:right="2"/>
              <w:spacing w:after="0"/>
              <w:rPr>
                <w:sz w:val="20"/>
                <w:szCs w:val="20"/>
                <w:color w:val="auto"/>
              </w:rPr>
            </w:pPr>
            <w:r>
              <w:rPr>
                <w:rFonts w:ascii="Arial" w:cs="Arial" w:eastAsia="Arial" w:hAnsi="Arial"/>
                <w:sz w:val="12"/>
                <w:szCs w:val="12"/>
                <w:color w:val="183964"/>
              </w:rPr>
              <w:t>—</w:t>
            </w:r>
          </w:p>
        </w:tc>
        <w:tc>
          <w:tcPr>
            <w:tcW w:w="1020" w:type="dxa"/>
            <w:vAlign w:val="bottom"/>
          </w:tcPr>
          <w:p>
            <w:pPr>
              <w:jc w:val="right"/>
              <w:ind w:right="82"/>
              <w:spacing w:after="0"/>
              <w:rPr>
                <w:sz w:val="20"/>
                <w:szCs w:val="20"/>
                <w:color w:val="auto"/>
              </w:rPr>
            </w:pPr>
            <w:r>
              <w:rPr>
                <w:rFonts w:ascii="Arial" w:cs="Arial" w:eastAsia="Arial" w:hAnsi="Arial"/>
                <w:sz w:val="12"/>
                <w:szCs w:val="12"/>
                <w:color w:val="183964"/>
              </w:rPr>
              <w:t>599,512</w:t>
            </w:r>
          </w:p>
        </w:tc>
        <w:tc>
          <w:tcPr>
            <w:tcW w:w="560" w:type="dxa"/>
            <w:vAlign w:val="bottom"/>
          </w:tcPr>
          <w:p>
            <w:pPr>
              <w:jc w:val="right"/>
              <w:ind w:right="2"/>
              <w:spacing w:after="0"/>
              <w:rPr>
                <w:sz w:val="20"/>
                <w:szCs w:val="20"/>
                <w:color w:val="auto"/>
              </w:rPr>
            </w:pPr>
            <w:r>
              <w:rPr>
                <w:rFonts w:ascii="Arial" w:cs="Arial" w:eastAsia="Arial" w:hAnsi="Arial"/>
                <w:sz w:val="12"/>
                <w:szCs w:val="12"/>
                <w:color w:val="183964"/>
              </w:rPr>
              <w:t>1,512</w:t>
            </w:r>
          </w:p>
        </w:tc>
        <w:tc>
          <w:tcPr>
            <w:tcW w:w="840" w:type="dxa"/>
            <w:vAlign w:val="bottom"/>
          </w:tcPr>
          <w:p>
            <w:pPr>
              <w:jc w:val="right"/>
              <w:ind w:right="122"/>
              <w:spacing w:after="0"/>
              <w:rPr>
                <w:sz w:val="20"/>
                <w:szCs w:val="20"/>
                <w:color w:val="auto"/>
              </w:rPr>
            </w:pPr>
            <w:r>
              <w:rPr>
                <w:rFonts w:ascii="Arial" w:cs="Arial" w:eastAsia="Arial" w:hAnsi="Arial"/>
                <w:sz w:val="12"/>
                <w:szCs w:val="12"/>
                <w:color w:val="183964"/>
              </w:rPr>
              <w:t>—</w:t>
            </w:r>
          </w:p>
        </w:tc>
        <w:tc>
          <w:tcPr>
            <w:tcW w:w="760" w:type="dxa"/>
            <w:vAlign w:val="bottom"/>
          </w:tcPr>
          <w:p>
            <w:pPr>
              <w:jc w:val="right"/>
              <w:ind w:right="102"/>
              <w:spacing w:after="0"/>
              <w:rPr>
                <w:sz w:val="20"/>
                <w:szCs w:val="20"/>
                <w:color w:val="auto"/>
              </w:rPr>
            </w:pPr>
            <w:r>
              <w:rPr>
                <w:rFonts w:ascii="Arial" w:cs="Arial" w:eastAsia="Arial" w:hAnsi="Arial"/>
                <w:sz w:val="12"/>
                <w:szCs w:val="12"/>
                <w:color w:val="183964"/>
              </w:rPr>
              <w:t>—</w:t>
            </w:r>
          </w:p>
        </w:tc>
        <w:tc>
          <w:tcPr>
            <w:tcW w:w="680" w:type="dxa"/>
            <w:vAlign w:val="bottom"/>
          </w:tcPr>
          <w:p>
            <w:pPr>
              <w:jc w:val="right"/>
              <w:ind w:right="82"/>
              <w:spacing w:after="0"/>
              <w:rPr>
                <w:sz w:val="20"/>
                <w:szCs w:val="20"/>
                <w:color w:val="auto"/>
              </w:rPr>
            </w:pPr>
            <w:r>
              <w:rPr>
                <w:rFonts w:ascii="Arial" w:cs="Arial" w:eastAsia="Arial" w:hAnsi="Arial"/>
                <w:sz w:val="12"/>
                <w:szCs w:val="12"/>
                <w:color w:val="183964"/>
              </w:rPr>
              <w:t>(211)</w:t>
            </w:r>
          </w:p>
        </w:tc>
        <w:tc>
          <w:tcPr>
            <w:tcW w:w="860" w:type="dxa"/>
            <w:vAlign w:val="bottom"/>
          </w:tcPr>
          <w:p>
            <w:pPr>
              <w:jc w:val="right"/>
              <w:ind w:right="62"/>
              <w:spacing w:after="0"/>
              <w:rPr>
                <w:sz w:val="20"/>
                <w:szCs w:val="20"/>
                <w:color w:val="auto"/>
              </w:rPr>
            </w:pPr>
            <w:r>
              <w:rPr>
                <w:rFonts w:ascii="Arial" w:cs="Arial" w:eastAsia="Arial" w:hAnsi="Arial"/>
                <w:sz w:val="12"/>
                <w:szCs w:val="12"/>
                <w:color w:val="183964"/>
              </w:rPr>
              <w:t>—</w:t>
            </w:r>
          </w:p>
        </w:tc>
        <w:tc>
          <w:tcPr>
            <w:tcW w:w="700" w:type="dxa"/>
            <w:vAlign w:val="bottom"/>
          </w:tcPr>
          <w:p>
            <w:pPr>
              <w:jc w:val="right"/>
              <w:ind w:right="22"/>
              <w:spacing w:after="0"/>
              <w:rPr>
                <w:sz w:val="20"/>
                <w:szCs w:val="20"/>
                <w:color w:val="auto"/>
              </w:rPr>
            </w:pPr>
            <w:r>
              <w:rPr>
                <w:rFonts w:ascii="Arial" w:cs="Arial" w:eastAsia="Arial" w:hAnsi="Arial"/>
                <w:sz w:val="12"/>
                <w:szCs w:val="12"/>
                <w:color w:val="183964"/>
              </w:rPr>
              <w:t>1,301</w:t>
            </w:r>
          </w:p>
        </w:tc>
        <w:tc>
          <w:tcPr>
            <w:tcW w:w="860" w:type="dxa"/>
            <w:vAlign w:val="bottom"/>
          </w:tcPr>
          <w:p>
            <w:pPr>
              <w:jc w:val="right"/>
              <w:ind w:right="62"/>
              <w:spacing w:after="0"/>
              <w:rPr>
                <w:sz w:val="20"/>
                <w:szCs w:val="20"/>
                <w:color w:val="auto"/>
              </w:rPr>
            </w:pPr>
            <w:r>
              <w:rPr>
                <w:rFonts w:ascii="Arial" w:cs="Arial" w:eastAsia="Arial" w:hAnsi="Arial"/>
                <w:sz w:val="12"/>
                <w:szCs w:val="12"/>
                <w:color w:val="183964"/>
              </w:rPr>
              <w:t>—</w:t>
            </w:r>
          </w:p>
        </w:tc>
        <w:tc>
          <w:tcPr>
            <w:tcW w:w="620" w:type="dxa"/>
            <w:vAlign w:val="bottom"/>
          </w:tcPr>
          <w:p>
            <w:pPr>
              <w:jc w:val="right"/>
              <w:ind w:right="2"/>
              <w:spacing w:after="0"/>
              <w:rPr>
                <w:sz w:val="20"/>
                <w:szCs w:val="20"/>
                <w:color w:val="auto"/>
              </w:rPr>
            </w:pPr>
            <w:r>
              <w:rPr>
                <w:rFonts w:ascii="Arial" w:cs="Arial" w:eastAsia="Arial" w:hAnsi="Arial"/>
                <w:sz w:val="12"/>
                <w:szCs w:val="12"/>
                <w:color w:val="183964"/>
              </w:rPr>
              <w:t>1,301</w:t>
            </w:r>
          </w:p>
        </w:tc>
        <w:tc>
          <w:tcPr>
            <w:tcW w:w="0" w:type="dxa"/>
            <w:vAlign w:val="bottom"/>
          </w:tcPr>
          <w:p>
            <w:pPr>
              <w:spacing w:after="0"/>
              <w:rPr>
                <w:sz w:val="1"/>
                <w:szCs w:val="1"/>
                <w:color w:val="auto"/>
              </w:rPr>
            </w:pPr>
          </w:p>
        </w:tc>
      </w:tr>
      <w:tr>
        <w:trPr>
          <w:trHeight w:val="172"/>
        </w:trPr>
        <w:tc>
          <w:tcPr>
            <w:tcW w:w="1500" w:type="dxa"/>
            <w:vAlign w:val="bottom"/>
          </w:tcPr>
          <w:p>
            <w:pPr>
              <w:ind w:left="20"/>
              <w:spacing w:after="0"/>
              <w:rPr>
                <w:sz w:val="20"/>
                <w:szCs w:val="20"/>
                <w:color w:val="auto"/>
              </w:rPr>
            </w:pPr>
            <w:r>
              <w:rPr>
                <w:rFonts w:ascii="Arial" w:cs="Arial" w:eastAsia="Arial" w:hAnsi="Arial"/>
                <w:sz w:val="12"/>
                <w:szCs w:val="12"/>
                <w:color w:val="auto"/>
              </w:rPr>
              <w:t>Expiration of share options</w:t>
            </w: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500" w:type="dxa"/>
            <w:vAlign w:val="bottom"/>
          </w:tcPr>
          <w:p>
            <w:pPr>
              <w:ind w:left="20"/>
              <w:spacing w:after="0"/>
              <w:rPr>
                <w:sz w:val="20"/>
                <w:szCs w:val="20"/>
                <w:color w:val="auto"/>
              </w:rPr>
            </w:pPr>
            <w:r>
              <w:rPr>
                <w:rFonts w:ascii="Arial" w:cs="Arial" w:eastAsia="Arial" w:hAnsi="Arial"/>
                <w:sz w:val="12"/>
                <w:szCs w:val="12"/>
                <w:color w:val="auto"/>
              </w:rPr>
              <w:t>in subsidiary</w:t>
            </w:r>
          </w:p>
        </w:tc>
        <w:tc>
          <w:tcPr>
            <w:tcW w:w="440" w:type="dxa"/>
            <w:vAlign w:val="bottom"/>
          </w:tcPr>
          <w:p>
            <w:pPr>
              <w:spacing w:after="0"/>
              <w:rPr>
                <w:sz w:val="14"/>
                <w:szCs w:val="14"/>
                <w:color w:val="auto"/>
              </w:rPr>
            </w:pPr>
          </w:p>
        </w:tc>
        <w:tc>
          <w:tcPr>
            <w:tcW w:w="1060" w:type="dxa"/>
            <w:vAlign w:val="bottom"/>
          </w:tcPr>
          <w:p>
            <w:pPr>
              <w:jc w:val="right"/>
              <w:ind w:right="102"/>
              <w:spacing w:after="0"/>
              <w:rPr>
                <w:sz w:val="20"/>
                <w:szCs w:val="20"/>
                <w:color w:val="auto"/>
              </w:rPr>
            </w:pPr>
            <w:r>
              <w:rPr>
                <w:rFonts w:ascii="Arial" w:cs="Arial" w:eastAsia="Arial" w:hAnsi="Arial"/>
                <w:sz w:val="12"/>
                <w:szCs w:val="12"/>
                <w:color w:val="183964"/>
              </w:rPr>
              <w:t>—</w:t>
            </w:r>
          </w:p>
        </w:tc>
        <w:tc>
          <w:tcPr>
            <w:tcW w:w="540" w:type="dxa"/>
            <w:vAlign w:val="bottom"/>
          </w:tcPr>
          <w:p>
            <w:pPr>
              <w:jc w:val="right"/>
              <w:ind w:right="2"/>
              <w:spacing w:after="0"/>
              <w:rPr>
                <w:sz w:val="20"/>
                <w:szCs w:val="20"/>
                <w:color w:val="auto"/>
              </w:rPr>
            </w:pPr>
            <w:r>
              <w:rPr>
                <w:rFonts w:ascii="Arial" w:cs="Arial" w:eastAsia="Arial" w:hAnsi="Arial"/>
                <w:sz w:val="12"/>
                <w:szCs w:val="12"/>
                <w:color w:val="183964"/>
              </w:rPr>
              <w:t>—</w:t>
            </w:r>
          </w:p>
        </w:tc>
        <w:tc>
          <w:tcPr>
            <w:tcW w:w="680" w:type="dxa"/>
            <w:vAlign w:val="bottom"/>
          </w:tcPr>
          <w:p>
            <w:pPr>
              <w:jc w:val="right"/>
              <w:ind w:right="2"/>
              <w:spacing w:after="0"/>
              <w:rPr>
                <w:sz w:val="20"/>
                <w:szCs w:val="20"/>
                <w:color w:val="auto"/>
              </w:rPr>
            </w:pPr>
            <w:r>
              <w:rPr>
                <w:rFonts w:ascii="Arial" w:cs="Arial" w:eastAsia="Arial" w:hAnsi="Arial"/>
                <w:sz w:val="12"/>
                <w:szCs w:val="12"/>
                <w:color w:val="183964"/>
              </w:rPr>
              <w:t>—</w:t>
            </w:r>
          </w:p>
        </w:tc>
        <w:tc>
          <w:tcPr>
            <w:tcW w:w="1020" w:type="dxa"/>
            <w:vAlign w:val="bottom"/>
          </w:tcPr>
          <w:p>
            <w:pPr>
              <w:jc w:val="right"/>
              <w:ind w:right="82"/>
              <w:spacing w:after="0"/>
              <w:rPr>
                <w:sz w:val="20"/>
                <w:szCs w:val="20"/>
                <w:color w:val="auto"/>
              </w:rPr>
            </w:pPr>
            <w:r>
              <w:rPr>
                <w:rFonts w:ascii="Arial" w:cs="Arial" w:eastAsia="Arial" w:hAnsi="Arial"/>
                <w:sz w:val="12"/>
                <w:szCs w:val="12"/>
                <w:color w:val="183964"/>
              </w:rPr>
              <w:t>—</w:t>
            </w:r>
          </w:p>
        </w:tc>
        <w:tc>
          <w:tcPr>
            <w:tcW w:w="560" w:type="dxa"/>
            <w:vAlign w:val="bottom"/>
          </w:tcPr>
          <w:p>
            <w:pPr>
              <w:jc w:val="right"/>
              <w:ind w:right="2"/>
              <w:spacing w:after="0"/>
              <w:rPr>
                <w:sz w:val="20"/>
                <w:szCs w:val="20"/>
                <w:color w:val="auto"/>
              </w:rPr>
            </w:pPr>
            <w:r>
              <w:rPr>
                <w:rFonts w:ascii="Arial" w:cs="Arial" w:eastAsia="Arial" w:hAnsi="Arial"/>
                <w:sz w:val="12"/>
                <w:szCs w:val="12"/>
                <w:color w:val="183964"/>
              </w:rPr>
              <w:t>—</w:t>
            </w:r>
          </w:p>
        </w:tc>
        <w:tc>
          <w:tcPr>
            <w:tcW w:w="840" w:type="dxa"/>
            <w:vAlign w:val="bottom"/>
          </w:tcPr>
          <w:p>
            <w:pPr>
              <w:jc w:val="right"/>
              <w:ind w:right="122"/>
              <w:spacing w:after="0"/>
              <w:rPr>
                <w:sz w:val="20"/>
                <w:szCs w:val="20"/>
                <w:color w:val="auto"/>
              </w:rPr>
            </w:pPr>
            <w:r>
              <w:rPr>
                <w:rFonts w:ascii="Arial" w:cs="Arial" w:eastAsia="Arial" w:hAnsi="Arial"/>
                <w:sz w:val="12"/>
                <w:szCs w:val="12"/>
                <w:color w:val="183964"/>
              </w:rPr>
              <w:t>—</w:t>
            </w:r>
          </w:p>
        </w:tc>
        <w:tc>
          <w:tcPr>
            <w:tcW w:w="760" w:type="dxa"/>
            <w:vAlign w:val="bottom"/>
          </w:tcPr>
          <w:p>
            <w:pPr>
              <w:jc w:val="right"/>
              <w:ind w:right="102"/>
              <w:spacing w:after="0"/>
              <w:rPr>
                <w:sz w:val="20"/>
                <w:szCs w:val="20"/>
                <w:color w:val="auto"/>
              </w:rPr>
            </w:pPr>
            <w:r>
              <w:rPr>
                <w:rFonts w:ascii="Arial" w:cs="Arial" w:eastAsia="Arial" w:hAnsi="Arial"/>
                <w:sz w:val="12"/>
                <w:szCs w:val="12"/>
                <w:color w:val="183964"/>
              </w:rPr>
              <w:t>—</w:t>
            </w:r>
          </w:p>
        </w:tc>
        <w:tc>
          <w:tcPr>
            <w:tcW w:w="680" w:type="dxa"/>
            <w:vAlign w:val="bottom"/>
          </w:tcPr>
          <w:p>
            <w:pPr>
              <w:jc w:val="right"/>
              <w:ind w:right="102"/>
              <w:spacing w:after="0"/>
              <w:rPr>
                <w:sz w:val="20"/>
                <w:szCs w:val="20"/>
                <w:color w:val="auto"/>
              </w:rPr>
            </w:pPr>
            <w:r>
              <w:rPr>
                <w:rFonts w:ascii="Arial" w:cs="Arial" w:eastAsia="Arial" w:hAnsi="Arial"/>
                <w:sz w:val="12"/>
                <w:szCs w:val="12"/>
                <w:color w:val="183964"/>
              </w:rPr>
              <w:t>1</w:t>
            </w:r>
          </w:p>
        </w:tc>
        <w:tc>
          <w:tcPr>
            <w:tcW w:w="860" w:type="dxa"/>
            <w:vAlign w:val="bottom"/>
          </w:tcPr>
          <w:p>
            <w:pPr>
              <w:jc w:val="right"/>
              <w:ind w:right="62"/>
              <w:spacing w:after="0"/>
              <w:rPr>
                <w:sz w:val="20"/>
                <w:szCs w:val="20"/>
                <w:color w:val="auto"/>
              </w:rPr>
            </w:pPr>
            <w:r>
              <w:rPr>
                <w:rFonts w:ascii="Arial" w:cs="Arial" w:eastAsia="Arial" w:hAnsi="Arial"/>
                <w:sz w:val="12"/>
                <w:szCs w:val="12"/>
                <w:color w:val="183964"/>
              </w:rPr>
              <w:t>—</w:t>
            </w:r>
          </w:p>
        </w:tc>
        <w:tc>
          <w:tcPr>
            <w:tcW w:w="700" w:type="dxa"/>
            <w:vAlign w:val="bottom"/>
          </w:tcPr>
          <w:p>
            <w:pPr>
              <w:jc w:val="right"/>
              <w:ind w:right="22"/>
              <w:spacing w:after="0"/>
              <w:rPr>
                <w:sz w:val="20"/>
                <w:szCs w:val="20"/>
                <w:color w:val="auto"/>
              </w:rPr>
            </w:pPr>
            <w:r>
              <w:rPr>
                <w:rFonts w:ascii="Arial" w:cs="Arial" w:eastAsia="Arial" w:hAnsi="Arial"/>
                <w:sz w:val="12"/>
                <w:szCs w:val="12"/>
                <w:color w:val="183964"/>
              </w:rPr>
              <w:t>1</w:t>
            </w:r>
          </w:p>
        </w:tc>
        <w:tc>
          <w:tcPr>
            <w:tcW w:w="860" w:type="dxa"/>
            <w:vAlign w:val="bottom"/>
          </w:tcPr>
          <w:p>
            <w:pPr>
              <w:jc w:val="right"/>
              <w:ind w:right="42"/>
              <w:spacing w:after="0"/>
              <w:rPr>
                <w:sz w:val="20"/>
                <w:szCs w:val="20"/>
                <w:color w:val="auto"/>
              </w:rPr>
            </w:pPr>
            <w:r>
              <w:rPr>
                <w:rFonts w:ascii="Arial" w:cs="Arial" w:eastAsia="Arial" w:hAnsi="Arial"/>
                <w:sz w:val="12"/>
                <w:szCs w:val="12"/>
                <w:color w:val="183964"/>
              </w:rPr>
              <w:t>(1)</w:t>
            </w:r>
          </w:p>
        </w:tc>
        <w:tc>
          <w:tcPr>
            <w:tcW w:w="620" w:type="dxa"/>
            <w:vAlign w:val="bottom"/>
          </w:tcPr>
          <w:p>
            <w:pPr>
              <w:jc w:val="right"/>
              <w:ind w:right="2"/>
              <w:spacing w:after="0"/>
              <w:rPr>
                <w:sz w:val="20"/>
                <w:szCs w:val="20"/>
                <w:color w:val="auto"/>
              </w:rPr>
            </w:pPr>
            <w:r>
              <w:rPr>
                <w:rFonts w:ascii="Arial" w:cs="Arial" w:eastAsia="Arial" w:hAnsi="Arial"/>
                <w:sz w:val="12"/>
                <w:szCs w:val="12"/>
                <w:color w:val="183964"/>
              </w:rPr>
              <w:t>—</w:t>
            </w:r>
          </w:p>
        </w:tc>
        <w:tc>
          <w:tcPr>
            <w:tcW w:w="0" w:type="dxa"/>
            <w:vAlign w:val="bottom"/>
          </w:tcPr>
          <w:p>
            <w:pPr>
              <w:spacing w:after="0"/>
              <w:rPr>
                <w:sz w:val="1"/>
                <w:szCs w:val="1"/>
                <w:color w:val="auto"/>
              </w:rPr>
            </w:pPr>
          </w:p>
        </w:tc>
      </w:tr>
      <w:tr>
        <w:trPr>
          <w:trHeight w:val="201"/>
        </w:trPr>
        <w:tc>
          <w:tcPr>
            <w:tcW w:w="1500" w:type="dxa"/>
            <w:vAlign w:val="bottom"/>
            <w:tcBorders>
              <w:bottom w:val="single" w:sz="8" w:color="183964"/>
            </w:tcBorders>
          </w:tcPr>
          <w:p>
            <w:pPr>
              <w:ind w:left="20"/>
              <w:spacing w:after="0"/>
              <w:rPr>
                <w:sz w:val="20"/>
                <w:szCs w:val="20"/>
                <w:color w:val="auto"/>
              </w:rPr>
            </w:pPr>
            <w:r>
              <w:rPr>
                <w:rFonts w:ascii="Arial" w:cs="Arial" w:eastAsia="Arial" w:hAnsi="Arial"/>
                <w:sz w:val="12"/>
                <w:szCs w:val="12"/>
                <w:b w:val="1"/>
                <w:bCs w:val="1"/>
                <w:color w:val="auto"/>
              </w:rPr>
              <w:t>Balance June 30, 2024</w:t>
            </w:r>
          </w:p>
        </w:tc>
        <w:tc>
          <w:tcPr>
            <w:tcW w:w="440" w:type="dxa"/>
            <w:vAlign w:val="bottom"/>
            <w:tcBorders>
              <w:bottom w:val="single" w:sz="8" w:color="183964"/>
            </w:tcBorders>
          </w:tcPr>
          <w:p>
            <w:pPr>
              <w:spacing w:after="0"/>
              <w:rPr>
                <w:sz w:val="17"/>
                <w:szCs w:val="17"/>
                <w:color w:val="auto"/>
              </w:rPr>
            </w:pPr>
          </w:p>
        </w:tc>
        <w:tc>
          <w:tcPr>
            <w:tcW w:w="1060" w:type="dxa"/>
            <w:vAlign w:val="bottom"/>
            <w:tcBorders>
              <w:bottom w:val="single" w:sz="8" w:color="183964"/>
            </w:tcBorders>
          </w:tcPr>
          <w:p>
            <w:pPr>
              <w:jc w:val="right"/>
              <w:ind w:right="102"/>
              <w:spacing w:after="0"/>
              <w:rPr>
                <w:sz w:val="20"/>
                <w:szCs w:val="20"/>
                <w:color w:val="auto"/>
              </w:rPr>
            </w:pPr>
            <w:r>
              <w:rPr>
                <w:rFonts w:ascii="Arial" w:cs="Arial" w:eastAsia="Arial" w:hAnsi="Arial"/>
                <w:sz w:val="12"/>
                <w:szCs w:val="12"/>
                <w:b w:val="1"/>
                <w:bCs w:val="1"/>
                <w:color w:val="auto"/>
              </w:rPr>
              <w:t>257,927,489</w:t>
            </w:r>
          </w:p>
        </w:tc>
        <w:tc>
          <w:tcPr>
            <w:tcW w:w="540" w:type="dxa"/>
            <w:vAlign w:val="bottom"/>
            <w:tcBorders>
              <w:bottom w:val="single" w:sz="8" w:color="183964"/>
            </w:tcBorders>
          </w:tcPr>
          <w:p>
            <w:pPr>
              <w:jc w:val="right"/>
              <w:ind w:right="2"/>
              <w:spacing w:after="0"/>
              <w:rPr>
                <w:sz w:val="20"/>
                <w:szCs w:val="20"/>
                <w:color w:val="auto"/>
              </w:rPr>
            </w:pPr>
            <w:r>
              <w:rPr>
                <w:rFonts w:ascii="Arial" w:cs="Arial" w:eastAsia="Arial" w:hAnsi="Arial"/>
                <w:sz w:val="12"/>
                <w:szCs w:val="12"/>
                <w:b w:val="1"/>
                <w:bCs w:val="1"/>
                <w:color w:val="auto"/>
              </w:rPr>
              <w:t>4,860</w:t>
            </w:r>
          </w:p>
        </w:tc>
        <w:tc>
          <w:tcPr>
            <w:tcW w:w="680" w:type="dxa"/>
            <w:vAlign w:val="bottom"/>
            <w:tcBorders>
              <w:bottom w:val="single" w:sz="8" w:color="183964"/>
            </w:tcBorders>
          </w:tcPr>
          <w:p>
            <w:pPr>
              <w:jc w:val="right"/>
              <w:ind w:right="2"/>
              <w:spacing w:after="0"/>
              <w:rPr>
                <w:sz w:val="20"/>
                <w:szCs w:val="20"/>
                <w:color w:val="auto"/>
              </w:rPr>
            </w:pPr>
            <w:r>
              <w:rPr>
                <w:rFonts w:ascii="Arial" w:cs="Arial" w:eastAsia="Arial" w:hAnsi="Arial"/>
                <w:sz w:val="12"/>
                <w:szCs w:val="12"/>
                <w:b w:val="1"/>
                <w:bCs w:val="1"/>
                <w:color w:val="auto"/>
              </w:rPr>
              <w:t>290,262</w:t>
            </w:r>
          </w:p>
        </w:tc>
        <w:tc>
          <w:tcPr>
            <w:tcW w:w="1020" w:type="dxa"/>
            <w:vAlign w:val="bottom"/>
            <w:tcBorders>
              <w:bottom w:val="single" w:sz="8" w:color="183964"/>
            </w:tcBorders>
          </w:tcPr>
          <w:p>
            <w:pPr>
              <w:jc w:val="right"/>
              <w:ind w:right="62"/>
              <w:spacing w:after="0"/>
              <w:rPr>
                <w:sz w:val="20"/>
                <w:szCs w:val="20"/>
                <w:color w:val="auto"/>
              </w:rPr>
            </w:pPr>
            <w:r>
              <w:rPr>
                <w:rFonts w:ascii="Arial" w:cs="Arial" w:eastAsia="Arial" w:hAnsi="Arial"/>
                <w:sz w:val="12"/>
                <w:szCs w:val="12"/>
                <w:b w:val="1"/>
                <w:bCs w:val="1"/>
                <w:color w:val="auto"/>
              </w:rPr>
              <w:t>(18,506,177)</w:t>
            </w:r>
          </w:p>
        </w:tc>
        <w:tc>
          <w:tcPr>
            <w:tcW w:w="560" w:type="dxa"/>
            <w:vAlign w:val="bottom"/>
            <w:tcBorders>
              <w:bottom w:val="single" w:sz="8" w:color="183964"/>
            </w:tcBorders>
          </w:tcPr>
          <w:p>
            <w:pPr>
              <w:jc w:val="right"/>
              <w:spacing w:after="0"/>
              <w:rPr>
                <w:sz w:val="20"/>
                <w:szCs w:val="20"/>
                <w:color w:val="auto"/>
              </w:rPr>
            </w:pPr>
            <w:r>
              <w:rPr>
                <w:rFonts w:ascii="Arial" w:cs="Arial" w:eastAsia="Arial" w:hAnsi="Arial"/>
                <w:sz w:val="12"/>
                <w:szCs w:val="12"/>
                <w:b w:val="1"/>
                <w:bCs w:val="1"/>
                <w:color w:val="auto"/>
              </w:rPr>
              <w:t>(46,892)</w:t>
            </w:r>
          </w:p>
        </w:tc>
        <w:tc>
          <w:tcPr>
            <w:tcW w:w="840" w:type="dxa"/>
            <w:vAlign w:val="bottom"/>
            <w:tcBorders>
              <w:bottom w:val="single" w:sz="8" w:color="183964"/>
            </w:tcBorders>
          </w:tcPr>
          <w:p>
            <w:pPr>
              <w:jc w:val="right"/>
              <w:ind w:right="122"/>
              <w:spacing w:after="0"/>
              <w:rPr>
                <w:sz w:val="20"/>
                <w:szCs w:val="20"/>
                <w:color w:val="auto"/>
              </w:rPr>
            </w:pPr>
            <w:r>
              <w:rPr>
                <w:rFonts w:ascii="Arial" w:cs="Arial" w:eastAsia="Arial" w:hAnsi="Arial"/>
                <w:sz w:val="12"/>
                <w:szCs w:val="12"/>
                <w:b w:val="1"/>
                <w:bCs w:val="1"/>
                <w:color w:val="auto"/>
              </w:rPr>
              <w:t>138,506</w:t>
            </w:r>
          </w:p>
        </w:tc>
        <w:tc>
          <w:tcPr>
            <w:tcW w:w="760" w:type="dxa"/>
            <w:vAlign w:val="bottom"/>
            <w:tcBorders>
              <w:bottom w:val="single" w:sz="8" w:color="183964"/>
            </w:tcBorders>
          </w:tcPr>
          <w:p>
            <w:pPr>
              <w:jc w:val="right"/>
              <w:ind w:right="102"/>
              <w:spacing w:after="0"/>
              <w:rPr>
                <w:sz w:val="20"/>
                <w:szCs w:val="20"/>
                <w:color w:val="auto"/>
              </w:rPr>
            </w:pPr>
            <w:r>
              <w:rPr>
                <w:rFonts w:ascii="Arial" w:cs="Arial" w:eastAsia="Arial" w:hAnsi="Arial"/>
                <w:sz w:val="12"/>
                <w:szCs w:val="12"/>
                <w:b w:val="1"/>
                <w:bCs w:val="1"/>
                <w:color w:val="auto"/>
              </w:rPr>
              <w:t>182</w:t>
            </w:r>
          </w:p>
        </w:tc>
        <w:tc>
          <w:tcPr>
            <w:tcW w:w="680" w:type="dxa"/>
            <w:vAlign w:val="bottom"/>
            <w:tcBorders>
              <w:bottom w:val="single" w:sz="8" w:color="183964"/>
            </w:tcBorders>
          </w:tcPr>
          <w:p>
            <w:pPr>
              <w:jc w:val="right"/>
              <w:ind w:right="82"/>
              <w:spacing w:after="0"/>
              <w:rPr>
                <w:sz w:val="20"/>
                <w:szCs w:val="20"/>
                <w:color w:val="auto"/>
              </w:rPr>
            </w:pPr>
            <w:r>
              <w:rPr>
                <w:rFonts w:ascii="Arial" w:cs="Arial" w:eastAsia="Arial" w:hAnsi="Arial"/>
                <w:sz w:val="12"/>
                <w:szCs w:val="12"/>
                <w:b w:val="1"/>
                <w:bCs w:val="1"/>
                <w:color w:val="auto"/>
              </w:rPr>
              <w:t>(8,541)</w:t>
            </w:r>
          </w:p>
        </w:tc>
        <w:tc>
          <w:tcPr>
            <w:tcW w:w="860" w:type="dxa"/>
            <w:vAlign w:val="bottom"/>
            <w:tcBorders>
              <w:bottom w:val="single" w:sz="8" w:color="183964"/>
            </w:tcBorders>
          </w:tcPr>
          <w:p>
            <w:pPr>
              <w:jc w:val="right"/>
              <w:ind w:right="22"/>
              <w:spacing w:after="0"/>
              <w:rPr>
                <w:sz w:val="20"/>
                <w:szCs w:val="20"/>
                <w:color w:val="auto"/>
              </w:rPr>
            </w:pPr>
            <w:r>
              <w:rPr>
                <w:rFonts w:ascii="Arial" w:cs="Arial" w:eastAsia="Arial" w:hAnsi="Arial"/>
                <w:sz w:val="12"/>
                <w:szCs w:val="12"/>
                <w:b w:val="1"/>
                <w:bCs w:val="1"/>
                <w:color w:val="auto"/>
              </w:rPr>
              <w:t>(62,510)</w:t>
            </w:r>
          </w:p>
        </w:tc>
        <w:tc>
          <w:tcPr>
            <w:tcW w:w="700" w:type="dxa"/>
            <w:vAlign w:val="bottom"/>
            <w:tcBorders>
              <w:bottom w:val="single" w:sz="8" w:color="183964"/>
            </w:tcBorders>
          </w:tcPr>
          <w:p>
            <w:pPr>
              <w:jc w:val="right"/>
              <w:ind w:right="22"/>
              <w:spacing w:after="0"/>
              <w:rPr>
                <w:sz w:val="20"/>
                <w:szCs w:val="20"/>
                <w:color w:val="auto"/>
              </w:rPr>
            </w:pPr>
            <w:r>
              <w:rPr>
                <w:rFonts w:ascii="Arial" w:cs="Arial" w:eastAsia="Arial" w:hAnsi="Arial"/>
                <w:sz w:val="12"/>
                <w:szCs w:val="12"/>
                <w:b w:val="1"/>
                <w:bCs w:val="1"/>
                <w:color w:val="auto"/>
              </w:rPr>
              <w:t>315,867</w:t>
            </w:r>
          </w:p>
        </w:tc>
        <w:tc>
          <w:tcPr>
            <w:tcW w:w="860" w:type="dxa"/>
            <w:vAlign w:val="bottom"/>
            <w:tcBorders>
              <w:bottom w:val="single" w:sz="8" w:color="183964"/>
            </w:tcBorders>
          </w:tcPr>
          <w:p>
            <w:pPr>
              <w:jc w:val="right"/>
              <w:ind w:right="42"/>
              <w:spacing w:after="0"/>
              <w:rPr>
                <w:sz w:val="20"/>
                <w:szCs w:val="20"/>
                <w:color w:val="auto"/>
              </w:rPr>
            </w:pPr>
            <w:r>
              <w:rPr>
                <w:rFonts w:ascii="Arial" w:cs="Arial" w:eastAsia="Arial" w:hAnsi="Arial"/>
                <w:sz w:val="12"/>
                <w:szCs w:val="12"/>
                <w:b w:val="1"/>
                <w:bCs w:val="1"/>
                <w:color w:val="auto"/>
              </w:rPr>
              <w:t>(9,661)</w:t>
            </w:r>
          </w:p>
        </w:tc>
        <w:tc>
          <w:tcPr>
            <w:tcW w:w="620" w:type="dxa"/>
            <w:vAlign w:val="bottom"/>
            <w:tcBorders>
              <w:bottom w:val="single" w:sz="8" w:color="183964"/>
            </w:tcBorders>
          </w:tcPr>
          <w:p>
            <w:pPr>
              <w:jc w:val="right"/>
              <w:ind w:right="2"/>
              <w:spacing w:after="0"/>
              <w:rPr>
                <w:sz w:val="20"/>
                <w:szCs w:val="20"/>
                <w:color w:val="auto"/>
              </w:rPr>
            </w:pPr>
            <w:r>
              <w:rPr>
                <w:rFonts w:ascii="Arial" w:cs="Arial" w:eastAsia="Arial" w:hAnsi="Arial"/>
                <w:sz w:val="12"/>
                <w:szCs w:val="12"/>
                <w:b w:val="1"/>
                <w:bCs w:val="1"/>
                <w:color w:val="auto"/>
              </w:rPr>
              <w:t>306,206</w:t>
            </w:r>
          </w:p>
        </w:tc>
        <w:tc>
          <w:tcPr>
            <w:tcW w:w="0" w:type="dxa"/>
            <w:vAlign w:val="bottom"/>
          </w:tcPr>
          <w:p>
            <w:pPr>
              <w:spacing w:after="0"/>
              <w:rPr>
                <w:sz w:val="1"/>
                <w:szCs w:val="1"/>
                <w:color w:val="auto"/>
              </w:rPr>
            </w:pPr>
          </w:p>
        </w:tc>
      </w:tr>
    </w:tbl>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The accompanying notes are an integral part of these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780415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40" w:right="459" w:bottom="1440" w:gutter="0" w:footer="0" w:header="0"/>
        </w:sectPr>
      </w:pPr>
    </w:p>
    <w:bookmarkStart w:id="22" w:name="page23"/>
    <w:bookmarkEnd w:id="22"/>
    <w:p>
      <w:pPr>
        <w:spacing w:after="0"/>
        <w:rPr>
          <w:sz w:val="20"/>
          <w:szCs w:val="20"/>
          <w:color w:val="auto"/>
        </w:rPr>
      </w:pPr>
      <w:r>
        <w:rPr>
          <w:rFonts w:ascii="Arial" w:cs="Arial" w:eastAsia="Arial" w:hAnsi="Arial"/>
          <w:sz w:val="31"/>
          <w:szCs w:val="31"/>
          <w:b w:val="1"/>
          <w:bCs w:val="1"/>
          <w:color w:val="183964"/>
        </w:rPr>
        <w:t>Condensed Consolidated Statement of Cash Flows (Unaudited)</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b w:val="1"/>
          <w:bCs w:val="1"/>
          <w:color w:val="183964"/>
        </w:rPr>
        <w:t>For the six months ended June 30</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60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300" w:type="dxa"/>
            <w:vAlign w:val="bottom"/>
          </w:tcPr>
          <w:p>
            <w:pPr>
              <w:jc w:val="right"/>
              <w:ind w:right="342"/>
              <w:spacing w:after="0"/>
              <w:rPr>
                <w:sz w:val="20"/>
                <w:szCs w:val="20"/>
                <w:color w:val="auto"/>
              </w:rPr>
            </w:pPr>
            <w:r>
              <w:rPr>
                <w:rFonts w:ascii="Arial" w:cs="Arial" w:eastAsia="Arial" w:hAnsi="Arial"/>
                <w:sz w:val="11"/>
                <w:szCs w:val="11"/>
                <w:b w:val="1"/>
                <w:bCs w:val="1"/>
                <w:color w:val="auto"/>
              </w:rPr>
              <w:t>2024</w:t>
            </w:r>
          </w:p>
        </w:tc>
        <w:tc>
          <w:tcPr>
            <w:tcW w:w="900" w:type="dxa"/>
            <w:vAlign w:val="bottom"/>
          </w:tcPr>
          <w:p>
            <w:pPr>
              <w:jc w:val="right"/>
              <w:spacing w:after="0"/>
              <w:rPr>
                <w:sz w:val="20"/>
                <w:szCs w:val="20"/>
                <w:color w:val="auto"/>
              </w:rPr>
            </w:pPr>
            <w:r>
              <w:rPr>
                <w:rFonts w:ascii="Arial" w:cs="Arial" w:eastAsia="Arial" w:hAnsi="Arial"/>
                <w:sz w:val="11"/>
                <w:szCs w:val="11"/>
                <w:color w:val="183964"/>
              </w:rPr>
              <w:t>2023</w:t>
            </w:r>
          </w:p>
        </w:tc>
        <w:tc>
          <w:tcPr>
            <w:tcW w:w="20" w:type="dxa"/>
            <w:vAlign w:val="bottom"/>
          </w:tcPr>
          <w:p>
            <w:pPr>
              <w:spacing w:after="0"/>
              <w:rPr>
                <w:sz w:val="10"/>
                <w:szCs w:val="10"/>
                <w:color w:val="auto"/>
              </w:rPr>
            </w:pPr>
          </w:p>
        </w:tc>
      </w:tr>
      <w:tr>
        <w:trPr>
          <w:trHeight w:val="148"/>
        </w:trPr>
        <w:tc>
          <w:tcPr>
            <w:tcW w:w="6600" w:type="dxa"/>
            <w:vAlign w:val="bottom"/>
          </w:tcPr>
          <w:p>
            <w:pPr>
              <w:spacing w:after="0"/>
              <w:rPr>
                <w:sz w:val="12"/>
                <w:szCs w:val="12"/>
                <w:color w:val="auto"/>
              </w:rPr>
            </w:pPr>
          </w:p>
        </w:tc>
        <w:tc>
          <w:tcPr>
            <w:tcW w:w="2420" w:type="dxa"/>
            <w:vAlign w:val="bottom"/>
          </w:tcPr>
          <w:p>
            <w:pPr>
              <w:jc w:val="right"/>
              <w:ind w:right="342"/>
              <w:spacing w:after="0"/>
              <w:rPr>
                <w:sz w:val="20"/>
                <w:szCs w:val="20"/>
                <w:color w:val="auto"/>
              </w:rPr>
            </w:pPr>
            <w:r>
              <w:rPr>
                <w:rFonts w:ascii="Arial" w:cs="Arial" w:eastAsia="Arial" w:hAnsi="Arial"/>
                <w:sz w:val="11"/>
                <w:szCs w:val="11"/>
                <w:color w:val="183964"/>
              </w:rPr>
              <w:t>Note</w:t>
            </w:r>
          </w:p>
        </w:tc>
        <w:tc>
          <w:tcPr>
            <w:tcW w:w="1300" w:type="dxa"/>
            <w:vAlign w:val="bottom"/>
          </w:tcPr>
          <w:p>
            <w:pPr>
              <w:jc w:val="right"/>
              <w:ind w:right="342"/>
              <w:spacing w:after="0"/>
              <w:rPr>
                <w:sz w:val="20"/>
                <w:szCs w:val="20"/>
                <w:color w:val="auto"/>
              </w:rPr>
            </w:pPr>
            <w:r>
              <w:rPr>
                <w:rFonts w:ascii="Arial" w:cs="Arial" w:eastAsia="Arial" w:hAnsi="Arial"/>
                <w:sz w:val="11"/>
                <w:szCs w:val="11"/>
                <w:b w:val="1"/>
                <w:bCs w:val="1"/>
                <w:color w:val="auto"/>
              </w:rPr>
              <w:t>$000s</w:t>
            </w:r>
          </w:p>
        </w:tc>
        <w:tc>
          <w:tcPr>
            <w:tcW w:w="920" w:type="dxa"/>
            <w:vAlign w:val="bottom"/>
            <w:gridSpan w:val="2"/>
          </w:tcPr>
          <w:p>
            <w:pPr>
              <w:jc w:val="right"/>
              <w:ind w:right="40"/>
              <w:spacing w:after="0"/>
              <w:rPr>
                <w:sz w:val="20"/>
                <w:szCs w:val="20"/>
                <w:color w:val="auto"/>
              </w:rPr>
            </w:pPr>
            <w:r>
              <w:rPr>
                <w:rFonts w:ascii="Arial" w:cs="Arial" w:eastAsia="Arial" w:hAnsi="Arial"/>
                <w:sz w:val="11"/>
                <w:szCs w:val="11"/>
                <w:color w:val="183964"/>
              </w:rPr>
              <w:t>$000s</w:t>
            </w:r>
          </w:p>
        </w:tc>
      </w:tr>
      <w:tr>
        <w:trPr>
          <w:trHeight w:val="28"/>
        </w:trPr>
        <w:tc>
          <w:tcPr>
            <w:tcW w:w="66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64"/>
        </w:trPr>
        <w:tc>
          <w:tcPr>
            <w:tcW w:w="6600" w:type="dxa"/>
            <w:vAlign w:val="bottom"/>
          </w:tcPr>
          <w:p>
            <w:pPr>
              <w:ind w:left="20"/>
              <w:spacing w:after="0"/>
              <w:rPr>
                <w:sz w:val="20"/>
                <w:szCs w:val="20"/>
                <w:color w:val="auto"/>
              </w:rPr>
            </w:pPr>
            <w:r>
              <w:rPr>
                <w:rFonts w:ascii="Arial" w:cs="Arial" w:eastAsia="Arial" w:hAnsi="Arial"/>
                <w:sz w:val="12"/>
                <w:szCs w:val="12"/>
                <w:color w:val="auto"/>
              </w:rPr>
              <w:t>Cash flows from operating activities</w:t>
            </w:r>
          </w:p>
        </w:tc>
        <w:tc>
          <w:tcPr>
            <w:tcW w:w="2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5"/>
        </w:trPr>
        <w:tc>
          <w:tcPr>
            <w:tcW w:w="6600" w:type="dxa"/>
            <w:vAlign w:val="bottom"/>
          </w:tcPr>
          <w:p>
            <w:pPr>
              <w:ind w:left="20"/>
              <w:spacing w:after="0"/>
              <w:rPr>
                <w:sz w:val="20"/>
                <w:szCs w:val="20"/>
                <w:color w:val="auto"/>
              </w:rPr>
            </w:pPr>
            <w:r>
              <w:rPr>
                <w:rFonts w:ascii="Arial" w:cs="Arial" w:eastAsia="Arial" w:hAnsi="Arial"/>
                <w:sz w:val="12"/>
                <w:szCs w:val="12"/>
                <w:color w:val="auto"/>
              </w:rPr>
              <w:t>Income/(loss) for the period</w:t>
            </w:r>
          </w:p>
        </w:tc>
        <w:tc>
          <w:tcPr>
            <w:tcW w:w="2420" w:type="dxa"/>
            <w:vAlign w:val="bottom"/>
          </w:tcPr>
          <w:p>
            <w:pPr>
              <w:spacing w:after="0"/>
              <w:rPr>
                <w:sz w:val="16"/>
                <w:szCs w:val="16"/>
                <w:color w:val="auto"/>
              </w:rPr>
            </w:pPr>
          </w:p>
        </w:tc>
        <w:tc>
          <w:tcPr>
            <w:tcW w:w="1300" w:type="dxa"/>
            <w:vAlign w:val="bottom"/>
          </w:tcPr>
          <w:p>
            <w:pPr>
              <w:jc w:val="right"/>
              <w:ind w:right="362"/>
              <w:spacing w:after="0"/>
              <w:rPr>
                <w:sz w:val="20"/>
                <w:szCs w:val="20"/>
                <w:color w:val="auto"/>
              </w:rPr>
            </w:pPr>
            <w:r>
              <w:rPr>
                <w:rFonts w:ascii="Arial" w:cs="Arial" w:eastAsia="Arial" w:hAnsi="Arial"/>
                <w:sz w:val="12"/>
                <w:szCs w:val="12"/>
                <w:b w:val="1"/>
                <w:bCs w:val="1"/>
                <w:color w:val="auto"/>
              </w:rPr>
              <w:t>(48,883)</w:t>
            </w:r>
          </w:p>
        </w:tc>
        <w:tc>
          <w:tcPr>
            <w:tcW w:w="900" w:type="dxa"/>
            <w:vAlign w:val="bottom"/>
          </w:tcPr>
          <w:p>
            <w:pPr>
              <w:jc w:val="right"/>
              <w:spacing w:after="0"/>
              <w:rPr>
                <w:sz w:val="20"/>
                <w:szCs w:val="20"/>
                <w:color w:val="auto"/>
              </w:rPr>
            </w:pPr>
            <w:r>
              <w:rPr>
                <w:rFonts w:ascii="Arial" w:cs="Arial" w:eastAsia="Arial" w:hAnsi="Arial"/>
                <w:sz w:val="12"/>
                <w:szCs w:val="12"/>
                <w:color w:val="183964"/>
              </w:rPr>
              <w:t>(25,551)</w:t>
            </w:r>
          </w:p>
        </w:tc>
        <w:tc>
          <w:tcPr>
            <w:tcW w:w="20" w:type="dxa"/>
            <w:vAlign w:val="bottom"/>
          </w:tcPr>
          <w:p>
            <w:pPr>
              <w:spacing w:after="0"/>
              <w:rPr>
                <w:sz w:val="16"/>
                <w:szCs w:val="16"/>
                <w:color w:val="auto"/>
              </w:rPr>
            </w:pPr>
          </w:p>
        </w:tc>
      </w:tr>
      <w:tr>
        <w:trPr>
          <w:trHeight w:val="183"/>
        </w:trPr>
        <w:tc>
          <w:tcPr>
            <w:tcW w:w="6600" w:type="dxa"/>
            <w:vAlign w:val="bottom"/>
          </w:tcPr>
          <w:p>
            <w:pPr>
              <w:ind w:left="20"/>
              <w:spacing w:after="0"/>
              <w:rPr>
                <w:sz w:val="20"/>
                <w:szCs w:val="20"/>
                <w:color w:val="auto"/>
              </w:rPr>
            </w:pPr>
            <w:r>
              <w:rPr>
                <w:rFonts w:ascii="Arial" w:cs="Arial" w:eastAsia="Arial" w:hAnsi="Arial"/>
                <w:sz w:val="12"/>
                <w:szCs w:val="12"/>
                <w:color w:val="auto"/>
              </w:rPr>
              <w:t>Adjustments to reconcile income/(loss) for the period to net cash used in operating activities:</w:t>
            </w:r>
          </w:p>
        </w:tc>
        <w:tc>
          <w:tcPr>
            <w:tcW w:w="2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9"/>
        </w:trPr>
        <w:tc>
          <w:tcPr>
            <w:tcW w:w="6600" w:type="dxa"/>
            <w:vAlign w:val="bottom"/>
          </w:tcPr>
          <w:p>
            <w:pPr>
              <w:ind w:left="20"/>
              <w:spacing w:after="0"/>
              <w:rPr>
                <w:sz w:val="20"/>
                <w:szCs w:val="20"/>
                <w:color w:val="auto"/>
              </w:rPr>
            </w:pPr>
            <w:r>
              <w:rPr>
                <w:rFonts w:ascii="Arial" w:cs="Arial" w:eastAsia="Arial" w:hAnsi="Arial"/>
                <w:sz w:val="12"/>
                <w:szCs w:val="12"/>
                <w:color w:val="auto"/>
              </w:rPr>
              <w:t>Non-cash items:</w:t>
            </w:r>
          </w:p>
        </w:tc>
        <w:tc>
          <w:tcPr>
            <w:tcW w:w="2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5"/>
        </w:trPr>
        <w:tc>
          <w:tcPr>
            <w:tcW w:w="6600" w:type="dxa"/>
            <w:vAlign w:val="bottom"/>
          </w:tcPr>
          <w:p>
            <w:pPr>
              <w:ind w:left="20"/>
              <w:spacing w:after="0"/>
              <w:rPr>
                <w:sz w:val="20"/>
                <w:szCs w:val="20"/>
                <w:color w:val="auto"/>
              </w:rPr>
            </w:pPr>
            <w:r>
              <w:rPr>
                <w:rFonts w:ascii="Arial" w:cs="Arial" w:eastAsia="Arial" w:hAnsi="Arial"/>
                <w:sz w:val="12"/>
                <w:szCs w:val="12"/>
                <w:color w:val="auto"/>
              </w:rPr>
              <w:t>Depreciation and amortization</w:t>
            </w:r>
          </w:p>
        </w:tc>
        <w:tc>
          <w:tcPr>
            <w:tcW w:w="2420" w:type="dxa"/>
            <w:vAlign w:val="bottom"/>
          </w:tcPr>
          <w:p>
            <w:pPr>
              <w:spacing w:after="0"/>
              <w:rPr>
                <w:sz w:val="16"/>
                <w:szCs w:val="16"/>
                <w:color w:val="auto"/>
              </w:rPr>
            </w:pPr>
          </w:p>
        </w:tc>
        <w:tc>
          <w:tcPr>
            <w:tcW w:w="1300" w:type="dxa"/>
            <w:vAlign w:val="bottom"/>
          </w:tcPr>
          <w:p>
            <w:pPr>
              <w:jc w:val="right"/>
              <w:ind w:right="382"/>
              <w:spacing w:after="0"/>
              <w:rPr>
                <w:sz w:val="20"/>
                <w:szCs w:val="20"/>
                <w:color w:val="auto"/>
              </w:rPr>
            </w:pPr>
            <w:r>
              <w:rPr>
                <w:rFonts w:ascii="Arial" w:cs="Arial" w:eastAsia="Arial" w:hAnsi="Arial"/>
                <w:sz w:val="12"/>
                <w:szCs w:val="12"/>
                <w:b w:val="1"/>
                <w:bCs w:val="1"/>
                <w:color w:val="auto"/>
              </w:rPr>
              <w:t>1,814</w:t>
            </w:r>
          </w:p>
        </w:tc>
        <w:tc>
          <w:tcPr>
            <w:tcW w:w="900" w:type="dxa"/>
            <w:vAlign w:val="bottom"/>
          </w:tcPr>
          <w:p>
            <w:pPr>
              <w:jc w:val="right"/>
              <w:ind w:right="2"/>
              <w:spacing w:after="0"/>
              <w:rPr>
                <w:sz w:val="20"/>
                <w:szCs w:val="20"/>
                <w:color w:val="auto"/>
              </w:rPr>
            </w:pPr>
            <w:r>
              <w:rPr>
                <w:rFonts w:ascii="Arial" w:cs="Arial" w:eastAsia="Arial" w:hAnsi="Arial"/>
                <w:sz w:val="12"/>
                <w:szCs w:val="12"/>
                <w:color w:val="183964"/>
              </w:rPr>
              <w:t>3,061</w:t>
            </w:r>
          </w:p>
        </w:tc>
        <w:tc>
          <w:tcPr>
            <w:tcW w:w="20" w:type="dxa"/>
            <w:vAlign w:val="bottom"/>
          </w:tcPr>
          <w:p>
            <w:pPr>
              <w:spacing w:after="0"/>
              <w:rPr>
                <w:sz w:val="16"/>
                <w:szCs w:val="16"/>
                <w:color w:val="auto"/>
              </w:rPr>
            </w:pPr>
          </w:p>
        </w:tc>
      </w:tr>
      <w:tr>
        <w:trPr>
          <w:trHeight w:val="189"/>
        </w:trPr>
        <w:tc>
          <w:tcPr>
            <w:tcW w:w="6600" w:type="dxa"/>
            <w:vAlign w:val="bottom"/>
          </w:tcPr>
          <w:p>
            <w:pPr>
              <w:ind w:left="20"/>
              <w:spacing w:after="0"/>
              <w:rPr>
                <w:sz w:val="20"/>
                <w:szCs w:val="20"/>
                <w:color w:val="auto"/>
              </w:rPr>
            </w:pPr>
            <w:r>
              <w:rPr>
                <w:rFonts w:ascii="Arial" w:cs="Arial" w:eastAsia="Arial" w:hAnsi="Arial"/>
                <w:sz w:val="12"/>
                <w:szCs w:val="12"/>
                <w:color w:val="auto"/>
              </w:rPr>
              <w:t>Share-based compensation expense</w:t>
            </w:r>
          </w:p>
        </w:tc>
        <w:tc>
          <w:tcPr>
            <w:tcW w:w="2420" w:type="dxa"/>
            <w:vAlign w:val="bottom"/>
          </w:tcPr>
          <w:p>
            <w:pPr>
              <w:jc w:val="right"/>
              <w:ind w:right="342"/>
              <w:spacing w:after="0"/>
              <w:rPr>
                <w:sz w:val="20"/>
                <w:szCs w:val="20"/>
                <w:color w:val="auto"/>
              </w:rPr>
            </w:pPr>
            <w:r>
              <w:rPr>
                <w:rFonts w:ascii="Arial" w:cs="Arial" w:eastAsia="Arial" w:hAnsi="Arial"/>
                <w:sz w:val="12"/>
                <w:szCs w:val="12"/>
                <w:color w:val="183964"/>
              </w:rPr>
              <w:t>7</w:t>
            </w:r>
          </w:p>
        </w:tc>
        <w:tc>
          <w:tcPr>
            <w:tcW w:w="1300" w:type="dxa"/>
            <w:vAlign w:val="bottom"/>
          </w:tcPr>
          <w:p>
            <w:pPr>
              <w:jc w:val="right"/>
              <w:ind w:right="382"/>
              <w:spacing w:after="0"/>
              <w:rPr>
                <w:sz w:val="20"/>
                <w:szCs w:val="20"/>
                <w:color w:val="auto"/>
              </w:rPr>
            </w:pPr>
            <w:r>
              <w:rPr>
                <w:rFonts w:ascii="Arial" w:cs="Arial" w:eastAsia="Arial" w:hAnsi="Arial"/>
                <w:sz w:val="12"/>
                <w:szCs w:val="12"/>
                <w:b w:val="1"/>
                <w:bCs w:val="1"/>
                <w:color w:val="auto"/>
              </w:rPr>
              <w:t>4,648</w:t>
            </w:r>
          </w:p>
        </w:tc>
        <w:tc>
          <w:tcPr>
            <w:tcW w:w="900" w:type="dxa"/>
            <w:vAlign w:val="bottom"/>
          </w:tcPr>
          <w:p>
            <w:pPr>
              <w:jc w:val="right"/>
              <w:ind w:right="2"/>
              <w:spacing w:after="0"/>
              <w:rPr>
                <w:sz w:val="20"/>
                <w:szCs w:val="20"/>
                <w:color w:val="auto"/>
              </w:rPr>
            </w:pPr>
            <w:r>
              <w:rPr>
                <w:rFonts w:ascii="Arial" w:cs="Arial" w:eastAsia="Arial" w:hAnsi="Arial"/>
                <w:sz w:val="12"/>
                <w:szCs w:val="12"/>
                <w:color w:val="183964"/>
              </w:rPr>
              <w:t>1,256</w:t>
            </w:r>
          </w:p>
        </w:tc>
        <w:tc>
          <w:tcPr>
            <w:tcW w:w="20" w:type="dxa"/>
            <w:vAlign w:val="bottom"/>
          </w:tcPr>
          <w:p>
            <w:pPr>
              <w:spacing w:after="0"/>
              <w:rPr>
                <w:sz w:val="16"/>
                <w:szCs w:val="16"/>
                <w:color w:val="auto"/>
              </w:rPr>
            </w:pPr>
          </w:p>
        </w:tc>
      </w:tr>
      <w:tr>
        <w:trPr>
          <w:trHeight w:val="189"/>
        </w:trPr>
        <w:tc>
          <w:tcPr>
            <w:tcW w:w="6600" w:type="dxa"/>
            <w:vAlign w:val="bottom"/>
          </w:tcPr>
          <w:p>
            <w:pPr>
              <w:ind w:left="20"/>
              <w:spacing w:after="0"/>
              <w:rPr>
                <w:sz w:val="20"/>
                <w:szCs w:val="20"/>
                <w:color w:val="auto"/>
              </w:rPr>
            </w:pPr>
            <w:r>
              <w:rPr>
                <w:rFonts w:ascii="Arial" w:cs="Arial" w:eastAsia="Arial" w:hAnsi="Arial"/>
                <w:sz w:val="12"/>
                <w:szCs w:val="12"/>
                <w:color w:val="auto"/>
              </w:rPr>
              <w:t>(Gain)/loss on investment held at fair value</w:t>
            </w:r>
          </w:p>
        </w:tc>
        <w:tc>
          <w:tcPr>
            <w:tcW w:w="2420" w:type="dxa"/>
            <w:vAlign w:val="bottom"/>
          </w:tcPr>
          <w:p>
            <w:pPr>
              <w:jc w:val="right"/>
              <w:ind w:right="342"/>
              <w:spacing w:after="0"/>
              <w:rPr>
                <w:sz w:val="20"/>
                <w:szCs w:val="20"/>
                <w:color w:val="auto"/>
              </w:rPr>
            </w:pPr>
            <w:r>
              <w:rPr>
                <w:rFonts w:ascii="Arial" w:cs="Arial" w:eastAsia="Arial" w:hAnsi="Arial"/>
                <w:sz w:val="12"/>
                <w:szCs w:val="12"/>
                <w:color w:val="183964"/>
              </w:rPr>
              <w:t>4</w:t>
            </w:r>
          </w:p>
        </w:tc>
        <w:tc>
          <w:tcPr>
            <w:tcW w:w="1300" w:type="dxa"/>
            <w:vAlign w:val="bottom"/>
          </w:tcPr>
          <w:p>
            <w:pPr>
              <w:jc w:val="right"/>
              <w:ind w:right="362"/>
              <w:spacing w:after="0"/>
              <w:rPr>
                <w:sz w:val="20"/>
                <w:szCs w:val="20"/>
                <w:color w:val="auto"/>
              </w:rPr>
            </w:pPr>
            <w:r>
              <w:rPr>
                <w:rFonts w:ascii="Arial" w:cs="Arial" w:eastAsia="Arial" w:hAnsi="Arial"/>
                <w:sz w:val="12"/>
                <w:szCs w:val="12"/>
                <w:b w:val="1"/>
                <w:bCs w:val="1"/>
                <w:color w:val="auto"/>
              </w:rPr>
              <w:t>(3,882)</w:t>
            </w:r>
          </w:p>
        </w:tc>
        <w:tc>
          <w:tcPr>
            <w:tcW w:w="900" w:type="dxa"/>
            <w:vAlign w:val="bottom"/>
          </w:tcPr>
          <w:p>
            <w:pPr>
              <w:jc w:val="right"/>
              <w:spacing w:after="0"/>
              <w:rPr>
                <w:sz w:val="20"/>
                <w:szCs w:val="20"/>
                <w:color w:val="auto"/>
              </w:rPr>
            </w:pPr>
            <w:r>
              <w:rPr>
                <w:rFonts w:ascii="Arial" w:cs="Arial" w:eastAsia="Arial" w:hAnsi="Arial"/>
                <w:sz w:val="12"/>
                <w:szCs w:val="12"/>
                <w:color w:val="183964"/>
              </w:rPr>
              <w:t>(7,818)</w:t>
            </w:r>
          </w:p>
        </w:tc>
        <w:tc>
          <w:tcPr>
            <w:tcW w:w="20" w:type="dxa"/>
            <w:vAlign w:val="bottom"/>
          </w:tcPr>
          <w:p>
            <w:pPr>
              <w:spacing w:after="0"/>
              <w:rPr>
                <w:sz w:val="16"/>
                <w:szCs w:val="16"/>
                <w:color w:val="auto"/>
              </w:rPr>
            </w:pPr>
          </w:p>
        </w:tc>
      </w:tr>
      <w:tr>
        <w:trPr>
          <w:trHeight w:val="189"/>
        </w:trPr>
        <w:tc>
          <w:tcPr>
            <w:tcW w:w="6600" w:type="dxa"/>
            <w:vAlign w:val="bottom"/>
          </w:tcPr>
          <w:p>
            <w:pPr>
              <w:ind w:left="20"/>
              <w:spacing w:after="0"/>
              <w:rPr>
                <w:sz w:val="20"/>
                <w:szCs w:val="20"/>
                <w:color w:val="auto"/>
              </w:rPr>
            </w:pPr>
            <w:r>
              <w:rPr>
                <w:rFonts w:ascii="Arial" w:cs="Arial" w:eastAsia="Arial" w:hAnsi="Arial"/>
                <w:sz w:val="12"/>
                <w:szCs w:val="12"/>
                <w:color w:val="auto"/>
              </w:rPr>
              <w:t>Realized gain on sale of investments</w:t>
            </w:r>
          </w:p>
        </w:tc>
        <w:tc>
          <w:tcPr>
            <w:tcW w:w="2420" w:type="dxa"/>
            <w:vAlign w:val="bottom"/>
          </w:tcPr>
          <w:p>
            <w:pPr>
              <w:jc w:val="right"/>
              <w:ind w:right="342"/>
              <w:spacing w:after="0"/>
              <w:rPr>
                <w:sz w:val="20"/>
                <w:szCs w:val="20"/>
                <w:color w:val="auto"/>
              </w:rPr>
            </w:pPr>
            <w:r>
              <w:rPr>
                <w:rFonts w:ascii="Arial" w:cs="Arial" w:eastAsia="Arial" w:hAnsi="Arial"/>
                <w:sz w:val="12"/>
                <w:szCs w:val="12"/>
                <w:color w:val="183964"/>
              </w:rPr>
              <w:t>4</w:t>
            </w:r>
          </w:p>
        </w:tc>
        <w:tc>
          <w:tcPr>
            <w:tcW w:w="1300" w:type="dxa"/>
            <w:vAlign w:val="bottom"/>
          </w:tcPr>
          <w:p>
            <w:pPr>
              <w:jc w:val="right"/>
              <w:ind w:right="362"/>
              <w:spacing w:after="0"/>
              <w:rPr>
                <w:sz w:val="20"/>
                <w:szCs w:val="20"/>
                <w:color w:val="auto"/>
              </w:rPr>
            </w:pPr>
            <w:r>
              <w:rPr>
                <w:rFonts w:ascii="Arial" w:cs="Arial" w:eastAsia="Arial" w:hAnsi="Arial"/>
                <w:sz w:val="12"/>
                <w:szCs w:val="12"/>
                <w:b w:val="1"/>
                <w:bCs w:val="1"/>
                <w:color w:val="auto"/>
              </w:rPr>
              <w:t>(151)</w:t>
            </w: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183964"/>
              </w:rPr>
              <w:t>—</w:t>
            </w:r>
          </w:p>
        </w:tc>
      </w:tr>
      <w:tr>
        <w:trPr>
          <w:trHeight w:val="189"/>
        </w:trPr>
        <w:tc>
          <w:tcPr>
            <w:tcW w:w="6600" w:type="dxa"/>
            <w:vAlign w:val="bottom"/>
          </w:tcPr>
          <w:p>
            <w:pPr>
              <w:ind w:left="20"/>
              <w:spacing w:after="0"/>
              <w:rPr>
                <w:sz w:val="20"/>
                <w:szCs w:val="20"/>
                <w:color w:val="auto"/>
              </w:rPr>
            </w:pPr>
            <w:r>
              <w:rPr>
                <w:rFonts w:ascii="Arial" w:cs="Arial" w:eastAsia="Arial" w:hAnsi="Arial"/>
                <w:sz w:val="12"/>
                <w:szCs w:val="12"/>
                <w:color w:val="auto"/>
              </w:rPr>
              <w:t>Gain on deconsolidation of subsidiary</w:t>
            </w:r>
          </w:p>
        </w:tc>
        <w:tc>
          <w:tcPr>
            <w:tcW w:w="2420" w:type="dxa"/>
            <w:vAlign w:val="bottom"/>
          </w:tcPr>
          <w:p>
            <w:pPr>
              <w:jc w:val="right"/>
              <w:ind w:right="342"/>
              <w:spacing w:after="0"/>
              <w:rPr>
                <w:sz w:val="20"/>
                <w:szCs w:val="20"/>
                <w:color w:val="auto"/>
              </w:rPr>
            </w:pPr>
            <w:r>
              <w:rPr>
                <w:rFonts w:ascii="Arial" w:cs="Arial" w:eastAsia="Arial" w:hAnsi="Arial"/>
                <w:sz w:val="12"/>
                <w:szCs w:val="12"/>
                <w:color w:val="183964"/>
              </w:rPr>
              <w:t>4</w:t>
            </w:r>
          </w:p>
        </w:tc>
        <w:tc>
          <w:tcPr>
            <w:tcW w:w="1300" w:type="dxa"/>
            <w:vAlign w:val="bottom"/>
          </w:tcPr>
          <w:p>
            <w:pPr>
              <w:jc w:val="right"/>
              <w:ind w:right="382"/>
              <w:spacing w:after="0"/>
              <w:rPr>
                <w:sz w:val="20"/>
                <w:szCs w:val="20"/>
                <w:color w:val="auto"/>
              </w:rPr>
            </w:pPr>
            <w:r>
              <w:rPr>
                <w:rFonts w:ascii="Arial" w:cs="Arial" w:eastAsia="Arial" w:hAnsi="Arial"/>
                <w:sz w:val="12"/>
                <w:szCs w:val="12"/>
                <w:b w:val="1"/>
                <w:bCs w:val="1"/>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183964"/>
              </w:rPr>
              <w:t>(61,787)</w:t>
            </w:r>
          </w:p>
        </w:tc>
        <w:tc>
          <w:tcPr>
            <w:tcW w:w="20" w:type="dxa"/>
            <w:vAlign w:val="bottom"/>
          </w:tcPr>
          <w:p>
            <w:pPr>
              <w:spacing w:after="0"/>
              <w:rPr>
                <w:sz w:val="16"/>
                <w:szCs w:val="16"/>
                <w:color w:val="auto"/>
              </w:rPr>
            </w:pPr>
          </w:p>
        </w:tc>
      </w:tr>
      <w:tr>
        <w:trPr>
          <w:trHeight w:val="189"/>
        </w:trPr>
        <w:tc>
          <w:tcPr>
            <w:tcW w:w="6600" w:type="dxa"/>
            <w:vAlign w:val="bottom"/>
          </w:tcPr>
          <w:p>
            <w:pPr>
              <w:ind w:left="20"/>
              <w:spacing w:after="0"/>
              <w:rPr>
                <w:sz w:val="20"/>
                <w:szCs w:val="20"/>
                <w:color w:val="auto"/>
              </w:rPr>
            </w:pPr>
            <w:r>
              <w:rPr>
                <w:rFonts w:ascii="Arial" w:cs="Arial" w:eastAsia="Arial" w:hAnsi="Arial"/>
                <w:sz w:val="12"/>
                <w:szCs w:val="12"/>
                <w:color w:val="auto"/>
              </w:rPr>
              <w:t>Share of net loss of associates accounted for using the equity method</w:t>
            </w:r>
          </w:p>
        </w:tc>
        <w:tc>
          <w:tcPr>
            <w:tcW w:w="2420" w:type="dxa"/>
            <w:vAlign w:val="bottom"/>
          </w:tcPr>
          <w:p>
            <w:pPr>
              <w:jc w:val="right"/>
              <w:ind w:right="342"/>
              <w:spacing w:after="0"/>
              <w:rPr>
                <w:sz w:val="20"/>
                <w:szCs w:val="20"/>
                <w:color w:val="auto"/>
              </w:rPr>
            </w:pPr>
            <w:r>
              <w:rPr>
                <w:rFonts w:ascii="Arial" w:cs="Arial" w:eastAsia="Arial" w:hAnsi="Arial"/>
                <w:sz w:val="12"/>
                <w:szCs w:val="12"/>
                <w:color w:val="183964"/>
              </w:rPr>
              <w:t>5</w:t>
            </w:r>
          </w:p>
        </w:tc>
        <w:tc>
          <w:tcPr>
            <w:tcW w:w="1300" w:type="dxa"/>
            <w:vAlign w:val="bottom"/>
          </w:tcPr>
          <w:p>
            <w:pPr>
              <w:jc w:val="right"/>
              <w:ind w:right="382"/>
              <w:spacing w:after="0"/>
              <w:rPr>
                <w:sz w:val="20"/>
                <w:szCs w:val="20"/>
                <w:color w:val="auto"/>
              </w:rPr>
            </w:pPr>
            <w:r>
              <w:rPr>
                <w:rFonts w:ascii="Arial" w:cs="Arial" w:eastAsia="Arial" w:hAnsi="Arial"/>
                <w:sz w:val="12"/>
                <w:szCs w:val="12"/>
                <w:b w:val="1"/>
                <w:bCs w:val="1"/>
                <w:color w:val="auto"/>
              </w:rPr>
              <w:t>3,357</w:t>
            </w:r>
          </w:p>
        </w:tc>
        <w:tc>
          <w:tcPr>
            <w:tcW w:w="900" w:type="dxa"/>
            <w:vAlign w:val="bottom"/>
          </w:tcPr>
          <w:p>
            <w:pPr>
              <w:jc w:val="right"/>
              <w:ind w:right="2"/>
              <w:spacing w:after="0"/>
              <w:rPr>
                <w:sz w:val="20"/>
                <w:szCs w:val="20"/>
                <w:color w:val="auto"/>
              </w:rPr>
            </w:pPr>
            <w:r>
              <w:rPr>
                <w:rFonts w:ascii="Arial" w:cs="Arial" w:eastAsia="Arial" w:hAnsi="Arial"/>
                <w:sz w:val="12"/>
                <w:szCs w:val="12"/>
                <w:color w:val="183964"/>
              </w:rPr>
              <w:t>5,324</w:t>
            </w:r>
          </w:p>
        </w:tc>
        <w:tc>
          <w:tcPr>
            <w:tcW w:w="20" w:type="dxa"/>
            <w:vAlign w:val="bottom"/>
          </w:tcPr>
          <w:p>
            <w:pPr>
              <w:spacing w:after="0"/>
              <w:rPr>
                <w:sz w:val="16"/>
                <w:szCs w:val="16"/>
                <w:color w:val="auto"/>
              </w:rPr>
            </w:pPr>
          </w:p>
        </w:tc>
      </w:tr>
      <w:tr>
        <w:trPr>
          <w:trHeight w:val="189"/>
        </w:trPr>
        <w:tc>
          <w:tcPr>
            <w:tcW w:w="6600" w:type="dxa"/>
            <w:vAlign w:val="bottom"/>
          </w:tcPr>
          <w:p>
            <w:pPr>
              <w:ind w:left="20"/>
              <w:spacing w:after="0"/>
              <w:rPr>
                <w:sz w:val="20"/>
                <w:szCs w:val="20"/>
                <w:color w:val="auto"/>
              </w:rPr>
            </w:pPr>
            <w:r>
              <w:rPr>
                <w:rFonts w:ascii="Arial" w:cs="Arial" w:eastAsia="Arial" w:hAnsi="Arial"/>
                <w:sz w:val="12"/>
                <w:szCs w:val="12"/>
                <w:color w:val="auto"/>
              </w:rPr>
              <w:t>(Gain)/loss on investments in notes from associates</w:t>
            </w:r>
          </w:p>
        </w:tc>
        <w:tc>
          <w:tcPr>
            <w:tcW w:w="2420" w:type="dxa"/>
            <w:vAlign w:val="bottom"/>
          </w:tcPr>
          <w:p>
            <w:pPr>
              <w:jc w:val="right"/>
              <w:ind w:right="342"/>
              <w:spacing w:after="0"/>
              <w:rPr>
                <w:sz w:val="20"/>
                <w:szCs w:val="20"/>
                <w:color w:val="auto"/>
              </w:rPr>
            </w:pPr>
            <w:r>
              <w:rPr>
                <w:rFonts w:ascii="Arial" w:cs="Arial" w:eastAsia="Arial" w:hAnsi="Arial"/>
                <w:sz w:val="12"/>
                <w:szCs w:val="12"/>
                <w:color w:val="183964"/>
              </w:rPr>
              <w:t>6</w:t>
            </w:r>
          </w:p>
        </w:tc>
        <w:tc>
          <w:tcPr>
            <w:tcW w:w="1300" w:type="dxa"/>
            <w:vAlign w:val="bottom"/>
          </w:tcPr>
          <w:p>
            <w:pPr>
              <w:jc w:val="right"/>
              <w:ind w:right="362"/>
              <w:spacing w:after="0"/>
              <w:rPr>
                <w:sz w:val="20"/>
                <w:szCs w:val="20"/>
                <w:color w:val="auto"/>
              </w:rPr>
            </w:pPr>
            <w:r>
              <w:rPr>
                <w:rFonts w:ascii="Arial" w:cs="Arial" w:eastAsia="Arial" w:hAnsi="Arial"/>
                <w:sz w:val="12"/>
                <w:szCs w:val="12"/>
                <w:b w:val="1"/>
                <w:bCs w:val="1"/>
                <w:color w:val="auto"/>
              </w:rPr>
              <w:t>(11,612)</w:t>
            </w:r>
          </w:p>
        </w:tc>
        <w:tc>
          <w:tcPr>
            <w:tcW w:w="900" w:type="dxa"/>
            <w:vAlign w:val="bottom"/>
          </w:tcPr>
          <w:p>
            <w:pPr>
              <w:jc w:val="right"/>
              <w:ind w:right="2"/>
              <w:spacing w:after="0"/>
              <w:rPr>
                <w:sz w:val="20"/>
                <w:szCs w:val="20"/>
                <w:color w:val="auto"/>
              </w:rPr>
            </w:pPr>
            <w:r>
              <w:rPr>
                <w:rFonts w:ascii="Arial" w:cs="Arial" w:eastAsia="Arial" w:hAnsi="Arial"/>
                <w:sz w:val="12"/>
                <w:szCs w:val="12"/>
                <w:color w:val="183964"/>
              </w:rPr>
              <w:t>6,045</w:t>
            </w:r>
          </w:p>
        </w:tc>
        <w:tc>
          <w:tcPr>
            <w:tcW w:w="20" w:type="dxa"/>
            <w:vAlign w:val="bottom"/>
          </w:tcPr>
          <w:p>
            <w:pPr>
              <w:spacing w:after="0"/>
              <w:rPr>
                <w:sz w:val="16"/>
                <w:szCs w:val="16"/>
                <w:color w:val="auto"/>
              </w:rPr>
            </w:pPr>
          </w:p>
        </w:tc>
      </w:tr>
      <w:tr>
        <w:trPr>
          <w:trHeight w:val="189"/>
        </w:trPr>
        <w:tc>
          <w:tcPr>
            <w:tcW w:w="6600" w:type="dxa"/>
            <w:vAlign w:val="bottom"/>
          </w:tcPr>
          <w:p>
            <w:pPr>
              <w:ind w:left="20"/>
              <w:spacing w:after="0"/>
              <w:rPr>
                <w:sz w:val="20"/>
                <w:szCs w:val="20"/>
                <w:color w:val="auto"/>
              </w:rPr>
            </w:pPr>
            <w:r>
              <w:rPr>
                <w:rFonts w:ascii="Arial" w:cs="Arial" w:eastAsia="Arial" w:hAnsi="Arial"/>
                <w:sz w:val="12"/>
                <w:szCs w:val="12"/>
                <w:color w:val="auto"/>
              </w:rPr>
              <w:t>(Gain)/loss on disposal of assets</w:t>
            </w:r>
          </w:p>
        </w:tc>
        <w:tc>
          <w:tcPr>
            <w:tcW w:w="2420" w:type="dxa"/>
            <w:vAlign w:val="bottom"/>
          </w:tcPr>
          <w:p>
            <w:pPr>
              <w:spacing w:after="0"/>
              <w:rPr>
                <w:sz w:val="16"/>
                <w:szCs w:val="16"/>
                <w:color w:val="auto"/>
              </w:rPr>
            </w:pPr>
          </w:p>
        </w:tc>
        <w:tc>
          <w:tcPr>
            <w:tcW w:w="1300" w:type="dxa"/>
            <w:vAlign w:val="bottom"/>
          </w:tcPr>
          <w:p>
            <w:pPr>
              <w:jc w:val="right"/>
              <w:ind w:right="362"/>
              <w:spacing w:after="0"/>
              <w:rPr>
                <w:sz w:val="20"/>
                <w:szCs w:val="20"/>
                <w:color w:val="auto"/>
              </w:rPr>
            </w:pPr>
            <w:r>
              <w:rPr>
                <w:rFonts w:ascii="Arial" w:cs="Arial" w:eastAsia="Arial" w:hAnsi="Arial"/>
                <w:sz w:val="12"/>
                <w:szCs w:val="12"/>
                <w:b w:val="1"/>
                <w:bCs w:val="1"/>
                <w:color w:val="auto"/>
              </w:rPr>
              <w:t>(23)</w:t>
            </w:r>
          </w:p>
        </w:tc>
        <w:tc>
          <w:tcPr>
            <w:tcW w:w="900" w:type="dxa"/>
            <w:vAlign w:val="bottom"/>
          </w:tcPr>
          <w:p>
            <w:pPr>
              <w:jc w:val="right"/>
              <w:ind w:right="2"/>
              <w:spacing w:after="0"/>
              <w:rPr>
                <w:sz w:val="20"/>
                <w:szCs w:val="20"/>
                <w:color w:val="auto"/>
              </w:rPr>
            </w:pPr>
            <w:r>
              <w:rPr>
                <w:rFonts w:ascii="Arial" w:cs="Arial" w:eastAsia="Arial" w:hAnsi="Arial"/>
                <w:sz w:val="12"/>
                <w:szCs w:val="12"/>
                <w:color w:val="183964"/>
              </w:rPr>
              <w:t>522</w:t>
            </w:r>
          </w:p>
        </w:tc>
        <w:tc>
          <w:tcPr>
            <w:tcW w:w="20" w:type="dxa"/>
            <w:vAlign w:val="bottom"/>
          </w:tcPr>
          <w:p>
            <w:pPr>
              <w:spacing w:after="0"/>
              <w:rPr>
                <w:sz w:val="16"/>
                <w:szCs w:val="16"/>
                <w:color w:val="auto"/>
              </w:rPr>
            </w:pPr>
          </w:p>
        </w:tc>
      </w:tr>
      <w:tr>
        <w:trPr>
          <w:trHeight w:val="189"/>
        </w:trPr>
        <w:tc>
          <w:tcPr>
            <w:tcW w:w="6600" w:type="dxa"/>
            <w:vAlign w:val="bottom"/>
          </w:tcPr>
          <w:p>
            <w:pPr>
              <w:ind w:left="20"/>
              <w:spacing w:after="0"/>
              <w:rPr>
                <w:sz w:val="20"/>
                <w:szCs w:val="20"/>
                <w:color w:val="auto"/>
              </w:rPr>
            </w:pPr>
            <w:r>
              <w:rPr>
                <w:rFonts w:ascii="Arial" w:cs="Arial" w:eastAsia="Arial" w:hAnsi="Arial"/>
                <w:sz w:val="12"/>
                <w:szCs w:val="12"/>
                <w:color w:val="auto"/>
              </w:rPr>
              <w:t>Impairment of fixed assets</w:t>
            </w:r>
          </w:p>
        </w:tc>
        <w:tc>
          <w:tcPr>
            <w:tcW w:w="2420" w:type="dxa"/>
            <w:vAlign w:val="bottom"/>
          </w:tcPr>
          <w:p>
            <w:pPr>
              <w:spacing w:after="0"/>
              <w:rPr>
                <w:sz w:val="16"/>
                <w:szCs w:val="16"/>
                <w:color w:val="auto"/>
              </w:rPr>
            </w:pPr>
          </w:p>
        </w:tc>
        <w:tc>
          <w:tcPr>
            <w:tcW w:w="1300" w:type="dxa"/>
            <w:vAlign w:val="bottom"/>
          </w:tcPr>
          <w:p>
            <w:pPr>
              <w:jc w:val="right"/>
              <w:ind w:right="382"/>
              <w:spacing w:after="0"/>
              <w:rPr>
                <w:sz w:val="20"/>
                <w:szCs w:val="20"/>
                <w:color w:val="auto"/>
              </w:rPr>
            </w:pPr>
            <w:r>
              <w:rPr>
                <w:rFonts w:ascii="Arial" w:cs="Arial" w:eastAsia="Arial" w:hAnsi="Arial"/>
                <w:sz w:val="12"/>
                <w:szCs w:val="12"/>
                <w:b w:val="1"/>
                <w:bCs w:val="1"/>
                <w:color w:val="auto"/>
              </w:rPr>
              <w:t>45</w:t>
            </w:r>
          </w:p>
        </w:tc>
        <w:tc>
          <w:tcPr>
            <w:tcW w:w="900" w:type="dxa"/>
            <w:vAlign w:val="bottom"/>
          </w:tcPr>
          <w:p>
            <w:pPr>
              <w:jc w:val="right"/>
              <w:ind w:right="2"/>
              <w:spacing w:after="0"/>
              <w:rPr>
                <w:sz w:val="20"/>
                <w:szCs w:val="20"/>
                <w:color w:val="auto"/>
              </w:rPr>
            </w:pPr>
            <w:r>
              <w:rPr>
                <w:rFonts w:ascii="Arial" w:cs="Arial" w:eastAsia="Arial" w:hAnsi="Arial"/>
                <w:sz w:val="12"/>
                <w:szCs w:val="12"/>
                <w:color w:val="183964"/>
              </w:rPr>
              <w:t>1,066</w:t>
            </w:r>
          </w:p>
        </w:tc>
        <w:tc>
          <w:tcPr>
            <w:tcW w:w="20" w:type="dxa"/>
            <w:vAlign w:val="bottom"/>
          </w:tcPr>
          <w:p>
            <w:pPr>
              <w:spacing w:after="0"/>
              <w:rPr>
                <w:sz w:val="16"/>
                <w:szCs w:val="16"/>
                <w:color w:val="auto"/>
              </w:rPr>
            </w:pPr>
          </w:p>
        </w:tc>
      </w:tr>
      <w:tr>
        <w:trPr>
          <w:trHeight w:val="189"/>
        </w:trPr>
        <w:tc>
          <w:tcPr>
            <w:tcW w:w="6600" w:type="dxa"/>
            <w:vAlign w:val="bottom"/>
          </w:tcPr>
          <w:p>
            <w:pPr>
              <w:ind w:left="20"/>
              <w:spacing w:after="0"/>
              <w:rPr>
                <w:sz w:val="20"/>
                <w:szCs w:val="20"/>
                <w:color w:val="auto"/>
              </w:rPr>
            </w:pPr>
            <w:r>
              <w:rPr>
                <w:rFonts w:ascii="Arial" w:cs="Arial" w:eastAsia="Arial" w:hAnsi="Arial"/>
                <w:sz w:val="12"/>
                <w:szCs w:val="12"/>
                <w:color w:val="auto"/>
              </w:rPr>
              <w:t>Income taxes, net</w:t>
            </w:r>
          </w:p>
        </w:tc>
        <w:tc>
          <w:tcPr>
            <w:tcW w:w="2420" w:type="dxa"/>
            <w:vAlign w:val="bottom"/>
          </w:tcPr>
          <w:p>
            <w:pPr>
              <w:jc w:val="right"/>
              <w:ind w:right="342"/>
              <w:spacing w:after="0"/>
              <w:rPr>
                <w:sz w:val="20"/>
                <w:szCs w:val="20"/>
                <w:color w:val="auto"/>
              </w:rPr>
            </w:pPr>
            <w:r>
              <w:rPr>
                <w:rFonts w:ascii="Arial" w:cs="Arial" w:eastAsia="Arial" w:hAnsi="Arial"/>
                <w:sz w:val="12"/>
                <w:szCs w:val="12"/>
                <w:color w:val="183964"/>
              </w:rPr>
              <w:t>18</w:t>
            </w:r>
          </w:p>
        </w:tc>
        <w:tc>
          <w:tcPr>
            <w:tcW w:w="1300" w:type="dxa"/>
            <w:vAlign w:val="bottom"/>
          </w:tcPr>
          <w:p>
            <w:pPr>
              <w:jc w:val="right"/>
              <w:ind w:right="362"/>
              <w:spacing w:after="0"/>
              <w:rPr>
                <w:sz w:val="20"/>
                <w:szCs w:val="20"/>
                <w:color w:val="auto"/>
              </w:rPr>
            </w:pPr>
            <w:r>
              <w:rPr>
                <w:rFonts w:ascii="Arial" w:cs="Arial" w:eastAsia="Arial" w:hAnsi="Arial"/>
                <w:sz w:val="12"/>
                <w:szCs w:val="12"/>
                <w:b w:val="1"/>
                <w:bCs w:val="1"/>
                <w:color w:val="auto"/>
              </w:rPr>
              <w:t>(6,147)</w:t>
            </w:r>
          </w:p>
        </w:tc>
        <w:tc>
          <w:tcPr>
            <w:tcW w:w="900" w:type="dxa"/>
            <w:vAlign w:val="bottom"/>
          </w:tcPr>
          <w:p>
            <w:pPr>
              <w:jc w:val="right"/>
              <w:ind w:right="2"/>
              <w:spacing w:after="0"/>
              <w:rPr>
                <w:sz w:val="20"/>
                <w:szCs w:val="20"/>
                <w:color w:val="auto"/>
              </w:rPr>
            </w:pPr>
            <w:r>
              <w:rPr>
                <w:rFonts w:ascii="Arial" w:cs="Arial" w:eastAsia="Arial" w:hAnsi="Arial"/>
                <w:sz w:val="12"/>
                <w:szCs w:val="12"/>
                <w:color w:val="183964"/>
              </w:rPr>
              <w:t>11,807</w:t>
            </w:r>
          </w:p>
        </w:tc>
        <w:tc>
          <w:tcPr>
            <w:tcW w:w="20" w:type="dxa"/>
            <w:vAlign w:val="bottom"/>
          </w:tcPr>
          <w:p>
            <w:pPr>
              <w:spacing w:after="0"/>
              <w:rPr>
                <w:sz w:val="16"/>
                <w:szCs w:val="16"/>
                <w:color w:val="auto"/>
              </w:rPr>
            </w:pPr>
          </w:p>
        </w:tc>
      </w:tr>
      <w:tr>
        <w:trPr>
          <w:trHeight w:val="189"/>
        </w:trPr>
        <w:tc>
          <w:tcPr>
            <w:tcW w:w="6600" w:type="dxa"/>
            <w:vAlign w:val="bottom"/>
          </w:tcPr>
          <w:p>
            <w:pPr>
              <w:ind w:left="20"/>
              <w:spacing w:after="0"/>
              <w:rPr>
                <w:sz w:val="20"/>
                <w:szCs w:val="20"/>
                <w:color w:val="auto"/>
              </w:rPr>
            </w:pPr>
            <w:r>
              <w:rPr>
                <w:rFonts w:ascii="Arial" w:cs="Arial" w:eastAsia="Arial" w:hAnsi="Arial"/>
                <w:sz w:val="12"/>
                <w:szCs w:val="12"/>
                <w:color w:val="auto"/>
              </w:rPr>
              <w:t>Finance (income)/costs, net</w:t>
            </w:r>
          </w:p>
        </w:tc>
        <w:tc>
          <w:tcPr>
            <w:tcW w:w="2420" w:type="dxa"/>
            <w:vAlign w:val="bottom"/>
          </w:tcPr>
          <w:p>
            <w:pPr>
              <w:jc w:val="right"/>
              <w:ind w:right="342"/>
              <w:spacing w:after="0"/>
              <w:rPr>
                <w:sz w:val="20"/>
                <w:szCs w:val="20"/>
                <w:color w:val="auto"/>
              </w:rPr>
            </w:pPr>
            <w:r>
              <w:rPr>
                <w:rFonts w:ascii="Arial" w:cs="Arial" w:eastAsia="Arial" w:hAnsi="Arial"/>
                <w:sz w:val="12"/>
                <w:szCs w:val="12"/>
                <w:color w:val="183964"/>
              </w:rPr>
              <w:t>8</w:t>
            </w:r>
          </w:p>
        </w:tc>
        <w:tc>
          <w:tcPr>
            <w:tcW w:w="1300" w:type="dxa"/>
            <w:vAlign w:val="bottom"/>
          </w:tcPr>
          <w:p>
            <w:pPr>
              <w:jc w:val="right"/>
              <w:ind w:right="382"/>
              <w:spacing w:after="0"/>
              <w:rPr>
                <w:sz w:val="20"/>
                <w:szCs w:val="20"/>
                <w:color w:val="auto"/>
              </w:rPr>
            </w:pPr>
            <w:r>
              <w:rPr>
                <w:rFonts w:ascii="Arial" w:cs="Arial" w:eastAsia="Arial" w:hAnsi="Arial"/>
                <w:sz w:val="12"/>
                <w:szCs w:val="12"/>
                <w:b w:val="1"/>
                <w:bCs w:val="1"/>
                <w:color w:val="auto"/>
              </w:rPr>
              <w:t>1,468</w:t>
            </w:r>
          </w:p>
        </w:tc>
        <w:tc>
          <w:tcPr>
            <w:tcW w:w="900" w:type="dxa"/>
            <w:vAlign w:val="bottom"/>
          </w:tcPr>
          <w:p>
            <w:pPr>
              <w:jc w:val="right"/>
              <w:spacing w:after="0"/>
              <w:rPr>
                <w:sz w:val="20"/>
                <w:szCs w:val="20"/>
                <w:color w:val="auto"/>
              </w:rPr>
            </w:pPr>
            <w:r>
              <w:rPr>
                <w:rFonts w:ascii="Arial" w:cs="Arial" w:eastAsia="Arial" w:hAnsi="Arial"/>
                <w:sz w:val="12"/>
                <w:szCs w:val="12"/>
                <w:color w:val="183964"/>
              </w:rPr>
              <w:t>(5,316)</w:t>
            </w:r>
          </w:p>
        </w:tc>
        <w:tc>
          <w:tcPr>
            <w:tcW w:w="20" w:type="dxa"/>
            <w:vAlign w:val="bottom"/>
          </w:tcPr>
          <w:p>
            <w:pPr>
              <w:spacing w:after="0"/>
              <w:rPr>
                <w:sz w:val="16"/>
                <w:szCs w:val="16"/>
                <w:color w:val="auto"/>
              </w:rPr>
            </w:pPr>
          </w:p>
        </w:tc>
      </w:tr>
      <w:tr>
        <w:trPr>
          <w:trHeight w:val="183"/>
        </w:trPr>
        <w:tc>
          <w:tcPr>
            <w:tcW w:w="6600" w:type="dxa"/>
            <w:vAlign w:val="bottom"/>
          </w:tcPr>
          <w:p>
            <w:pPr>
              <w:ind w:left="20"/>
              <w:spacing w:after="0"/>
              <w:rPr>
                <w:sz w:val="20"/>
                <w:szCs w:val="20"/>
                <w:color w:val="auto"/>
              </w:rPr>
            </w:pPr>
            <w:r>
              <w:rPr>
                <w:rFonts w:ascii="Arial" w:cs="Arial" w:eastAsia="Arial" w:hAnsi="Arial"/>
                <w:sz w:val="12"/>
                <w:szCs w:val="12"/>
                <w:color w:val="auto"/>
              </w:rPr>
              <w:t>Changes in operating assets and liabilities:</w:t>
            </w:r>
          </w:p>
        </w:tc>
        <w:tc>
          <w:tcPr>
            <w:tcW w:w="2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5"/>
        </w:trPr>
        <w:tc>
          <w:tcPr>
            <w:tcW w:w="6600" w:type="dxa"/>
            <w:vAlign w:val="bottom"/>
          </w:tcPr>
          <w:p>
            <w:pPr>
              <w:ind w:left="20"/>
              <w:spacing w:after="0"/>
              <w:rPr>
                <w:sz w:val="20"/>
                <w:szCs w:val="20"/>
                <w:color w:val="auto"/>
              </w:rPr>
            </w:pPr>
            <w:r>
              <w:rPr>
                <w:rFonts w:ascii="Arial" w:cs="Arial" w:eastAsia="Arial" w:hAnsi="Arial"/>
                <w:sz w:val="12"/>
                <w:szCs w:val="12"/>
                <w:color w:val="auto"/>
              </w:rPr>
              <w:t>Trade and other receivables</w:t>
            </w:r>
          </w:p>
        </w:tc>
        <w:tc>
          <w:tcPr>
            <w:tcW w:w="2420" w:type="dxa"/>
            <w:vAlign w:val="bottom"/>
          </w:tcPr>
          <w:p>
            <w:pPr>
              <w:spacing w:after="0"/>
              <w:rPr>
                <w:sz w:val="16"/>
                <w:szCs w:val="16"/>
                <w:color w:val="auto"/>
              </w:rPr>
            </w:pPr>
          </w:p>
        </w:tc>
        <w:tc>
          <w:tcPr>
            <w:tcW w:w="1300" w:type="dxa"/>
            <w:vAlign w:val="bottom"/>
          </w:tcPr>
          <w:p>
            <w:pPr>
              <w:jc w:val="right"/>
              <w:ind w:right="382"/>
              <w:spacing w:after="0"/>
              <w:rPr>
                <w:sz w:val="20"/>
                <w:szCs w:val="20"/>
                <w:color w:val="auto"/>
              </w:rPr>
            </w:pPr>
            <w:r>
              <w:rPr>
                <w:rFonts w:ascii="Arial" w:cs="Arial" w:eastAsia="Arial" w:hAnsi="Arial"/>
                <w:sz w:val="12"/>
                <w:szCs w:val="12"/>
                <w:b w:val="1"/>
                <w:bCs w:val="1"/>
                <w:color w:val="auto"/>
              </w:rPr>
              <w:t>320</w:t>
            </w:r>
          </w:p>
        </w:tc>
        <w:tc>
          <w:tcPr>
            <w:tcW w:w="900" w:type="dxa"/>
            <w:vAlign w:val="bottom"/>
          </w:tcPr>
          <w:p>
            <w:pPr>
              <w:jc w:val="right"/>
              <w:ind w:right="2"/>
              <w:spacing w:after="0"/>
              <w:rPr>
                <w:sz w:val="20"/>
                <w:szCs w:val="20"/>
                <w:color w:val="auto"/>
              </w:rPr>
            </w:pPr>
            <w:r>
              <w:rPr>
                <w:rFonts w:ascii="Arial" w:cs="Arial" w:eastAsia="Arial" w:hAnsi="Arial"/>
                <w:sz w:val="12"/>
                <w:szCs w:val="12"/>
                <w:color w:val="183964"/>
              </w:rPr>
              <w:t>9,243</w:t>
            </w:r>
          </w:p>
        </w:tc>
        <w:tc>
          <w:tcPr>
            <w:tcW w:w="20" w:type="dxa"/>
            <w:vAlign w:val="bottom"/>
          </w:tcPr>
          <w:p>
            <w:pPr>
              <w:spacing w:after="0"/>
              <w:rPr>
                <w:sz w:val="16"/>
                <w:szCs w:val="16"/>
                <w:color w:val="auto"/>
              </w:rPr>
            </w:pPr>
          </w:p>
        </w:tc>
      </w:tr>
      <w:tr>
        <w:trPr>
          <w:trHeight w:val="189"/>
        </w:trPr>
        <w:tc>
          <w:tcPr>
            <w:tcW w:w="6600" w:type="dxa"/>
            <w:vAlign w:val="bottom"/>
          </w:tcPr>
          <w:p>
            <w:pPr>
              <w:ind w:left="20"/>
              <w:spacing w:after="0"/>
              <w:rPr>
                <w:sz w:val="20"/>
                <w:szCs w:val="20"/>
                <w:color w:val="auto"/>
              </w:rPr>
            </w:pPr>
            <w:r>
              <w:rPr>
                <w:rFonts w:ascii="Arial" w:cs="Arial" w:eastAsia="Arial" w:hAnsi="Arial"/>
                <w:sz w:val="12"/>
                <w:szCs w:val="12"/>
                <w:color w:val="auto"/>
              </w:rPr>
              <w:t>Prepaid expenses</w:t>
            </w:r>
          </w:p>
        </w:tc>
        <w:tc>
          <w:tcPr>
            <w:tcW w:w="2420" w:type="dxa"/>
            <w:vAlign w:val="bottom"/>
          </w:tcPr>
          <w:p>
            <w:pPr>
              <w:spacing w:after="0"/>
              <w:rPr>
                <w:sz w:val="16"/>
                <w:szCs w:val="16"/>
                <w:color w:val="auto"/>
              </w:rPr>
            </w:pPr>
          </w:p>
        </w:tc>
        <w:tc>
          <w:tcPr>
            <w:tcW w:w="1300" w:type="dxa"/>
            <w:vAlign w:val="bottom"/>
          </w:tcPr>
          <w:p>
            <w:pPr>
              <w:jc w:val="right"/>
              <w:ind w:right="362"/>
              <w:spacing w:after="0"/>
              <w:rPr>
                <w:sz w:val="20"/>
                <w:szCs w:val="20"/>
                <w:color w:val="auto"/>
              </w:rPr>
            </w:pPr>
            <w:r>
              <w:rPr>
                <w:rFonts w:ascii="Arial" w:cs="Arial" w:eastAsia="Arial" w:hAnsi="Arial"/>
                <w:sz w:val="12"/>
                <w:szCs w:val="12"/>
                <w:b w:val="1"/>
                <w:bCs w:val="1"/>
                <w:color w:val="auto"/>
              </w:rPr>
              <w:t>(394)</w:t>
            </w:r>
          </w:p>
        </w:tc>
        <w:tc>
          <w:tcPr>
            <w:tcW w:w="900" w:type="dxa"/>
            <w:vAlign w:val="bottom"/>
          </w:tcPr>
          <w:p>
            <w:pPr>
              <w:jc w:val="right"/>
              <w:ind w:right="2"/>
              <w:spacing w:after="0"/>
              <w:rPr>
                <w:sz w:val="20"/>
                <w:szCs w:val="20"/>
                <w:color w:val="auto"/>
              </w:rPr>
            </w:pPr>
            <w:r>
              <w:rPr>
                <w:rFonts w:ascii="Arial" w:cs="Arial" w:eastAsia="Arial" w:hAnsi="Arial"/>
                <w:sz w:val="12"/>
                <w:szCs w:val="12"/>
                <w:color w:val="183964"/>
              </w:rPr>
              <w:t>1,484</w:t>
            </w:r>
          </w:p>
        </w:tc>
        <w:tc>
          <w:tcPr>
            <w:tcW w:w="20" w:type="dxa"/>
            <w:vAlign w:val="bottom"/>
          </w:tcPr>
          <w:p>
            <w:pPr>
              <w:spacing w:after="0"/>
              <w:rPr>
                <w:sz w:val="16"/>
                <w:szCs w:val="16"/>
                <w:color w:val="auto"/>
              </w:rPr>
            </w:pPr>
          </w:p>
        </w:tc>
      </w:tr>
      <w:tr>
        <w:trPr>
          <w:trHeight w:val="189"/>
        </w:trPr>
        <w:tc>
          <w:tcPr>
            <w:tcW w:w="6600" w:type="dxa"/>
            <w:vAlign w:val="bottom"/>
          </w:tcPr>
          <w:p>
            <w:pPr>
              <w:ind w:left="20"/>
              <w:spacing w:after="0"/>
              <w:rPr>
                <w:sz w:val="20"/>
                <w:szCs w:val="20"/>
                <w:color w:val="auto"/>
              </w:rPr>
            </w:pPr>
            <w:r>
              <w:rPr>
                <w:rFonts w:ascii="Arial" w:cs="Arial" w:eastAsia="Arial" w:hAnsi="Arial"/>
                <w:sz w:val="12"/>
                <w:szCs w:val="12"/>
                <w:color w:val="auto"/>
              </w:rPr>
              <w:t>Deferred revenue</w:t>
            </w:r>
          </w:p>
        </w:tc>
        <w:tc>
          <w:tcPr>
            <w:tcW w:w="2420" w:type="dxa"/>
            <w:vAlign w:val="bottom"/>
          </w:tcPr>
          <w:p>
            <w:pPr>
              <w:spacing w:after="0"/>
              <w:rPr>
                <w:sz w:val="16"/>
                <w:szCs w:val="16"/>
                <w:color w:val="auto"/>
              </w:rPr>
            </w:pPr>
          </w:p>
        </w:tc>
        <w:tc>
          <w:tcPr>
            <w:tcW w:w="1300" w:type="dxa"/>
            <w:vAlign w:val="bottom"/>
          </w:tcPr>
          <w:p>
            <w:pPr>
              <w:jc w:val="right"/>
              <w:ind w:right="382"/>
              <w:spacing w:after="0"/>
              <w:rPr>
                <w:sz w:val="20"/>
                <w:szCs w:val="20"/>
                <w:color w:val="auto"/>
              </w:rPr>
            </w:pPr>
            <w:r>
              <w:rPr>
                <w:rFonts w:ascii="Arial" w:cs="Arial" w:eastAsia="Arial" w:hAnsi="Arial"/>
                <w:sz w:val="12"/>
                <w:szCs w:val="12"/>
                <w:b w:val="1"/>
                <w:bCs w:val="1"/>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183964"/>
              </w:rPr>
              <w:t>(283)</w:t>
            </w:r>
          </w:p>
        </w:tc>
        <w:tc>
          <w:tcPr>
            <w:tcW w:w="20" w:type="dxa"/>
            <w:vAlign w:val="bottom"/>
          </w:tcPr>
          <w:p>
            <w:pPr>
              <w:spacing w:after="0"/>
              <w:rPr>
                <w:sz w:val="16"/>
                <w:szCs w:val="16"/>
                <w:color w:val="auto"/>
              </w:rPr>
            </w:pPr>
          </w:p>
        </w:tc>
      </w:tr>
      <w:tr>
        <w:trPr>
          <w:trHeight w:val="189"/>
        </w:trPr>
        <w:tc>
          <w:tcPr>
            <w:tcW w:w="6600" w:type="dxa"/>
            <w:vAlign w:val="bottom"/>
          </w:tcPr>
          <w:p>
            <w:pPr>
              <w:ind w:left="20"/>
              <w:spacing w:after="0"/>
              <w:rPr>
                <w:sz w:val="20"/>
                <w:szCs w:val="20"/>
                <w:color w:val="auto"/>
              </w:rPr>
            </w:pPr>
            <w:r>
              <w:rPr>
                <w:rFonts w:ascii="Arial" w:cs="Arial" w:eastAsia="Arial" w:hAnsi="Arial"/>
                <w:sz w:val="12"/>
                <w:szCs w:val="12"/>
                <w:color w:val="auto"/>
              </w:rPr>
              <w:t>Trade and other payables</w:t>
            </w:r>
          </w:p>
        </w:tc>
        <w:tc>
          <w:tcPr>
            <w:tcW w:w="2420" w:type="dxa"/>
            <w:vAlign w:val="bottom"/>
          </w:tcPr>
          <w:p>
            <w:pPr>
              <w:jc w:val="right"/>
              <w:ind w:right="342"/>
              <w:spacing w:after="0"/>
              <w:rPr>
                <w:sz w:val="20"/>
                <w:szCs w:val="20"/>
                <w:color w:val="auto"/>
              </w:rPr>
            </w:pPr>
            <w:r>
              <w:rPr>
                <w:rFonts w:ascii="Arial" w:cs="Arial" w:eastAsia="Arial" w:hAnsi="Arial"/>
                <w:sz w:val="12"/>
                <w:szCs w:val="12"/>
                <w:color w:val="183964"/>
              </w:rPr>
              <w:t>15</w:t>
            </w:r>
          </w:p>
        </w:tc>
        <w:tc>
          <w:tcPr>
            <w:tcW w:w="1300" w:type="dxa"/>
            <w:vAlign w:val="bottom"/>
          </w:tcPr>
          <w:p>
            <w:pPr>
              <w:jc w:val="right"/>
              <w:ind w:right="362"/>
              <w:spacing w:after="0"/>
              <w:rPr>
                <w:sz w:val="20"/>
                <w:szCs w:val="20"/>
                <w:color w:val="auto"/>
              </w:rPr>
            </w:pPr>
            <w:r>
              <w:rPr>
                <w:rFonts w:ascii="Arial" w:cs="Arial" w:eastAsia="Arial" w:hAnsi="Arial"/>
                <w:sz w:val="12"/>
                <w:szCs w:val="12"/>
                <w:b w:val="1"/>
                <w:bCs w:val="1"/>
                <w:color w:val="auto"/>
              </w:rPr>
              <w:t>(16,883)</w:t>
            </w:r>
          </w:p>
        </w:tc>
        <w:tc>
          <w:tcPr>
            <w:tcW w:w="900" w:type="dxa"/>
            <w:vAlign w:val="bottom"/>
          </w:tcPr>
          <w:p>
            <w:pPr>
              <w:jc w:val="right"/>
              <w:spacing w:after="0"/>
              <w:rPr>
                <w:sz w:val="20"/>
                <w:szCs w:val="20"/>
                <w:color w:val="auto"/>
              </w:rPr>
            </w:pPr>
            <w:r>
              <w:rPr>
                <w:rFonts w:ascii="Arial" w:cs="Arial" w:eastAsia="Arial" w:hAnsi="Arial"/>
                <w:sz w:val="12"/>
                <w:szCs w:val="12"/>
                <w:color w:val="183964"/>
              </w:rPr>
              <w:t>(9,318)</w:t>
            </w:r>
          </w:p>
        </w:tc>
        <w:tc>
          <w:tcPr>
            <w:tcW w:w="20" w:type="dxa"/>
            <w:vAlign w:val="bottom"/>
          </w:tcPr>
          <w:p>
            <w:pPr>
              <w:spacing w:after="0"/>
              <w:rPr>
                <w:sz w:val="16"/>
                <w:szCs w:val="16"/>
                <w:color w:val="auto"/>
              </w:rPr>
            </w:pPr>
          </w:p>
        </w:tc>
      </w:tr>
      <w:tr>
        <w:trPr>
          <w:trHeight w:val="189"/>
        </w:trPr>
        <w:tc>
          <w:tcPr>
            <w:tcW w:w="6600" w:type="dxa"/>
            <w:vAlign w:val="bottom"/>
          </w:tcPr>
          <w:p>
            <w:pPr>
              <w:ind w:left="20"/>
              <w:spacing w:after="0"/>
              <w:rPr>
                <w:sz w:val="20"/>
                <w:szCs w:val="20"/>
                <w:color w:val="auto"/>
              </w:rPr>
            </w:pPr>
            <w:r>
              <w:rPr>
                <w:rFonts w:ascii="Arial" w:cs="Arial" w:eastAsia="Arial" w:hAnsi="Arial"/>
                <w:sz w:val="12"/>
                <w:szCs w:val="12"/>
                <w:color w:val="auto"/>
              </w:rPr>
              <w:t>Other</w:t>
            </w:r>
          </w:p>
        </w:tc>
        <w:tc>
          <w:tcPr>
            <w:tcW w:w="2420" w:type="dxa"/>
            <w:vAlign w:val="bottom"/>
          </w:tcPr>
          <w:p>
            <w:pPr>
              <w:spacing w:after="0"/>
              <w:rPr>
                <w:sz w:val="16"/>
                <w:szCs w:val="16"/>
                <w:color w:val="auto"/>
              </w:rPr>
            </w:pPr>
          </w:p>
        </w:tc>
        <w:tc>
          <w:tcPr>
            <w:tcW w:w="1300" w:type="dxa"/>
            <w:vAlign w:val="bottom"/>
          </w:tcPr>
          <w:p>
            <w:pPr>
              <w:jc w:val="right"/>
              <w:ind w:right="382"/>
              <w:spacing w:after="0"/>
              <w:rPr>
                <w:sz w:val="20"/>
                <w:szCs w:val="20"/>
                <w:color w:val="auto"/>
              </w:rPr>
            </w:pPr>
            <w:r>
              <w:rPr>
                <w:rFonts w:ascii="Arial" w:cs="Arial" w:eastAsia="Arial" w:hAnsi="Arial"/>
                <w:sz w:val="12"/>
                <w:szCs w:val="12"/>
                <w:b w:val="1"/>
                <w:bCs w:val="1"/>
                <w:color w:val="auto"/>
              </w:rPr>
              <w:t>—</w:t>
            </w:r>
          </w:p>
        </w:tc>
        <w:tc>
          <w:tcPr>
            <w:tcW w:w="900" w:type="dxa"/>
            <w:vAlign w:val="bottom"/>
          </w:tcPr>
          <w:p>
            <w:pPr>
              <w:jc w:val="right"/>
              <w:ind w:right="2"/>
              <w:spacing w:after="0"/>
              <w:rPr>
                <w:sz w:val="20"/>
                <w:szCs w:val="20"/>
                <w:color w:val="auto"/>
              </w:rPr>
            </w:pPr>
            <w:r>
              <w:rPr>
                <w:rFonts w:ascii="Arial" w:cs="Arial" w:eastAsia="Arial" w:hAnsi="Arial"/>
                <w:sz w:val="12"/>
                <w:szCs w:val="12"/>
                <w:color w:val="183964"/>
              </w:rPr>
              <w:t>964</w:t>
            </w:r>
          </w:p>
        </w:tc>
        <w:tc>
          <w:tcPr>
            <w:tcW w:w="20" w:type="dxa"/>
            <w:vAlign w:val="bottom"/>
          </w:tcPr>
          <w:p>
            <w:pPr>
              <w:spacing w:after="0"/>
              <w:rPr>
                <w:sz w:val="16"/>
                <w:szCs w:val="16"/>
                <w:color w:val="auto"/>
              </w:rPr>
            </w:pPr>
          </w:p>
        </w:tc>
      </w:tr>
      <w:tr>
        <w:trPr>
          <w:trHeight w:val="189"/>
        </w:trPr>
        <w:tc>
          <w:tcPr>
            <w:tcW w:w="6600" w:type="dxa"/>
            <w:vAlign w:val="bottom"/>
          </w:tcPr>
          <w:p>
            <w:pPr>
              <w:ind w:left="20"/>
              <w:spacing w:after="0"/>
              <w:rPr>
                <w:sz w:val="20"/>
                <w:szCs w:val="20"/>
                <w:color w:val="auto"/>
              </w:rPr>
            </w:pPr>
            <w:r>
              <w:rPr>
                <w:rFonts w:ascii="Arial" w:cs="Arial" w:eastAsia="Arial" w:hAnsi="Arial"/>
                <w:sz w:val="12"/>
                <w:szCs w:val="12"/>
                <w:color w:val="auto"/>
              </w:rPr>
              <w:t>Income taxes paid</w:t>
            </w:r>
          </w:p>
        </w:tc>
        <w:tc>
          <w:tcPr>
            <w:tcW w:w="2420" w:type="dxa"/>
            <w:vAlign w:val="bottom"/>
          </w:tcPr>
          <w:p>
            <w:pPr>
              <w:spacing w:after="0"/>
              <w:rPr>
                <w:sz w:val="16"/>
                <w:szCs w:val="16"/>
                <w:color w:val="auto"/>
              </w:rPr>
            </w:pPr>
          </w:p>
        </w:tc>
        <w:tc>
          <w:tcPr>
            <w:tcW w:w="1300" w:type="dxa"/>
            <w:vAlign w:val="bottom"/>
          </w:tcPr>
          <w:p>
            <w:pPr>
              <w:jc w:val="right"/>
              <w:ind w:right="362"/>
              <w:spacing w:after="0"/>
              <w:rPr>
                <w:sz w:val="20"/>
                <w:szCs w:val="20"/>
                <w:color w:val="auto"/>
              </w:rPr>
            </w:pPr>
            <w:r>
              <w:rPr>
                <w:rFonts w:ascii="Arial" w:cs="Arial" w:eastAsia="Arial" w:hAnsi="Arial"/>
                <w:sz w:val="12"/>
                <w:szCs w:val="12"/>
                <w:b w:val="1"/>
                <w:bCs w:val="1"/>
                <w:color w:val="auto"/>
              </w:rPr>
              <w:t>(15,213)</w:t>
            </w:r>
          </w:p>
        </w:tc>
        <w:tc>
          <w:tcPr>
            <w:tcW w:w="900" w:type="dxa"/>
            <w:vAlign w:val="bottom"/>
          </w:tcPr>
          <w:p>
            <w:pPr>
              <w:jc w:val="right"/>
              <w:spacing w:after="0"/>
              <w:rPr>
                <w:sz w:val="20"/>
                <w:szCs w:val="20"/>
                <w:color w:val="auto"/>
              </w:rPr>
            </w:pPr>
            <w:r>
              <w:rPr>
                <w:rFonts w:ascii="Arial" w:cs="Arial" w:eastAsia="Arial" w:hAnsi="Arial"/>
                <w:sz w:val="12"/>
                <w:szCs w:val="12"/>
                <w:color w:val="183964"/>
              </w:rPr>
              <w:t>(150)</w:t>
            </w:r>
          </w:p>
        </w:tc>
        <w:tc>
          <w:tcPr>
            <w:tcW w:w="20" w:type="dxa"/>
            <w:vAlign w:val="bottom"/>
          </w:tcPr>
          <w:p>
            <w:pPr>
              <w:spacing w:after="0"/>
              <w:rPr>
                <w:sz w:val="16"/>
                <w:szCs w:val="16"/>
                <w:color w:val="auto"/>
              </w:rPr>
            </w:pPr>
          </w:p>
        </w:tc>
      </w:tr>
      <w:tr>
        <w:trPr>
          <w:trHeight w:val="189"/>
        </w:trPr>
        <w:tc>
          <w:tcPr>
            <w:tcW w:w="6600" w:type="dxa"/>
            <w:vAlign w:val="bottom"/>
          </w:tcPr>
          <w:p>
            <w:pPr>
              <w:ind w:left="20"/>
              <w:spacing w:after="0"/>
              <w:rPr>
                <w:sz w:val="20"/>
                <w:szCs w:val="20"/>
                <w:color w:val="auto"/>
              </w:rPr>
            </w:pPr>
            <w:r>
              <w:rPr>
                <w:rFonts w:ascii="Arial" w:cs="Arial" w:eastAsia="Arial" w:hAnsi="Arial"/>
                <w:sz w:val="12"/>
                <w:szCs w:val="12"/>
                <w:color w:val="auto"/>
              </w:rPr>
              <w:t>Interest received</w:t>
            </w:r>
          </w:p>
        </w:tc>
        <w:tc>
          <w:tcPr>
            <w:tcW w:w="2420" w:type="dxa"/>
            <w:vAlign w:val="bottom"/>
          </w:tcPr>
          <w:p>
            <w:pPr>
              <w:spacing w:after="0"/>
              <w:rPr>
                <w:sz w:val="16"/>
                <w:szCs w:val="16"/>
                <w:color w:val="auto"/>
              </w:rPr>
            </w:pPr>
          </w:p>
        </w:tc>
        <w:tc>
          <w:tcPr>
            <w:tcW w:w="1300" w:type="dxa"/>
            <w:vAlign w:val="bottom"/>
          </w:tcPr>
          <w:p>
            <w:pPr>
              <w:jc w:val="right"/>
              <w:ind w:right="382"/>
              <w:spacing w:after="0"/>
              <w:rPr>
                <w:sz w:val="20"/>
                <w:szCs w:val="20"/>
                <w:color w:val="auto"/>
              </w:rPr>
            </w:pPr>
            <w:r>
              <w:rPr>
                <w:rFonts w:ascii="Arial" w:cs="Arial" w:eastAsia="Arial" w:hAnsi="Arial"/>
                <w:sz w:val="12"/>
                <w:szCs w:val="12"/>
                <w:b w:val="1"/>
                <w:bCs w:val="1"/>
                <w:color w:val="auto"/>
              </w:rPr>
              <w:t>12,196</w:t>
            </w:r>
          </w:p>
        </w:tc>
        <w:tc>
          <w:tcPr>
            <w:tcW w:w="900" w:type="dxa"/>
            <w:vAlign w:val="bottom"/>
          </w:tcPr>
          <w:p>
            <w:pPr>
              <w:jc w:val="right"/>
              <w:ind w:right="2"/>
              <w:spacing w:after="0"/>
              <w:rPr>
                <w:sz w:val="20"/>
                <w:szCs w:val="20"/>
                <w:color w:val="auto"/>
              </w:rPr>
            </w:pPr>
            <w:r>
              <w:rPr>
                <w:rFonts w:ascii="Arial" w:cs="Arial" w:eastAsia="Arial" w:hAnsi="Arial"/>
                <w:sz w:val="12"/>
                <w:szCs w:val="12"/>
                <w:color w:val="183964"/>
              </w:rPr>
              <w:t>5,444</w:t>
            </w:r>
          </w:p>
        </w:tc>
        <w:tc>
          <w:tcPr>
            <w:tcW w:w="20" w:type="dxa"/>
            <w:vAlign w:val="bottom"/>
          </w:tcPr>
          <w:p>
            <w:pPr>
              <w:spacing w:after="0"/>
              <w:rPr>
                <w:sz w:val="16"/>
                <w:szCs w:val="16"/>
                <w:color w:val="auto"/>
              </w:rPr>
            </w:pPr>
          </w:p>
        </w:tc>
      </w:tr>
      <w:tr>
        <w:trPr>
          <w:trHeight w:val="195"/>
        </w:trPr>
        <w:tc>
          <w:tcPr>
            <w:tcW w:w="6600" w:type="dxa"/>
            <w:vAlign w:val="bottom"/>
            <w:tcBorders>
              <w:bottom w:val="single" w:sz="8" w:color="6D6D6D"/>
            </w:tcBorders>
          </w:tcPr>
          <w:p>
            <w:pPr>
              <w:ind w:left="20"/>
              <w:spacing w:after="0"/>
              <w:rPr>
                <w:sz w:val="20"/>
                <w:szCs w:val="20"/>
                <w:color w:val="auto"/>
              </w:rPr>
            </w:pPr>
            <w:r>
              <w:rPr>
                <w:rFonts w:ascii="Arial" w:cs="Arial" w:eastAsia="Arial" w:hAnsi="Arial"/>
                <w:sz w:val="12"/>
                <w:szCs w:val="12"/>
                <w:color w:val="auto"/>
              </w:rPr>
              <w:t>Interest paid</w:t>
            </w:r>
          </w:p>
        </w:tc>
        <w:tc>
          <w:tcPr>
            <w:tcW w:w="2420" w:type="dxa"/>
            <w:vAlign w:val="bottom"/>
            <w:tcBorders>
              <w:bottom w:val="single" w:sz="8" w:color="6D6D6D"/>
            </w:tcBorders>
          </w:tcPr>
          <w:p>
            <w:pPr>
              <w:spacing w:after="0"/>
              <w:rPr>
                <w:sz w:val="16"/>
                <w:szCs w:val="16"/>
                <w:color w:val="auto"/>
              </w:rPr>
            </w:pPr>
          </w:p>
        </w:tc>
        <w:tc>
          <w:tcPr>
            <w:tcW w:w="1300" w:type="dxa"/>
            <w:vAlign w:val="bottom"/>
            <w:tcBorders>
              <w:bottom w:val="single" w:sz="8" w:color="6D6D6D"/>
            </w:tcBorders>
          </w:tcPr>
          <w:p>
            <w:pPr>
              <w:jc w:val="right"/>
              <w:ind w:right="362"/>
              <w:spacing w:after="0"/>
              <w:rPr>
                <w:sz w:val="20"/>
                <w:szCs w:val="20"/>
                <w:color w:val="auto"/>
              </w:rPr>
            </w:pPr>
            <w:r>
              <w:rPr>
                <w:rFonts w:ascii="Arial" w:cs="Arial" w:eastAsia="Arial" w:hAnsi="Arial"/>
                <w:sz w:val="12"/>
                <w:szCs w:val="12"/>
                <w:b w:val="1"/>
                <w:bCs w:val="1"/>
                <w:color w:val="auto"/>
              </w:rPr>
              <w:t>(675)</w:t>
            </w:r>
          </w:p>
        </w:tc>
        <w:tc>
          <w:tcPr>
            <w:tcW w:w="900" w:type="dxa"/>
            <w:vAlign w:val="bottom"/>
            <w:tcBorders>
              <w:bottom w:val="single" w:sz="8" w:color="6D6D6D"/>
            </w:tcBorders>
          </w:tcPr>
          <w:p>
            <w:pPr>
              <w:jc w:val="right"/>
              <w:spacing w:after="0"/>
              <w:rPr>
                <w:sz w:val="20"/>
                <w:szCs w:val="20"/>
                <w:color w:val="auto"/>
              </w:rPr>
            </w:pPr>
            <w:r>
              <w:rPr>
                <w:rFonts w:ascii="Arial" w:cs="Arial" w:eastAsia="Arial" w:hAnsi="Arial"/>
                <w:sz w:val="12"/>
                <w:szCs w:val="12"/>
                <w:color w:val="183964"/>
              </w:rPr>
              <w:t>(1,127)</w:t>
            </w:r>
          </w:p>
        </w:tc>
        <w:tc>
          <w:tcPr>
            <w:tcW w:w="20" w:type="dxa"/>
            <w:vAlign w:val="bottom"/>
          </w:tcPr>
          <w:p>
            <w:pPr>
              <w:spacing w:after="0"/>
              <w:rPr>
                <w:sz w:val="16"/>
                <w:szCs w:val="16"/>
                <w:color w:val="auto"/>
              </w:rPr>
            </w:pPr>
          </w:p>
        </w:tc>
      </w:tr>
      <w:tr>
        <w:trPr>
          <w:trHeight w:val="182"/>
        </w:trPr>
        <w:tc>
          <w:tcPr>
            <w:tcW w:w="6600" w:type="dxa"/>
            <w:vAlign w:val="bottom"/>
            <w:tcBorders>
              <w:bottom w:val="single" w:sz="8" w:color="001544"/>
            </w:tcBorders>
          </w:tcPr>
          <w:p>
            <w:pPr>
              <w:ind w:left="20"/>
              <w:spacing w:after="0"/>
              <w:rPr>
                <w:sz w:val="20"/>
                <w:szCs w:val="20"/>
                <w:color w:val="auto"/>
              </w:rPr>
            </w:pPr>
            <w:r>
              <w:rPr>
                <w:rFonts w:ascii="Arial" w:cs="Arial" w:eastAsia="Arial" w:hAnsi="Arial"/>
                <w:sz w:val="12"/>
                <w:szCs w:val="12"/>
                <w:b w:val="1"/>
                <w:bCs w:val="1"/>
                <w:color w:val="auto"/>
              </w:rPr>
              <w:t>Net cash used in operating activities</w:t>
            </w:r>
          </w:p>
        </w:tc>
        <w:tc>
          <w:tcPr>
            <w:tcW w:w="2420" w:type="dxa"/>
            <w:vAlign w:val="bottom"/>
            <w:tcBorders>
              <w:bottom w:val="single" w:sz="8" w:color="001544"/>
            </w:tcBorders>
          </w:tcPr>
          <w:p>
            <w:pPr>
              <w:spacing w:after="0"/>
              <w:rPr>
                <w:sz w:val="15"/>
                <w:szCs w:val="15"/>
                <w:color w:val="auto"/>
              </w:rPr>
            </w:pPr>
          </w:p>
        </w:tc>
        <w:tc>
          <w:tcPr>
            <w:tcW w:w="1300" w:type="dxa"/>
            <w:vAlign w:val="bottom"/>
            <w:tcBorders>
              <w:bottom w:val="single" w:sz="8" w:color="001544"/>
            </w:tcBorders>
          </w:tcPr>
          <w:p>
            <w:pPr>
              <w:jc w:val="right"/>
              <w:ind w:right="362"/>
              <w:spacing w:after="0"/>
              <w:rPr>
                <w:sz w:val="20"/>
                <w:szCs w:val="20"/>
                <w:color w:val="auto"/>
              </w:rPr>
            </w:pPr>
            <w:r>
              <w:rPr>
                <w:rFonts w:ascii="Arial" w:cs="Arial" w:eastAsia="Arial" w:hAnsi="Arial"/>
                <w:sz w:val="12"/>
                <w:szCs w:val="12"/>
                <w:b w:val="1"/>
                <w:bCs w:val="1"/>
                <w:color w:val="auto"/>
              </w:rPr>
              <w:t>(80,014)</w:t>
            </w:r>
          </w:p>
        </w:tc>
        <w:tc>
          <w:tcPr>
            <w:tcW w:w="900" w:type="dxa"/>
            <w:vAlign w:val="bottom"/>
            <w:tcBorders>
              <w:bottom w:val="single" w:sz="8" w:color="001544"/>
            </w:tcBorders>
          </w:tcPr>
          <w:p>
            <w:pPr>
              <w:jc w:val="right"/>
              <w:spacing w:after="0"/>
              <w:rPr>
                <w:sz w:val="20"/>
                <w:szCs w:val="20"/>
                <w:color w:val="auto"/>
              </w:rPr>
            </w:pPr>
            <w:r>
              <w:rPr>
                <w:rFonts w:ascii="Arial" w:cs="Arial" w:eastAsia="Arial" w:hAnsi="Arial"/>
                <w:sz w:val="12"/>
                <w:szCs w:val="12"/>
                <w:color w:val="183964"/>
              </w:rPr>
              <w:t>(65,133)</w:t>
            </w:r>
          </w:p>
        </w:tc>
        <w:tc>
          <w:tcPr>
            <w:tcW w:w="20" w:type="dxa"/>
            <w:vAlign w:val="bottom"/>
          </w:tcPr>
          <w:p>
            <w:pPr>
              <w:spacing w:after="0"/>
              <w:rPr>
                <w:sz w:val="15"/>
                <w:szCs w:val="15"/>
                <w:color w:val="auto"/>
              </w:rPr>
            </w:pPr>
          </w:p>
        </w:tc>
      </w:tr>
      <w:tr>
        <w:trPr>
          <w:trHeight w:val="170"/>
        </w:trPr>
        <w:tc>
          <w:tcPr>
            <w:tcW w:w="6600" w:type="dxa"/>
            <w:vAlign w:val="bottom"/>
          </w:tcPr>
          <w:p>
            <w:pPr>
              <w:ind w:left="20"/>
              <w:spacing w:after="0"/>
              <w:rPr>
                <w:sz w:val="20"/>
                <w:szCs w:val="20"/>
                <w:color w:val="auto"/>
              </w:rPr>
            </w:pPr>
            <w:r>
              <w:rPr>
                <w:rFonts w:ascii="Arial" w:cs="Arial" w:eastAsia="Arial" w:hAnsi="Arial"/>
                <w:sz w:val="12"/>
                <w:szCs w:val="12"/>
                <w:color w:val="auto"/>
              </w:rPr>
              <w:t>Cash flows from investing activities:</w:t>
            </w:r>
          </w:p>
        </w:tc>
        <w:tc>
          <w:tcPr>
            <w:tcW w:w="2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5"/>
        </w:trPr>
        <w:tc>
          <w:tcPr>
            <w:tcW w:w="6600" w:type="dxa"/>
            <w:vAlign w:val="bottom"/>
          </w:tcPr>
          <w:p>
            <w:pPr>
              <w:ind w:left="20"/>
              <w:spacing w:after="0"/>
              <w:rPr>
                <w:sz w:val="20"/>
                <w:szCs w:val="20"/>
                <w:color w:val="auto"/>
              </w:rPr>
            </w:pPr>
            <w:r>
              <w:rPr>
                <w:rFonts w:ascii="Arial" w:cs="Arial" w:eastAsia="Arial" w:hAnsi="Arial"/>
                <w:sz w:val="12"/>
                <w:szCs w:val="12"/>
                <w:color w:val="auto"/>
              </w:rPr>
              <w:t>Purchase of property and equipment</w:t>
            </w:r>
          </w:p>
        </w:tc>
        <w:tc>
          <w:tcPr>
            <w:tcW w:w="2420" w:type="dxa"/>
            <w:vAlign w:val="bottom"/>
          </w:tcPr>
          <w:p>
            <w:pPr>
              <w:spacing w:after="0"/>
              <w:rPr>
                <w:sz w:val="16"/>
                <w:szCs w:val="16"/>
                <w:color w:val="auto"/>
              </w:rPr>
            </w:pPr>
          </w:p>
        </w:tc>
        <w:tc>
          <w:tcPr>
            <w:tcW w:w="1300" w:type="dxa"/>
            <w:vAlign w:val="bottom"/>
          </w:tcPr>
          <w:p>
            <w:pPr>
              <w:jc w:val="right"/>
              <w:ind w:right="382"/>
              <w:spacing w:after="0"/>
              <w:rPr>
                <w:sz w:val="20"/>
                <w:szCs w:val="20"/>
                <w:color w:val="auto"/>
              </w:rPr>
            </w:pPr>
            <w:r>
              <w:rPr>
                <w:rFonts w:ascii="Arial" w:cs="Arial" w:eastAsia="Arial" w:hAnsi="Arial"/>
                <w:sz w:val="12"/>
                <w:szCs w:val="12"/>
                <w:b w:val="1"/>
                <w:bCs w:val="1"/>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183964"/>
              </w:rPr>
              <w:t>(70)</w:t>
            </w:r>
          </w:p>
        </w:tc>
        <w:tc>
          <w:tcPr>
            <w:tcW w:w="20" w:type="dxa"/>
            <w:vAlign w:val="bottom"/>
          </w:tcPr>
          <w:p>
            <w:pPr>
              <w:spacing w:after="0"/>
              <w:rPr>
                <w:sz w:val="16"/>
                <w:szCs w:val="16"/>
                <w:color w:val="auto"/>
              </w:rPr>
            </w:pPr>
          </w:p>
        </w:tc>
      </w:tr>
      <w:tr>
        <w:trPr>
          <w:trHeight w:val="189"/>
        </w:trPr>
        <w:tc>
          <w:tcPr>
            <w:tcW w:w="6600" w:type="dxa"/>
            <w:vAlign w:val="bottom"/>
          </w:tcPr>
          <w:p>
            <w:pPr>
              <w:ind w:left="20"/>
              <w:spacing w:after="0"/>
              <w:rPr>
                <w:sz w:val="20"/>
                <w:szCs w:val="20"/>
                <w:color w:val="auto"/>
              </w:rPr>
            </w:pPr>
            <w:r>
              <w:rPr>
                <w:rFonts w:ascii="Arial" w:cs="Arial" w:eastAsia="Arial" w:hAnsi="Arial"/>
                <w:sz w:val="12"/>
                <w:szCs w:val="12"/>
                <w:color w:val="auto"/>
              </w:rPr>
              <w:t>Proceeds from sale of property and equipment</w:t>
            </w:r>
          </w:p>
        </w:tc>
        <w:tc>
          <w:tcPr>
            <w:tcW w:w="2420" w:type="dxa"/>
            <w:vAlign w:val="bottom"/>
          </w:tcPr>
          <w:p>
            <w:pPr>
              <w:spacing w:after="0"/>
              <w:rPr>
                <w:sz w:val="16"/>
                <w:szCs w:val="16"/>
                <w:color w:val="auto"/>
              </w:rPr>
            </w:pPr>
          </w:p>
        </w:tc>
        <w:tc>
          <w:tcPr>
            <w:tcW w:w="1300" w:type="dxa"/>
            <w:vAlign w:val="bottom"/>
          </w:tcPr>
          <w:p>
            <w:pPr>
              <w:jc w:val="right"/>
              <w:ind w:right="382"/>
              <w:spacing w:after="0"/>
              <w:rPr>
                <w:sz w:val="20"/>
                <w:szCs w:val="20"/>
                <w:color w:val="auto"/>
              </w:rPr>
            </w:pPr>
            <w:r>
              <w:rPr>
                <w:rFonts w:ascii="Arial" w:cs="Arial" w:eastAsia="Arial" w:hAnsi="Arial"/>
                <w:sz w:val="12"/>
                <w:szCs w:val="12"/>
                <w:b w:val="1"/>
                <w:bCs w:val="1"/>
                <w:color w:val="auto"/>
              </w:rPr>
              <w:t>188</w:t>
            </w:r>
          </w:p>
        </w:tc>
        <w:tc>
          <w:tcPr>
            <w:tcW w:w="900" w:type="dxa"/>
            <w:vAlign w:val="bottom"/>
          </w:tcPr>
          <w:p>
            <w:pPr>
              <w:jc w:val="right"/>
              <w:ind w:right="2"/>
              <w:spacing w:after="0"/>
              <w:rPr>
                <w:sz w:val="20"/>
                <w:szCs w:val="20"/>
                <w:color w:val="auto"/>
              </w:rPr>
            </w:pPr>
            <w:r>
              <w:rPr>
                <w:rFonts w:ascii="Arial" w:cs="Arial" w:eastAsia="Arial" w:hAnsi="Arial"/>
                <w:sz w:val="12"/>
                <w:szCs w:val="12"/>
                <w:color w:val="183964"/>
              </w:rPr>
              <w:t>590</w:t>
            </w:r>
          </w:p>
        </w:tc>
        <w:tc>
          <w:tcPr>
            <w:tcW w:w="20" w:type="dxa"/>
            <w:vAlign w:val="bottom"/>
          </w:tcPr>
          <w:p>
            <w:pPr>
              <w:spacing w:after="0"/>
              <w:rPr>
                <w:sz w:val="16"/>
                <w:szCs w:val="16"/>
                <w:color w:val="auto"/>
              </w:rPr>
            </w:pPr>
          </w:p>
        </w:tc>
      </w:tr>
      <w:tr>
        <w:trPr>
          <w:trHeight w:val="189"/>
        </w:trPr>
        <w:tc>
          <w:tcPr>
            <w:tcW w:w="6600" w:type="dxa"/>
            <w:vAlign w:val="bottom"/>
          </w:tcPr>
          <w:p>
            <w:pPr>
              <w:ind w:left="20"/>
              <w:spacing w:after="0"/>
              <w:rPr>
                <w:sz w:val="20"/>
                <w:szCs w:val="20"/>
                <w:color w:val="auto"/>
              </w:rPr>
            </w:pPr>
            <w:r>
              <w:rPr>
                <w:rFonts w:ascii="Arial" w:cs="Arial" w:eastAsia="Arial" w:hAnsi="Arial"/>
                <w:sz w:val="12"/>
                <w:szCs w:val="12"/>
                <w:color w:val="auto"/>
              </w:rPr>
              <w:t>Investment in convertible notes and warrants from associates</w:t>
            </w:r>
          </w:p>
        </w:tc>
        <w:tc>
          <w:tcPr>
            <w:tcW w:w="2420" w:type="dxa"/>
            <w:vAlign w:val="bottom"/>
          </w:tcPr>
          <w:p>
            <w:pPr>
              <w:jc w:val="right"/>
              <w:ind w:right="342"/>
              <w:spacing w:after="0"/>
              <w:rPr>
                <w:sz w:val="20"/>
                <w:szCs w:val="20"/>
                <w:color w:val="auto"/>
              </w:rPr>
            </w:pPr>
            <w:r>
              <w:rPr>
                <w:rFonts w:ascii="Arial" w:cs="Arial" w:eastAsia="Arial" w:hAnsi="Arial"/>
                <w:sz w:val="12"/>
                <w:szCs w:val="12"/>
                <w:color w:val="183964"/>
              </w:rPr>
              <w:t>7</w:t>
            </w:r>
          </w:p>
        </w:tc>
        <w:tc>
          <w:tcPr>
            <w:tcW w:w="1300" w:type="dxa"/>
            <w:vAlign w:val="bottom"/>
          </w:tcPr>
          <w:p>
            <w:pPr>
              <w:jc w:val="right"/>
              <w:ind w:right="382"/>
              <w:spacing w:after="0"/>
              <w:rPr>
                <w:sz w:val="20"/>
                <w:szCs w:val="20"/>
                <w:color w:val="auto"/>
              </w:rPr>
            </w:pPr>
            <w:r>
              <w:rPr>
                <w:rFonts w:ascii="Arial" w:cs="Arial" w:eastAsia="Arial" w:hAnsi="Arial"/>
                <w:sz w:val="12"/>
                <w:szCs w:val="12"/>
                <w:b w:val="1"/>
                <w:bCs w:val="1"/>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183964"/>
              </w:rPr>
              <w:t>(15,350)</w:t>
            </w:r>
          </w:p>
        </w:tc>
        <w:tc>
          <w:tcPr>
            <w:tcW w:w="20" w:type="dxa"/>
            <w:vAlign w:val="bottom"/>
          </w:tcPr>
          <w:p>
            <w:pPr>
              <w:spacing w:after="0"/>
              <w:rPr>
                <w:sz w:val="16"/>
                <w:szCs w:val="16"/>
                <w:color w:val="auto"/>
              </w:rPr>
            </w:pPr>
          </w:p>
        </w:tc>
      </w:tr>
      <w:tr>
        <w:trPr>
          <w:trHeight w:val="189"/>
        </w:trPr>
        <w:tc>
          <w:tcPr>
            <w:tcW w:w="6600" w:type="dxa"/>
            <w:vAlign w:val="bottom"/>
          </w:tcPr>
          <w:p>
            <w:pPr>
              <w:ind w:left="20"/>
              <w:spacing w:after="0"/>
              <w:rPr>
                <w:sz w:val="20"/>
                <w:szCs w:val="20"/>
                <w:color w:val="auto"/>
              </w:rPr>
            </w:pPr>
            <w:r>
              <w:rPr>
                <w:rFonts w:ascii="Arial" w:cs="Arial" w:eastAsia="Arial" w:hAnsi="Arial"/>
                <w:sz w:val="12"/>
                <w:szCs w:val="12"/>
                <w:color w:val="auto"/>
              </w:rPr>
              <w:t>Sale of investments held at fair value</w:t>
            </w:r>
          </w:p>
        </w:tc>
        <w:tc>
          <w:tcPr>
            <w:tcW w:w="2420" w:type="dxa"/>
            <w:vAlign w:val="bottom"/>
          </w:tcPr>
          <w:p>
            <w:pPr>
              <w:jc w:val="right"/>
              <w:ind w:right="342"/>
              <w:spacing w:after="0"/>
              <w:rPr>
                <w:sz w:val="20"/>
                <w:szCs w:val="20"/>
                <w:color w:val="auto"/>
              </w:rPr>
            </w:pPr>
            <w:r>
              <w:rPr>
                <w:rFonts w:ascii="Arial" w:cs="Arial" w:eastAsia="Arial" w:hAnsi="Arial"/>
                <w:sz w:val="12"/>
                <w:szCs w:val="12"/>
                <w:color w:val="183964"/>
              </w:rPr>
              <w:t>4</w:t>
            </w:r>
          </w:p>
        </w:tc>
        <w:tc>
          <w:tcPr>
            <w:tcW w:w="1300" w:type="dxa"/>
            <w:vAlign w:val="bottom"/>
          </w:tcPr>
          <w:p>
            <w:pPr>
              <w:jc w:val="right"/>
              <w:ind w:right="382"/>
              <w:spacing w:after="0"/>
              <w:rPr>
                <w:sz w:val="20"/>
                <w:szCs w:val="20"/>
                <w:color w:val="auto"/>
              </w:rPr>
            </w:pPr>
            <w:r>
              <w:rPr>
                <w:rFonts w:ascii="Arial" w:cs="Arial" w:eastAsia="Arial" w:hAnsi="Arial"/>
                <w:sz w:val="12"/>
                <w:szCs w:val="12"/>
                <w:b w:val="1"/>
                <w:bCs w:val="1"/>
                <w:color w:val="auto"/>
              </w:rPr>
              <w:t>292,672</w:t>
            </w: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183964"/>
              </w:rPr>
              <w:t>—</w:t>
            </w:r>
          </w:p>
        </w:tc>
      </w:tr>
      <w:tr>
        <w:trPr>
          <w:trHeight w:val="189"/>
        </w:trPr>
        <w:tc>
          <w:tcPr>
            <w:tcW w:w="6600" w:type="dxa"/>
            <w:vAlign w:val="bottom"/>
          </w:tcPr>
          <w:p>
            <w:pPr>
              <w:ind w:left="20"/>
              <w:spacing w:after="0"/>
              <w:rPr>
                <w:sz w:val="20"/>
                <w:szCs w:val="20"/>
                <w:color w:val="auto"/>
              </w:rPr>
            </w:pPr>
            <w:r>
              <w:rPr>
                <w:rFonts w:ascii="Arial" w:cs="Arial" w:eastAsia="Arial" w:hAnsi="Arial"/>
                <w:sz w:val="12"/>
                <w:szCs w:val="12"/>
                <w:color w:val="auto"/>
              </w:rPr>
              <w:t>Short-term loan to associate</w:t>
            </w:r>
          </w:p>
        </w:tc>
        <w:tc>
          <w:tcPr>
            <w:tcW w:w="2420" w:type="dxa"/>
            <w:vAlign w:val="bottom"/>
          </w:tcPr>
          <w:p>
            <w:pPr>
              <w:spacing w:after="0"/>
              <w:rPr>
                <w:sz w:val="16"/>
                <w:szCs w:val="16"/>
                <w:color w:val="auto"/>
              </w:rPr>
            </w:pPr>
          </w:p>
        </w:tc>
        <w:tc>
          <w:tcPr>
            <w:tcW w:w="1300" w:type="dxa"/>
            <w:vAlign w:val="bottom"/>
          </w:tcPr>
          <w:p>
            <w:pPr>
              <w:jc w:val="right"/>
              <w:ind w:right="382"/>
              <w:spacing w:after="0"/>
              <w:rPr>
                <w:sz w:val="20"/>
                <w:szCs w:val="20"/>
                <w:color w:val="auto"/>
              </w:rPr>
            </w:pPr>
            <w:r>
              <w:rPr>
                <w:rFonts w:ascii="Arial" w:cs="Arial" w:eastAsia="Arial" w:hAnsi="Arial"/>
                <w:sz w:val="12"/>
                <w:szCs w:val="12"/>
                <w:b w:val="1"/>
                <w:bCs w:val="1"/>
                <w:color w:val="auto"/>
              </w:rPr>
              <w:t>660</w:t>
            </w: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183964"/>
              </w:rPr>
              <w:t>—</w:t>
            </w:r>
          </w:p>
        </w:tc>
      </w:tr>
      <w:tr>
        <w:trPr>
          <w:trHeight w:val="189"/>
        </w:trPr>
        <w:tc>
          <w:tcPr>
            <w:tcW w:w="6600" w:type="dxa"/>
            <w:vAlign w:val="bottom"/>
          </w:tcPr>
          <w:p>
            <w:pPr>
              <w:ind w:left="20"/>
              <w:spacing w:after="0"/>
              <w:rPr>
                <w:sz w:val="20"/>
                <w:szCs w:val="20"/>
                <w:color w:val="auto"/>
              </w:rPr>
            </w:pPr>
            <w:r>
              <w:rPr>
                <w:rFonts w:ascii="Arial" w:cs="Arial" w:eastAsia="Arial" w:hAnsi="Arial"/>
                <w:sz w:val="12"/>
                <w:szCs w:val="12"/>
                <w:color w:val="auto"/>
              </w:rPr>
              <w:t>Repayment of short-term loan from associate</w:t>
            </w:r>
          </w:p>
        </w:tc>
        <w:tc>
          <w:tcPr>
            <w:tcW w:w="2420" w:type="dxa"/>
            <w:vAlign w:val="bottom"/>
          </w:tcPr>
          <w:p>
            <w:pPr>
              <w:spacing w:after="0"/>
              <w:rPr>
                <w:sz w:val="16"/>
                <w:szCs w:val="16"/>
                <w:color w:val="auto"/>
              </w:rPr>
            </w:pPr>
          </w:p>
        </w:tc>
        <w:tc>
          <w:tcPr>
            <w:tcW w:w="1300" w:type="dxa"/>
            <w:vAlign w:val="bottom"/>
          </w:tcPr>
          <w:p>
            <w:pPr>
              <w:jc w:val="right"/>
              <w:ind w:right="362"/>
              <w:spacing w:after="0"/>
              <w:rPr>
                <w:sz w:val="20"/>
                <w:szCs w:val="20"/>
                <w:color w:val="auto"/>
              </w:rPr>
            </w:pPr>
            <w:r>
              <w:rPr>
                <w:rFonts w:ascii="Arial" w:cs="Arial" w:eastAsia="Arial" w:hAnsi="Arial"/>
                <w:sz w:val="12"/>
                <w:szCs w:val="12"/>
                <w:b w:val="1"/>
                <w:bCs w:val="1"/>
                <w:color w:val="auto"/>
              </w:rPr>
              <w:t>(660)</w:t>
            </w: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183964"/>
              </w:rPr>
              <w:t>—</w:t>
            </w:r>
          </w:p>
        </w:tc>
      </w:tr>
      <w:tr>
        <w:trPr>
          <w:trHeight w:val="189"/>
        </w:trPr>
        <w:tc>
          <w:tcPr>
            <w:tcW w:w="6600" w:type="dxa"/>
            <w:vAlign w:val="bottom"/>
          </w:tcPr>
          <w:p>
            <w:pPr>
              <w:ind w:left="20"/>
              <w:spacing w:after="0"/>
              <w:rPr>
                <w:sz w:val="20"/>
                <w:szCs w:val="20"/>
                <w:color w:val="auto"/>
              </w:rPr>
            </w:pPr>
            <w:r>
              <w:rPr>
                <w:rFonts w:ascii="Arial" w:cs="Arial" w:eastAsia="Arial" w:hAnsi="Arial"/>
                <w:sz w:val="12"/>
                <w:szCs w:val="12"/>
                <w:color w:val="auto"/>
              </w:rPr>
              <w:t>Cash derecognized upon loss of control over subsidiary (see table below)</w:t>
            </w:r>
          </w:p>
        </w:tc>
        <w:tc>
          <w:tcPr>
            <w:tcW w:w="2420" w:type="dxa"/>
            <w:vAlign w:val="bottom"/>
          </w:tcPr>
          <w:p>
            <w:pPr>
              <w:jc w:val="right"/>
              <w:ind w:right="342"/>
              <w:spacing w:after="0"/>
              <w:rPr>
                <w:sz w:val="20"/>
                <w:szCs w:val="20"/>
                <w:color w:val="auto"/>
              </w:rPr>
            </w:pPr>
            <w:r>
              <w:rPr>
                <w:rFonts w:ascii="Arial" w:cs="Arial" w:eastAsia="Arial" w:hAnsi="Arial"/>
                <w:sz w:val="12"/>
                <w:szCs w:val="12"/>
                <w:color w:val="183964"/>
              </w:rPr>
              <w:t>4</w:t>
            </w:r>
          </w:p>
        </w:tc>
        <w:tc>
          <w:tcPr>
            <w:tcW w:w="1300" w:type="dxa"/>
            <w:vAlign w:val="bottom"/>
          </w:tcPr>
          <w:p>
            <w:pPr>
              <w:jc w:val="right"/>
              <w:ind w:right="382"/>
              <w:spacing w:after="0"/>
              <w:rPr>
                <w:sz w:val="20"/>
                <w:szCs w:val="20"/>
                <w:color w:val="auto"/>
              </w:rPr>
            </w:pPr>
            <w:r>
              <w:rPr>
                <w:rFonts w:ascii="Arial" w:cs="Arial" w:eastAsia="Arial" w:hAnsi="Arial"/>
                <w:sz w:val="12"/>
                <w:szCs w:val="12"/>
                <w:b w:val="1"/>
                <w:bCs w:val="1"/>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183964"/>
              </w:rPr>
              <w:t>(13,784)</w:t>
            </w:r>
          </w:p>
        </w:tc>
        <w:tc>
          <w:tcPr>
            <w:tcW w:w="20" w:type="dxa"/>
            <w:vAlign w:val="bottom"/>
          </w:tcPr>
          <w:p>
            <w:pPr>
              <w:spacing w:after="0"/>
              <w:rPr>
                <w:sz w:val="16"/>
                <w:szCs w:val="16"/>
                <w:color w:val="auto"/>
              </w:rPr>
            </w:pPr>
          </w:p>
        </w:tc>
      </w:tr>
      <w:tr>
        <w:trPr>
          <w:trHeight w:val="189"/>
        </w:trPr>
        <w:tc>
          <w:tcPr>
            <w:tcW w:w="6600" w:type="dxa"/>
            <w:vAlign w:val="bottom"/>
          </w:tcPr>
          <w:p>
            <w:pPr>
              <w:ind w:left="20"/>
              <w:spacing w:after="0"/>
              <w:rPr>
                <w:sz w:val="20"/>
                <w:szCs w:val="20"/>
                <w:color w:val="auto"/>
              </w:rPr>
            </w:pPr>
            <w:r>
              <w:rPr>
                <w:rFonts w:ascii="Arial" w:cs="Arial" w:eastAsia="Arial" w:hAnsi="Arial"/>
                <w:sz w:val="12"/>
                <w:szCs w:val="12"/>
                <w:color w:val="auto"/>
              </w:rPr>
              <w:t>Purchases of short-term investments</w:t>
            </w:r>
          </w:p>
        </w:tc>
        <w:tc>
          <w:tcPr>
            <w:tcW w:w="2420" w:type="dxa"/>
            <w:vAlign w:val="bottom"/>
          </w:tcPr>
          <w:p>
            <w:pPr>
              <w:spacing w:after="0"/>
              <w:rPr>
                <w:sz w:val="16"/>
                <w:szCs w:val="16"/>
                <w:color w:val="auto"/>
              </w:rPr>
            </w:pPr>
          </w:p>
        </w:tc>
        <w:tc>
          <w:tcPr>
            <w:tcW w:w="1300" w:type="dxa"/>
            <w:vAlign w:val="bottom"/>
          </w:tcPr>
          <w:p>
            <w:pPr>
              <w:jc w:val="right"/>
              <w:ind w:right="362"/>
              <w:spacing w:after="0"/>
              <w:rPr>
                <w:sz w:val="20"/>
                <w:szCs w:val="20"/>
                <w:color w:val="auto"/>
              </w:rPr>
            </w:pPr>
            <w:r>
              <w:rPr>
                <w:rFonts w:ascii="Arial" w:cs="Arial" w:eastAsia="Arial" w:hAnsi="Arial"/>
                <w:sz w:val="12"/>
                <w:szCs w:val="12"/>
                <w:b w:val="1"/>
                <w:bCs w:val="1"/>
                <w:color w:val="auto"/>
              </w:rPr>
              <w:t>(213,035)</w:t>
            </w: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183964"/>
              </w:rPr>
              <w:t>—</w:t>
            </w:r>
          </w:p>
        </w:tc>
      </w:tr>
      <w:tr>
        <w:trPr>
          <w:trHeight w:val="195"/>
        </w:trPr>
        <w:tc>
          <w:tcPr>
            <w:tcW w:w="6600" w:type="dxa"/>
            <w:vAlign w:val="bottom"/>
            <w:tcBorders>
              <w:bottom w:val="single" w:sz="8" w:color="6D6D6D"/>
            </w:tcBorders>
          </w:tcPr>
          <w:p>
            <w:pPr>
              <w:ind w:left="20"/>
              <w:spacing w:after="0"/>
              <w:rPr>
                <w:sz w:val="20"/>
                <w:szCs w:val="20"/>
                <w:color w:val="auto"/>
              </w:rPr>
            </w:pPr>
            <w:r>
              <w:rPr>
                <w:rFonts w:ascii="Arial" w:cs="Arial" w:eastAsia="Arial" w:hAnsi="Arial"/>
                <w:sz w:val="12"/>
                <w:szCs w:val="12"/>
                <w:color w:val="auto"/>
              </w:rPr>
              <w:t>Proceeds from maturity of short-term investments</w:t>
            </w:r>
          </w:p>
        </w:tc>
        <w:tc>
          <w:tcPr>
            <w:tcW w:w="2420" w:type="dxa"/>
            <w:vAlign w:val="bottom"/>
            <w:tcBorders>
              <w:bottom w:val="single" w:sz="8" w:color="6D6D6D"/>
            </w:tcBorders>
          </w:tcPr>
          <w:p>
            <w:pPr>
              <w:spacing w:after="0"/>
              <w:rPr>
                <w:sz w:val="16"/>
                <w:szCs w:val="16"/>
                <w:color w:val="auto"/>
              </w:rPr>
            </w:pPr>
          </w:p>
        </w:tc>
        <w:tc>
          <w:tcPr>
            <w:tcW w:w="1300" w:type="dxa"/>
            <w:vAlign w:val="bottom"/>
            <w:tcBorders>
              <w:bottom w:val="single" w:sz="8" w:color="6D6D6D"/>
            </w:tcBorders>
          </w:tcPr>
          <w:p>
            <w:pPr>
              <w:jc w:val="right"/>
              <w:ind w:right="382"/>
              <w:spacing w:after="0"/>
              <w:rPr>
                <w:sz w:val="20"/>
                <w:szCs w:val="20"/>
                <w:color w:val="auto"/>
              </w:rPr>
            </w:pPr>
            <w:r>
              <w:rPr>
                <w:rFonts w:ascii="Arial" w:cs="Arial" w:eastAsia="Arial" w:hAnsi="Arial"/>
                <w:sz w:val="12"/>
                <w:szCs w:val="12"/>
                <w:b w:val="1"/>
                <w:bCs w:val="1"/>
                <w:color w:val="auto"/>
              </w:rPr>
              <w:t>156,687</w:t>
            </w:r>
          </w:p>
        </w:tc>
        <w:tc>
          <w:tcPr>
            <w:tcW w:w="900" w:type="dxa"/>
            <w:vAlign w:val="bottom"/>
            <w:tcBorders>
              <w:bottom w:val="single" w:sz="8" w:color="6D6D6D"/>
            </w:tcBorders>
          </w:tcPr>
          <w:p>
            <w:pPr>
              <w:jc w:val="right"/>
              <w:ind w:right="2"/>
              <w:spacing w:after="0"/>
              <w:rPr>
                <w:sz w:val="20"/>
                <w:szCs w:val="20"/>
                <w:color w:val="auto"/>
              </w:rPr>
            </w:pPr>
            <w:r>
              <w:rPr>
                <w:rFonts w:ascii="Arial" w:cs="Arial" w:eastAsia="Arial" w:hAnsi="Arial"/>
                <w:sz w:val="12"/>
                <w:szCs w:val="12"/>
                <w:color w:val="183964"/>
              </w:rPr>
              <w:t>202,500</w:t>
            </w:r>
          </w:p>
        </w:tc>
        <w:tc>
          <w:tcPr>
            <w:tcW w:w="20" w:type="dxa"/>
            <w:vAlign w:val="bottom"/>
          </w:tcPr>
          <w:p>
            <w:pPr>
              <w:spacing w:after="0"/>
              <w:rPr>
                <w:sz w:val="16"/>
                <w:szCs w:val="16"/>
                <w:color w:val="auto"/>
              </w:rPr>
            </w:pPr>
          </w:p>
        </w:tc>
      </w:tr>
      <w:tr>
        <w:trPr>
          <w:trHeight w:val="182"/>
        </w:trPr>
        <w:tc>
          <w:tcPr>
            <w:tcW w:w="6600" w:type="dxa"/>
            <w:vAlign w:val="bottom"/>
            <w:tcBorders>
              <w:bottom w:val="single" w:sz="8" w:color="001544"/>
            </w:tcBorders>
          </w:tcPr>
          <w:p>
            <w:pPr>
              <w:ind w:left="20"/>
              <w:spacing w:after="0"/>
              <w:rPr>
                <w:sz w:val="20"/>
                <w:szCs w:val="20"/>
                <w:color w:val="auto"/>
              </w:rPr>
            </w:pPr>
            <w:r>
              <w:rPr>
                <w:rFonts w:ascii="Arial" w:cs="Arial" w:eastAsia="Arial" w:hAnsi="Arial"/>
                <w:sz w:val="12"/>
                <w:szCs w:val="12"/>
                <w:b w:val="1"/>
                <w:bCs w:val="1"/>
                <w:color w:val="auto"/>
              </w:rPr>
              <w:t>Net cash provided by investing activities</w:t>
            </w:r>
          </w:p>
        </w:tc>
        <w:tc>
          <w:tcPr>
            <w:tcW w:w="2420" w:type="dxa"/>
            <w:vAlign w:val="bottom"/>
            <w:tcBorders>
              <w:bottom w:val="single" w:sz="8" w:color="001544"/>
            </w:tcBorders>
          </w:tcPr>
          <w:p>
            <w:pPr>
              <w:spacing w:after="0"/>
              <w:rPr>
                <w:sz w:val="15"/>
                <w:szCs w:val="15"/>
                <w:color w:val="auto"/>
              </w:rPr>
            </w:pPr>
          </w:p>
        </w:tc>
        <w:tc>
          <w:tcPr>
            <w:tcW w:w="1300" w:type="dxa"/>
            <w:vAlign w:val="bottom"/>
            <w:tcBorders>
              <w:bottom w:val="single" w:sz="8" w:color="001544"/>
            </w:tcBorders>
          </w:tcPr>
          <w:p>
            <w:pPr>
              <w:jc w:val="right"/>
              <w:ind w:right="382"/>
              <w:spacing w:after="0"/>
              <w:rPr>
                <w:sz w:val="20"/>
                <w:szCs w:val="20"/>
                <w:color w:val="auto"/>
              </w:rPr>
            </w:pPr>
            <w:r>
              <w:rPr>
                <w:rFonts w:ascii="Arial" w:cs="Arial" w:eastAsia="Arial" w:hAnsi="Arial"/>
                <w:sz w:val="12"/>
                <w:szCs w:val="12"/>
                <w:b w:val="1"/>
                <w:bCs w:val="1"/>
                <w:color w:val="auto"/>
              </w:rPr>
              <w:t>236,512</w:t>
            </w:r>
          </w:p>
        </w:tc>
        <w:tc>
          <w:tcPr>
            <w:tcW w:w="900" w:type="dxa"/>
            <w:vAlign w:val="bottom"/>
            <w:tcBorders>
              <w:bottom w:val="single" w:sz="8" w:color="001544"/>
            </w:tcBorders>
          </w:tcPr>
          <w:p>
            <w:pPr>
              <w:jc w:val="right"/>
              <w:ind w:right="2"/>
              <w:spacing w:after="0"/>
              <w:rPr>
                <w:sz w:val="20"/>
                <w:szCs w:val="20"/>
                <w:color w:val="auto"/>
              </w:rPr>
            </w:pPr>
            <w:r>
              <w:rPr>
                <w:rFonts w:ascii="Arial" w:cs="Arial" w:eastAsia="Arial" w:hAnsi="Arial"/>
                <w:sz w:val="12"/>
                <w:szCs w:val="12"/>
                <w:color w:val="183964"/>
              </w:rPr>
              <w:t>173,885</w:t>
            </w:r>
          </w:p>
        </w:tc>
        <w:tc>
          <w:tcPr>
            <w:tcW w:w="20" w:type="dxa"/>
            <w:vAlign w:val="bottom"/>
          </w:tcPr>
          <w:p>
            <w:pPr>
              <w:spacing w:after="0"/>
              <w:rPr>
                <w:sz w:val="15"/>
                <w:szCs w:val="15"/>
                <w:color w:val="auto"/>
              </w:rPr>
            </w:pPr>
          </w:p>
        </w:tc>
      </w:tr>
      <w:tr>
        <w:trPr>
          <w:trHeight w:val="170"/>
        </w:trPr>
        <w:tc>
          <w:tcPr>
            <w:tcW w:w="6600" w:type="dxa"/>
            <w:vAlign w:val="bottom"/>
          </w:tcPr>
          <w:p>
            <w:pPr>
              <w:ind w:left="20"/>
              <w:spacing w:after="0"/>
              <w:rPr>
                <w:sz w:val="20"/>
                <w:szCs w:val="20"/>
                <w:color w:val="auto"/>
              </w:rPr>
            </w:pPr>
            <w:r>
              <w:rPr>
                <w:rFonts w:ascii="Arial" w:cs="Arial" w:eastAsia="Arial" w:hAnsi="Arial"/>
                <w:sz w:val="12"/>
                <w:szCs w:val="12"/>
                <w:color w:val="auto"/>
              </w:rPr>
              <w:t>Cash flows from financing activities:</w:t>
            </w:r>
          </w:p>
        </w:tc>
        <w:tc>
          <w:tcPr>
            <w:tcW w:w="2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5"/>
        </w:trPr>
        <w:tc>
          <w:tcPr>
            <w:tcW w:w="6600" w:type="dxa"/>
            <w:vAlign w:val="bottom"/>
          </w:tcPr>
          <w:p>
            <w:pPr>
              <w:ind w:left="20"/>
              <w:spacing w:after="0"/>
              <w:rPr>
                <w:sz w:val="20"/>
                <w:szCs w:val="20"/>
                <w:color w:val="auto"/>
              </w:rPr>
            </w:pPr>
            <w:r>
              <w:rPr>
                <w:rFonts w:ascii="Arial" w:cs="Arial" w:eastAsia="Arial" w:hAnsi="Arial"/>
                <w:sz w:val="12"/>
                <w:szCs w:val="12"/>
                <w:color w:val="auto"/>
              </w:rPr>
              <w:t>Receipt of cash from sale of future royalties</w:t>
            </w:r>
          </w:p>
        </w:tc>
        <w:tc>
          <w:tcPr>
            <w:tcW w:w="2420" w:type="dxa"/>
            <w:vAlign w:val="bottom"/>
          </w:tcPr>
          <w:p>
            <w:pPr>
              <w:jc w:val="right"/>
              <w:ind w:right="342"/>
              <w:spacing w:after="0"/>
              <w:rPr>
                <w:sz w:val="20"/>
                <w:szCs w:val="20"/>
                <w:color w:val="auto"/>
              </w:rPr>
            </w:pPr>
            <w:r>
              <w:rPr>
                <w:rFonts w:ascii="Arial" w:cs="Arial" w:eastAsia="Arial" w:hAnsi="Arial"/>
                <w:sz w:val="12"/>
                <w:szCs w:val="12"/>
                <w:color w:val="183964"/>
              </w:rPr>
              <w:t>12</w:t>
            </w:r>
          </w:p>
        </w:tc>
        <w:tc>
          <w:tcPr>
            <w:tcW w:w="1300" w:type="dxa"/>
            <w:vAlign w:val="bottom"/>
          </w:tcPr>
          <w:p>
            <w:pPr>
              <w:jc w:val="right"/>
              <w:ind w:right="382"/>
              <w:spacing w:after="0"/>
              <w:rPr>
                <w:sz w:val="20"/>
                <w:szCs w:val="20"/>
                <w:color w:val="auto"/>
              </w:rPr>
            </w:pPr>
            <w:r>
              <w:rPr>
                <w:rFonts w:ascii="Arial" w:cs="Arial" w:eastAsia="Arial" w:hAnsi="Arial"/>
                <w:sz w:val="12"/>
                <w:szCs w:val="12"/>
                <w:b w:val="1"/>
                <w:bCs w:val="1"/>
                <w:color w:val="auto"/>
              </w:rPr>
              <w:t>—</w:t>
            </w:r>
          </w:p>
        </w:tc>
        <w:tc>
          <w:tcPr>
            <w:tcW w:w="900" w:type="dxa"/>
            <w:vAlign w:val="bottom"/>
          </w:tcPr>
          <w:p>
            <w:pPr>
              <w:jc w:val="right"/>
              <w:ind w:right="2"/>
              <w:spacing w:after="0"/>
              <w:rPr>
                <w:sz w:val="20"/>
                <w:szCs w:val="20"/>
                <w:color w:val="auto"/>
              </w:rPr>
            </w:pPr>
            <w:r>
              <w:rPr>
                <w:rFonts w:ascii="Arial" w:cs="Arial" w:eastAsia="Arial" w:hAnsi="Arial"/>
                <w:sz w:val="12"/>
                <w:szCs w:val="12"/>
                <w:color w:val="183964"/>
              </w:rPr>
              <w:t>100,000</w:t>
            </w:r>
          </w:p>
        </w:tc>
        <w:tc>
          <w:tcPr>
            <w:tcW w:w="20" w:type="dxa"/>
            <w:vAlign w:val="bottom"/>
          </w:tcPr>
          <w:p>
            <w:pPr>
              <w:spacing w:after="0"/>
              <w:rPr>
                <w:sz w:val="16"/>
                <w:szCs w:val="16"/>
                <w:color w:val="auto"/>
              </w:rPr>
            </w:pPr>
          </w:p>
        </w:tc>
      </w:tr>
      <w:tr>
        <w:trPr>
          <w:trHeight w:val="189"/>
        </w:trPr>
        <w:tc>
          <w:tcPr>
            <w:tcW w:w="6600" w:type="dxa"/>
            <w:vAlign w:val="bottom"/>
          </w:tcPr>
          <w:p>
            <w:pPr>
              <w:ind w:left="20"/>
              <w:spacing w:after="0"/>
              <w:rPr>
                <w:sz w:val="20"/>
                <w:szCs w:val="20"/>
                <w:color w:val="auto"/>
              </w:rPr>
            </w:pPr>
            <w:r>
              <w:rPr>
                <w:rFonts w:ascii="Arial" w:cs="Arial" w:eastAsia="Arial" w:hAnsi="Arial"/>
                <w:sz w:val="12"/>
                <w:szCs w:val="12"/>
                <w:color w:val="auto"/>
              </w:rPr>
              <w:t>Issuance of subsidiary preferred Shares</w:t>
            </w:r>
          </w:p>
        </w:tc>
        <w:tc>
          <w:tcPr>
            <w:tcW w:w="2420" w:type="dxa"/>
            <w:vAlign w:val="bottom"/>
          </w:tcPr>
          <w:p>
            <w:pPr>
              <w:jc w:val="right"/>
              <w:ind w:right="342"/>
              <w:spacing w:after="0"/>
              <w:rPr>
                <w:sz w:val="20"/>
                <w:szCs w:val="20"/>
                <w:color w:val="auto"/>
              </w:rPr>
            </w:pPr>
            <w:r>
              <w:rPr>
                <w:rFonts w:ascii="Arial" w:cs="Arial" w:eastAsia="Arial" w:hAnsi="Arial"/>
                <w:sz w:val="12"/>
                <w:szCs w:val="12"/>
                <w:color w:val="183964"/>
              </w:rPr>
              <w:t>11</w:t>
            </w:r>
          </w:p>
        </w:tc>
        <w:tc>
          <w:tcPr>
            <w:tcW w:w="1300" w:type="dxa"/>
            <w:vAlign w:val="bottom"/>
          </w:tcPr>
          <w:p>
            <w:pPr>
              <w:jc w:val="right"/>
              <w:ind w:right="382"/>
              <w:spacing w:after="0"/>
              <w:rPr>
                <w:sz w:val="20"/>
                <w:szCs w:val="20"/>
                <w:color w:val="auto"/>
              </w:rPr>
            </w:pPr>
            <w:r>
              <w:rPr>
                <w:rFonts w:ascii="Arial" w:cs="Arial" w:eastAsia="Arial" w:hAnsi="Arial"/>
                <w:sz w:val="12"/>
                <w:szCs w:val="12"/>
                <w:b w:val="1"/>
                <w:bCs w:val="1"/>
                <w:color w:val="auto"/>
              </w:rPr>
              <w:t>68,100</w:t>
            </w: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183964"/>
              </w:rPr>
              <w:t>—</w:t>
            </w:r>
          </w:p>
        </w:tc>
      </w:tr>
      <w:tr>
        <w:trPr>
          <w:trHeight w:val="189"/>
        </w:trPr>
        <w:tc>
          <w:tcPr>
            <w:tcW w:w="6600" w:type="dxa"/>
            <w:vAlign w:val="bottom"/>
          </w:tcPr>
          <w:p>
            <w:pPr>
              <w:ind w:left="20"/>
              <w:spacing w:after="0"/>
              <w:rPr>
                <w:sz w:val="20"/>
                <w:szCs w:val="20"/>
                <w:color w:val="auto"/>
              </w:rPr>
            </w:pPr>
            <w:r>
              <w:rPr>
                <w:rFonts w:ascii="Arial" w:cs="Arial" w:eastAsia="Arial" w:hAnsi="Arial"/>
                <w:sz w:val="12"/>
                <w:szCs w:val="12"/>
                <w:color w:val="auto"/>
              </w:rPr>
              <w:t>Payment of lease liability</w:t>
            </w:r>
          </w:p>
        </w:tc>
        <w:tc>
          <w:tcPr>
            <w:tcW w:w="2420" w:type="dxa"/>
            <w:vAlign w:val="bottom"/>
          </w:tcPr>
          <w:p>
            <w:pPr>
              <w:spacing w:after="0"/>
              <w:rPr>
                <w:sz w:val="16"/>
                <w:szCs w:val="16"/>
                <w:color w:val="auto"/>
              </w:rPr>
            </w:pPr>
          </w:p>
        </w:tc>
        <w:tc>
          <w:tcPr>
            <w:tcW w:w="1300" w:type="dxa"/>
            <w:vAlign w:val="bottom"/>
          </w:tcPr>
          <w:p>
            <w:pPr>
              <w:jc w:val="right"/>
              <w:ind w:right="362"/>
              <w:spacing w:after="0"/>
              <w:rPr>
                <w:sz w:val="20"/>
                <w:szCs w:val="20"/>
                <w:color w:val="auto"/>
              </w:rPr>
            </w:pPr>
            <w:r>
              <w:rPr>
                <w:rFonts w:ascii="Arial" w:cs="Arial" w:eastAsia="Arial" w:hAnsi="Arial"/>
                <w:sz w:val="12"/>
                <w:szCs w:val="12"/>
                <w:b w:val="1"/>
                <w:bCs w:val="1"/>
                <w:color w:val="auto"/>
              </w:rPr>
              <w:t>(1,648)</w:t>
            </w:r>
          </w:p>
        </w:tc>
        <w:tc>
          <w:tcPr>
            <w:tcW w:w="900" w:type="dxa"/>
            <w:vAlign w:val="bottom"/>
          </w:tcPr>
          <w:p>
            <w:pPr>
              <w:jc w:val="right"/>
              <w:spacing w:after="0"/>
              <w:rPr>
                <w:sz w:val="20"/>
                <w:szCs w:val="20"/>
                <w:color w:val="auto"/>
              </w:rPr>
            </w:pPr>
            <w:r>
              <w:rPr>
                <w:rFonts w:ascii="Arial" w:cs="Arial" w:eastAsia="Arial" w:hAnsi="Arial"/>
                <w:sz w:val="12"/>
                <w:szCs w:val="12"/>
                <w:color w:val="183964"/>
              </w:rPr>
              <w:t>(1,764)</w:t>
            </w:r>
          </w:p>
        </w:tc>
        <w:tc>
          <w:tcPr>
            <w:tcW w:w="20" w:type="dxa"/>
            <w:vAlign w:val="bottom"/>
          </w:tcPr>
          <w:p>
            <w:pPr>
              <w:spacing w:after="0"/>
              <w:rPr>
                <w:sz w:val="16"/>
                <w:szCs w:val="16"/>
                <w:color w:val="auto"/>
              </w:rPr>
            </w:pPr>
          </w:p>
        </w:tc>
      </w:tr>
      <w:tr>
        <w:trPr>
          <w:trHeight w:val="189"/>
        </w:trPr>
        <w:tc>
          <w:tcPr>
            <w:tcW w:w="6600" w:type="dxa"/>
            <w:vAlign w:val="bottom"/>
          </w:tcPr>
          <w:p>
            <w:pPr>
              <w:ind w:left="20"/>
              <w:spacing w:after="0"/>
              <w:rPr>
                <w:sz w:val="20"/>
                <w:szCs w:val="20"/>
                <w:color w:val="auto"/>
              </w:rPr>
            </w:pPr>
            <w:r>
              <w:rPr>
                <w:rFonts w:ascii="Arial" w:cs="Arial" w:eastAsia="Arial" w:hAnsi="Arial"/>
                <w:sz w:val="12"/>
                <w:szCs w:val="12"/>
                <w:color w:val="auto"/>
              </w:rPr>
              <w:t>Exercise of stock options</w:t>
            </w:r>
          </w:p>
        </w:tc>
        <w:tc>
          <w:tcPr>
            <w:tcW w:w="2420" w:type="dxa"/>
            <w:vAlign w:val="bottom"/>
          </w:tcPr>
          <w:p>
            <w:pPr>
              <w:spacing w:after="0"/>
              <w:rPr>
                <w:sz w:val="16"/>
                <w:szCs w:val="16"/>
                <w:color w:val="auto"/>
              </w:rPr>
            </w:pPr>
          </w:p>
        </w:tc>
        <w:tc>
          <w:tcPr>
            <w:tcW w:w="1300" w:type="dxa"/>
            <w:vAlign w:val="bottom"/>
          </w:tcPr>
          <w:p>
            <w:pPr>
              <w:jc w:val="right"/>
              <w:ind w:right="382"/>
              <w:spacing w:after="0"/>
              <w:rPr>
                <w:sz w:val="20"/>
                <w:szCs w:val="20"/>
                <w:color w:val="auto"/>
              </w:rPr>
            </w:pPr>
            <w:r>
              <w:rPr>
                <w:rFonts w:ascii="Arial" w:cs="Arial" w:eastAsia="Arial" w:hAnsi="Arial"/>
                <w:sz w:val="12"/>
                <w:szCs w:val="12"/>
                <w:b w:val="1"/>
                <w:bCs w:val="1"/>
                <w:color w:val="auto"/>
              </w:rPr>
              <w:t>895</w:t>
            </w:r>
          </w:p>
        </w:tc>
        <w:tc>
          <w:tcPr>
            <w:tcW w:w="900" w:type="dxa"/>
            <w:vAlign w:val="bottom"/>
          </w:tcPr>
          <w:p>
            <w:pPr>
              <w:jc w:val="right"/>
              <w:ind w:right="2"/>
              <w:spacing w:after="0"/>
              <w:rPr>
                <w:sz w:val="20"/>
                <w:szCs w:val="20"/>
                <w:color w:val="auto"/>
              </w:rPr>
            </w:pPr>
            <w:r>
              <w:rPr>
                <w:rFonts w:ascii="Arial" w:cs="Arial" w:eastAsia="Arial" w:hAnsi="Arial"/>
                <w:sz w:val="12"/>
                <w:szCs w:val="12"/>
                <w:color w:val="183964"/>
              </w:rPr>
              <w:t>961</w:t>
            </w:r>
          </w:p>
        </w:tc>
        <w:tc>
          <w:tcPr>
            <w:tcW w:w="20" w:type="dxa"/>
            <w:vAlign w:val="bottom"/>
          </w:tcPr>
          <w:p>
            <w:pPr>
              <w:spacing w:after="0"/>
              <w:rPr>
                <w:sz w:val="16"/>
                <w:szCs w:val="16"/>
                <w:color w:val="auto"/>
              </w:rPr>
            </w:pPr>
          </w:p>
        </w:tc>
      </w:tr>
      <w:tr>
        <w:trPr>
          <w:trHeight w:val="189"/>
        </w:trPr>
        <w:tc>
          <w:tcPr>
            <w:tcW w:w="6600" w:type="dxa"/>
            <w:vAlign w:val="bottom"/>
          </w:tcPr>
          <w:p>
            <w:pPr>
              <w:ind w:left="20"/>
              <w:spacing w:after="0"/>
              <w:rPr>
                <w:sz w:val="20"/>
                <w:szCs w:val="20"/>
                <w:color w:val="auto"/>
              </w:rPr>
            </w:pPr>
            <w:r>
              <w:rPr>
                <w:rFonts w:ascii="Arial" w:cs="Arial" w:eastAsia="Arial" w:hAnsi="Arial"/>
                <w:sz w:val="12"/>
                <w:szCs w:val="12"/>
                <w:color w:val="auto"/>
              </w:rPr>
              <w:t>Repurchase of ordinary shares</w:t>
            </w:r>
          </w:p>
        </w:tc>
        <w:tc>
          <w:tcPr>
            <w:tcW w:w="2420" w:type="dxa"/>
            <w:vAlign w:val="bottom"/>
          </w:tcPr>
          <w:p>
            <w:pPr>
              <w:jc w:val="right"/>
              <w:ind w:right="342"/>
              <w:spacing w:after="0"/>
              <w:rPr>
                <w:sz w:val="20"/>
                <w:szCs w:val="20"/>
                <w:color w:val="auto"/>
              </w:rPr>
            </w:pPr>
            <w:r>
              <w:rPr>
                <w:rFonts w:ascii="Arial" w:cs="Arial" w:eastAsia="Arial" w:hAnsi="Arial"/>
                <w:sz w:val="12"/>
                <w:szCs w:val="12"/>
                <w:color w:val="183964"/>
              </w:rPr>
              <w:t>10</w:t>
            </w:r>
          </w:p>
        </w:tc>
        <w:tc>
          <w:tcPr>
            <w:tcW w:w="1300" w:type="dxa"/>
            <w:vAlign w:val="bottom"/>
          </w:tcPr>
          <w:p>
            <w:pPr>
              <w:jc w:val="right"/>
              <w:ind w:right="362"/>
              <w:spacing w:after="0"/>
              <w:rPr>
                <w:sz w:val="20"/>
                <w:szCs w:val="20"/>
                <w:color w:val="auto"/>
              </w:rPr>
            </w:pPr>
            <w:r>
              <w:rPr>
                <w:rFonts w:ascii="Arial" w:cs="Arial" w:eastAsia="Arial" w:hAnsi="Arial"/>
                <w:sz w:val="12"/>
                <w:szCs w:val="12"/>
                <w:b w:val="1"/>
                <w:bCs w:val="1"/>
                <w:color w:val="auto"/>
              </w:rPr>
              <w:t>(101,629)</w:t>
            </w: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183964"/>
              </w:rPr>
              <w:t>—</w:t>
            </w:r>
          </w:p>
        </w:tc>
      </w:tr>
      <w:tr>
        <w:trPr>
          <w:trHeight w:val="189"/>
        </w:trPr>
        <w:tc>
          <w:tcPr>
            <w:tcW w:w="6600" w:type="dxa"/>
            <w:vAlign w:val="bottom"/>
          </w:tcPr>
          <w:p>
            <w:pPr>
              <w:ind w:left="20"/>
              <w:spacing w:after="0"/>
              <w:rPr>
                <w:sz w:val="20"/>
                <w:szCs w:val="20"/>
                <w:color w:val="auto"/>
              </w:rPr>
            </w:pPr>
            <w:r>
              <w:rPr>
                <w:rFonts w:ascii="Arial" w:cs="Arial" w:eastAsia="Arial" w:hAnsi="Arial"/>
                <w:sz w:val="12"/>
                <w:szCs w:val="12"/>
                <w:color w:val="auto"/>
              </w:rPr>
              <w:t>Purchase of treasury stock</w:t>
            </w:r>
          </w:p>
        </w:tc>
        <w:tc>
          <w:tcPr>
            <w:tcW w:w="2420" w:type="dxa"/>
            <w:vAlign w:val="bottom"/>
          </w:tcPr>
          <w:p>
            <w:pPr>
              <w:jc w:val="right"/>
              <w:ind w:right="342"/>
              <w:spacing w:after="0"/>
              <w:rPr>
                <w:sz w:val="20"/>
                <w:szCs w:val="20"/>
                <w:color w:val="auto"/>
              </w:rPr>
            </w:pPr>
            <w:r>
              <w:rPr>
                <w:rFonts w:ascii="Arial" w:cs="Arial" w:eastAsia="Arial" w:hAnsi="Arial"/>
                <w:sz w:val="12"/>
                <w:szCs w:val="12"/>
                <w:color w:val="183964"/>
              </w:rPr>
              <w:t>10</w:t>
            </w:r>
          </w:p>
        </w:tc>
        <w:tc>
          <w:tcPr>
            <w:tcW w:w="1300" w:type="dxa"/>
            <w:vAlign w:val="bottom"/>
          </w:tcPr>
          <w:p>
            <w:pPr>
              <w:jc w:val="right"/>
              <w:ind w:right="362"/>
              <w:spacing w:after="0"/>
              <w:rPr>
                <w:sz w:val="20"/>
                <w:szCs w:val="20"/>
                <w:color w:val="auto"/>
              </w:rPr>
            </w:pPr>
            <w:r>
              <w:rPr>
                <w:rFonts w:ascii="Arial" w:cs="Arial" w:eastAsia="Arial" w:hAnsi="Arial"/>
                <w:sz w:val="12"/>
                <w:szCs w:val="12"/>
                <w:b w:val="1"/>
                <w:bCs w:val="1"/>
                <w:color w:val="auto"/>
              </w:rPr>
              <w:t>(4,819)</w:t>
            </w:r>
          </w:p>
        </w:tc>
        <w:tc>
          <w:tcPr>
            <w:tcW w:w="900" w:type="dxa"/>
            <w:vAlign w:val="bottom"/>
          </w:tcPr>
          <w:p>
            <w:pPr>
              <w:jc w:val="right"/>
              <w:spacing w:after="0"/>
              <w:rPr>
                <w:sz w:val="20"/>
                <w:szCs w:val="20"/>
                <w:color w:val="auto"/>
              </w:rPr>
            </w:pPr>
            <w:r>
              <w:rPr>
                <w:rFonts w:ascii="Arial" w:cs="Arial" w:eastAsia="Arial" w:hAnsi="Arial"/>
                <w:sz w:val="12"/>
                <w:szCs w:val="12"/>
                <w:color w:val="183964"/>
              </w:rPr>
              <w:t>(7,276)</w:t>
            </w:r>
          </w:p>
        </w:tc>
        <w:tc>
          <w:tcPr>
            <w:tcW w:w="20" w:type="dxa"/>
            <w:vAlign w:val="bottom"/>
          </w:tcPr>
          <w:p>
            <w:pPr>
              <w:spacing w:after="0"/>
              <w:rPr>
                <w:sz w:val="16"/>
                <w:szCs w:val="16"/>
                <w:color w:val="auto"/>
              </w:rPr>
            </w:pPr>
          </w:p>
        </w:tc>
      </w:tr>
      <w:tr>
        <w:trPr>
          <w:trHeight w:val="195"/>
        </w:trPr>
        <w:tc>
          <w:tcPr>
            <w:tcW w:w="6600" w:type="dxa"/>
            <w:vAlign w:val="bottom"/>
            <w:tcBorders>
              <w:bottom w:val="single" w:sz="8" w:color="001544"/>
            </w:tcBorders>
          </w:tcPr>
          <w:p>
            <w:pPr>
              <w:ind w:left="20"/>
              <w:spacing w:after="0"/>
              <w:rPr>
                <w:sz w:val="20"/>
                <w:szCs w:val="20"/>
                <w:color w:val="auto"/>
              </w:rPr>
            </w:pPr>
            <w:r>
              <w:rPr>
                <w:rFonts w:ascii="Arial" w:cs="Arial" w:eastAsia="Arial" w:hAnsi="Arial"/>
                <w:sz w:val="12"/>
                <w:szCs w:val="12"/>
                <w:color w:val="auto"/>
              </w:rPr>
              <w:t>Other</w:t>
            </w:r>
          </w:p>
        </w:tc>
        <w:tc>
          <w:tcPr>
            <w:tcW w:w="2420" w:type="dxa"/>
            <w:vAlign w:val="bottom"/>
            <w:tcBorders>
              <w:bottom w:val="single" w:sz="8" w:color="001544"/>
            </w:tcBorders>
          </w:tcPr>
          <w:p>
            <w:pPr>
              <w:spacing w:after="0"/>
              <w:rPr>
                <w:sz w:val="16"/>
                <w:szCs w:val="16"/>
                <w:color w:val="auto"/>
              </w:rPr>
            </w:pPr>
          </w:p>
        </w:tc>
        <w:tc>
          <w:tcPr>
            <w:tcW w:w="1300" w:type="dxa"/>
            <w:vAlign w:val="bottom"/>
            <w:tcBorders>
              <w:bottom w:val="single" w:sz="8" w:color="001544"/>
            </w:tcBorders>
          </w:tcPr>
          <w:p>
            <w:pPr>
              <w:jc w:val="right"/>
              <w:ind w:right="382"/>
              <w:spacing w:after="0"/>
              <w:rPr>
                <w:sz w:val="20"/>
                <w:szCs w:val="20"/>
                <w:color w:val="auto"/>
              </w:rPr>
            </w:pPr>
            <w:r>
              <w:rPr>
                <w:rFonts w:ascii="Arial" w:cs="Arial" w:eastAsia="Arial" w:hAnsi="Arial"/>
                <w:sz w:val="12"/>
                <w:szCs w:val="12"/>
                <w:b w:val="1"/>
                <w:bCs w:val="1"/>
                <w:color w:val="auto"/>
              </w:rPr>
              <w:t>—</w:t>
            </w:r>
          </w:p>
        </w:tc>
        <w:tc>
          <w:tcPr>
            <w:tcW w:w="900" w:type="dxa"/>
            <w:vAlign w:val="bottom"/>
            <w:tcBorders>
              <w:bottom w:val="single" w:sz="8" w:color="001544"/>
            </w:tcBorders>
          </w:tcPr>
          <w:p>
            <w:pPr>
              <w:jc w:val="right"/>
              <w:spacing w:after="0"/>
              <w:rPr>
                <w:sz w:val="20"/>
                <w:szCs w:val="20"/>
                <w:color w:val="auto"/>
              </w:rPr>
            </w:pPr>
            <w:r>
              <w:rPr>
                <w:rFonts w:ascii="Arial" w:cs="Arial" w:eastAsia="Arial" w:hAnsi="Arial"/>
                <w:sz w:val="12"/>
                <w:szCs w:val="12"/>
                <w:color w:val="183964"/>
              </w:rPr>
              <w:t>(23)</w:t>
            </w:r>
          </w:p>
        </w:tc>
        <w:tc>
          <w:tcPr>
            <w:tcW w:w="20" w:type="dxa"/>
            <w:vAlign w:val="bottom"/>
          </w:tcPr>
          <w:p>
            <w:pPr>
              <w:spacing w:after="0"/>
              <w:rPr>
                <w:sz w:val="16"/>
                <w:szCs w:val="16"/>
                <w:color w:val="auto"/>
              </w:rPr>
            </w:pPr>
          </w:p>
        </w:tc>
      </w:tr>
      <w:tr>
        <w:trPr>
          <w:trHeight w:val="183"/>
        </w:trPr>
        <w:tc>
          <w:tcPr>
            <w:tcW w:w="6600" w:type="dxa"/>
            <w:vAlign w:val="bottom"/>
            <w:tcBorders>
              <w:bottom w:val="single" w:sz="8" w:color="183964"/>
            </w:tcBorders>
          </w:tcPr>
          <w:p>
            <w:pPr>
              <w:ind w:left="20"/>
              <w:spacing w:after="0"/>
              <w:rPr>
                <w:sz w:val="20"/>
                <w:szCs w:val="20"/>
                <w:color w:val="auto"/>
              </w:rPr>
            </w:pPr>
            <w:r>
              <w:rPr>
                <w:rFonts w:ascii="Arial" w:cs="Arial" w:eastAsia="Arial" w:hAnsi="Arial"/>
                <w:sz w:val="12"/>
                <w:szCs w:val="12"/>
                <w:b w:val="1"/>
                <w:bCs w:val="1"/>
                <w:color w:val="auto"/>
              </w:rPr>
              <w:t>Net cash provided by (used in) financing activities</w:t>
            </w:r>
          </w:p>
        </w:tc>
        <w:tc>
          <w:tcPr>
            <w:tcW w:w="2420" w:type="dxa"/>
            <w:vAlign w:val="bottom"/>
            <w:tcBorders>
              <w:bottom w:val="single" w:sz="8" w:color="183964"/>
            </w:tcBorders>
          </w:tcPr>
          <w:p>
            <w:pPr>
              <w:spacing w:after="0"/>
              <w:rPr>
                <w:sz w:val="15"/>
                <w:szCs w:val="15"/>
                <w:color w:val="auto"/>
              </w:rPr>
            </w:pPr>
          </w:p>
        </w:tc>
        <w:tc>
          <w:tcPr>
            <w:tcW w:w="1300" w:type="dxa"/>
            <w:vAlign w:val="bottom"/>
            <w:tcBorders>
              <w:bottom w:val="single" w:sz="8" w:color="183964"/>
            </w:tcBorders>
          </w:tcPr>
          <w:p>
            <w:pPr>
              <w:jc w:val="right"/>
              <w:ind w:right="362"/>
              <w:spacing w:after="0"/>
              <w:rPr>
                <w:sz w:val="20"/>
                <w:szCs w:val="20"/>
                <w:color w:val="auto"/>
              </w:rPr>
            </w:pPr>
            <w:r>
              <w:rPr>
                <w:rFonts w:ascii="Arial" w:cs="Arial" w:eastAsia="Arial" w:hAnsi="Arial"/>
                <w:sz w:val="12"/>
                <w:szCs w:val="12"/>
                <w:b w:val="1"/>
                <w:bCs w:val="1"/>
                <w:color w:val="auto"/>
              </w:rPr>
              <w:t>(39,101)</w:t>
            </w:r>
          </w:p>
        </w:tc>
        <w:tc>
          <w:tcPr>
            <w:tcW w:w="900" w:type="dxa"/>
            <w:vAlign w:val="bottom"/>
            <w:tcBorders>
              <w:bottom w:val="single" w:sz="8" w:color="183964"/>
            </w:tcBorders>
          </w:tcPr>
          <w:p>
            <w:pPr>
              <w:jc w:val="right"/>
              <w:ind w:right="2"/>
              <w:spacing w:after="0"/>
              <w:rPr>
                <w:sz w:val="20"/>
                <w:szCs w:val="20"/>
                <w:color w:val="auto"/>
              </w:rPr>
            </w:pPr>
            <w:r>
              <w:rPr>
                <w:rFonts w:ascii="Arial" w:cs="Arial" w:eastAsia="Arial" w:hAnsi="Arial"/>
                <w:sz w:val="12"/>
                <w:szCs w:val="12"/>
                <w:color w:val="183964"/>
              </w:rPr>
              <w:t>91,897</w:t>
            </w:r>
          </w:p>
        </w:tc>
        <w:tc>
          <w:tcPr>
            <w:tcW w:w="20" w:type="dxa"/>
            <w:vAlign w:val="bottom"/>
          </w:tcPr>
          <w:p>
            <w:pPr>
              <w:spacing w:after="0"/>
              <w:rPr>
                <w:sz w:val="15"/>
                <w:szCs w:val="15"/>
                <w:color w:val="auto"/>
              </w:rPr>
            </w:pPr>
          </w:p>
        </w:tc>
      </w:tr>
      <w:tr>
        <w:trPr>
          <w:trHeight w:val="176"/>
        </w:trPr>
        <w:tc>
          <w:tcPr>
            <w:tcW w:w="6600" w:type="dxa"/>
            <w:vAlign w:val="bottom"/>
          </w:tcPr>
          <w:p>
            <w:pPr>
              <w:ind w:left="20"/>
              <w:spacing w:after="0"/>
              <w:rPr>
                <w:sz w:val="20"/>
                <w:szCs w:val="20"/>
                <w:color w:val="auto"/>
              </w:rPr>
            </w:pPr>
            <w:r>
              <w:rPr>
                <w:rFonts w:ascii="Arial" w:cs="Arial" w:eastAsia="Arial" w:hAnsi="Arial"/>
                <w:sz w:val="12"/>
                <w:szCs w:val="12"/>
                <w:color w:val="auto"/>
              </w:rPr>
              <w:t>Net increase (decrease) in cash and cash equivalents</w:t>
            </w:r>
          </w:p>
        </w:tc>
        <w:tc>
          <w:tcPr>
            <w:tcW w:w="2420" w:type="dxa"/>
            <w:vAlign w:val="bottom"/>
          </w:tcPr>
          <w:p>
            <w:pPr>
              <w:spacing w:after="0"/>
              <w:rPr>
                <w:sz w:val="15"/>
                <w:szCs w:val="15"/>
                <w:color w:val="auto"/>
              </w:rPr>
            </w:pPr>
          </w:p>
        </w:tc>
        <w:tc>
          <w:tcPr>
            <w:tcW w:w="1300" w:type="dxa"/>
            <w:vAlign w:val="bottom"/>
          </w:tcPr>
          <w:p>
            <w:pPr>
              <w:jc w:val="right"/>
              <w:ind w:right="382"/>
              <w:spacing w:after="0"/>
              <w:rPr>
                <w:sz w:val="20"/>
                <w:szCs w:val="20"/>
                <w:color w:val="auto"/>
              </w:rPr>
            </w:pPr>
            <w:r>
              <w:rPr>
                <w:rFonts w:ascii="Arial" w:cs="Arial" w:eastAsia="Arial" w:hAnsi="Arial"/>
                <w:sz w:val="12"/>
                <w:szCs w:val="12"/>
                <w:b w:val="1"/>
                <w:bCs w:val="1"/>
                <w:color w:val="auto"/>
              </w:rPr>
              <w:t>117,397</w:t>
            </w:r>
          </w:p>
        </w:tc>
        <w:tc>
          <w:tcPr>
            <w:tcW w:w="900" w:type="dxa"/>
            <w:vAlign w:val="bottom"/>
          </w:tcPr>
          <w:p>
            <w:pPr>
              <w:jc w:val="right"/>
              <w:ind w:right="2"/>
              <w:spacing w:after="0"/>
              <w:rPr>
                <w:sz w:val="20"/>
                <w:szCs w:val="20"/>
                <w:color w:val="auto"/>
              </w:rPr>
            </w:pPr>
            <w:r>
              <w:rPr>
                <w:rFonts w:ascii="Arial" w:cs="Arial" w:eastAsia="Arial" w:hAnsi="Arial"/>
                <w:sz w:val="12"/>
                <w:szCs w:val="12"/>
                <w:color w:val="183964"/>
              </w:rPr>
              <w:t>200,649</w:t>
            </w:r>
          </w:p>
        </w:tc>
        <w:tc>
          <w:tcPr>
            <w:tcW w:w="20" w:type="dxa"/>
            <w:vAlign w:val="bottom"/>
          </w:tcPr>
          <w:p>
            <w:pPr>
              <w:spacing w:after="0"/>
              <w:rPr>
                <w:sz w:val="15"/>
                <w:szCs w:val="15"/>
                <w:color w:val="auto"/>
              </w:rPr>
            </w:pPr>
          </w:p>
        </w:tc>
      </w:tr>
      <w:tr>
        <w:trPr>
          <w:trHeight w:val="195"/>
        </w:trPr>
        <w:tc>
          <w:tcPr>
            <w:tcW w:w="6600" w:type="dxa"/>
            <w:vAlign w:val="bottom"/>
            <w:tcBorders>
              <w:bottom w:val="single" w:sz="8" w:color="001544"/>
            </w:tcBorders>
          </w:tcPr>
          <w:p>
            <w:pPr>
              <w:ind w:left="20"/>
              <w:spacing w:after="0"/>
              <w:rPr>
                <w:sz w:val="20"/>
                <w:szCs w:val="20"/>
                <w:color w:val="auto"/>
              </w:rPr>
            </w:pPr>
            <w:r>
              <w:rPr>
                <w:rFonts w:ascii="Arial" w:cs="Arial" w:eastAsia="Arial" w:hAnsi="Arial"/>
                <w:sz w:val="12"/>
                <w:szCs w:val="12"/>
                <w:color w:val="auto"/>
              </w:rPr>
              <w:t>Cash and cash equivalents at beginning of year</w:t>
            </w:r>
          </w:p>
        </w:tc>
        <w:tc>
          <w:tcPr>
            <w:tcW w:w="2420" w:type="dxa"/>
            <w:vAlign w:val="bottom"/>
            <w:tcBorders>
              <w:bottom w:val="single" w:sz="8" w:color="001544"/>
            </w:tcBorders>
          </w:tcPr>
          <w:p>
            <w:pPr>
              <w:spacing w:after="0"/>
              <w:rPr>
                <w:sz w:val="16"/>
                <w:szCs w:val="16"/>
                <w:color w:val="auto"/>
              </w:rPr>
            </w:pPr>
          </w:p>
        </w:tc>
        <w:tc>
          <w:tcPr>
            <w:tcW w:w="1300" w:type="dxa"/>
            <w:vAlign w:val="bottom"/>
            <w:tcBorders>
              <w:bottom w:val="single" w:sz="8" w:color="001544"/>
            </w:tcBorders>
          </w:tcPr>
          <w:p>
            <w:pPr>
              <w:jc w:val="right"/>
              <w:ind w:right="382"/>
              <w:spacing w:after="0"/>
              <w:rPr>
                <w:sz w:val="20"/>
                <w:szCs w:val="20"/>
                <w:color w:val="auto"/>
              </w:rPr>
            </w:pPr>
            <w:r>
              <w:rPr>
                <w:rFonts w:ascii="Arial" w:cs="Arial" w:eastAsia="Arial" w:hAnsi="Arial"/>
                <w:sz w:val="12"/>
                <w:szCs w:val="12"/>
                <w:b w:val="1"/>
                <w:bCs w:val="1"/>
                <w:color w:val="auto"/>
              </w:rPr>
              <w:t>191,081</w:t>
            </w:r>
          </w:p>
        </w:tc>
        <w:tc>
          <w:tcPr>
            <w:tcW w:w="900" w:type="dxa"/>
            <w:vAlign w:val="bottom"/>
            <w:tcBorders>
              <w:bottom w:val="single" w:sz="8" w:color="001544"/>
            </w:tcBorders>
          </w:tcPr>
          <w:p>
            <w:pPr>
              <w:jc w:val="right"/>
              <w:ind w:right="2"/>
              <w:spacing w:after="0"/>
              <w:rPr>
                <w:sz w:val="20"/>
                <w:szCs w:val="20"/>
                <w:color w:val="auto"/>
              </w:rPr>
            </w:pPr>
            <w:r>
              <w:rPr>
                <w:rFonts w:ascii="Arial" w:cs="Arial" w:eastAsia="Arial" w:hAnsi="Arial"/>
                <w:sz w:val="12"/>
                <w:szCs w:val="12"/>
                <w:color w:val="183964"/>
              </w:rPr>
              <w:t>149,866</w:t>
            </w:r>
          </w:p>
        </w:tc>
        <w:tc>
          <w:tcPr>
            <w:tcW w:w="20" w:type="dxa"/>
            <w:vAlign w:val="bottom"/>
          </w:tcPr>
          <w:p>
            <w:pPr>
              <w:spacing w:after="0"/>
              <w:rPr>
                <w:sz w:val="16"/>
                <w:szCs w:val="16"/>
                <w:color w:val="auto"/>
              </w:rPr>
            </w:pPr>
          </w:p>
        </w:tc>
      </w:tr>
      <w:tr>
        <w:trPr>
          <w:trHeight w:val="183"/>
        </w:trPr>
        <w:tc>
          <w:tcPr>
            <w:tcW w:w="6600" w:type="dxa"/>
            <w:vAlign w:val="bottom"/>
            <w:tcBorders>
              <w:bottom w:val="single" w:sz="8" w:color="183964"/>
            </w:tcBorders>
          </w:tcPr>
          <w:p>
            <w:pPr>
              <w:ind w:left="20"/>
              <w:spacing w:after="0"/>
              <w:rPr>
                <w:sz w:val="20"/>
                <w:szCs w:val="20"/>
                <w:color w:val="auto"/>
              </w:rPr>
            </w:pPr>
            <w:r>
              <w:rPr>
                <w:rFonts w:ascii="Arial" w:cs="Arial" w:eastAsia="Arial" w:hAnsi="Arial"/>
                <w:sz w:val="12"/>
                <w:szCs w:val="12"/>
                <w:b w:val="1"/>
                <w:bCs w:val="1"/>
                <w:color w:val="auto"/>
              </w:rPr>
              <w:t>Cash and cash equivalents at end of period</w:t>
            </w:r>
          </w:p>
        </w:tc>
        <w:tc>
          <w:tcPr>
            <w:tcW w:w="2420" w:type="dxa"/>
            <w:vAlign w:val="bottom"/>
            <w:tcBorders>
              <w:bottom w:val="single" w:sz="8" w:color="183964"/>
            </w:tcBorders>
          </w:tcPr>
          <w:p>
            <w:pPr>
              <w:spacing w:after="0"/>
              <w:rPr>
                <w:sz w:val="15"/>
                <w:szCs w:val="15"/>
                <w:color w:val="auto"/>
              </w:rPr>
            </w:pPr>
          </w:p>
        </w:tc>
        <w:tc>
          <w:tcPr>
            <w:tcW w:w="1300" w:type="dxa"/>
            <w:vAlign w:val="bottom"/>
            <w:tcBorders>
              <w:bottom w:val="single" w:sz="8" w:color="183964"/>
            </w:tcBorders>
          </w:tcPr>
          <w:p>
            <w:pPr>
              <w:jc w:val="right"/>
              <w:ind w:right="382"/>
              <w:spacing w:after="0"/>
              <w:rPr>
                <w:sz w:val="20"/>
                <w:szCs w:val="20"/>
                <w:color w:val="auto"/>
              </w:rPr>
            </w:pPr>
            <w:r>
              <w:rPr>
                <w:rFonts w:ascii="Arial" w:cs="Arial" w:eastAsia="Arial" w:hAnsi="Arial"/>
                <w:sz w:val="12"/>
                <w:szCs w:val="12"/>
                <w:b w:val="1"/>
                <w:bCs w:val="1"/>
                <w:color w:val="auto"/>
              </w:rPr>
              <w:t>308,478</w:t>
            </w:r>
          </w:p>
        </w:tc>
        <w:tc>
          <w:tcPr>
            <w:tcW w:w="900" w:type="dxa"/>
            <w:vAlign w:val="bottom"/>
            <w:tcBorders>
              <w:bottom w:val="single" w:sz="8" w:color="183964"/>
            </w:tcBorders>
          </w:tcPr>
          <w:p>
            <w:pPr>
              <w:jc w:val="right"/>
              <w:ind w:right="2"/>
              <w:spacing w:after="0"/>
              <w:rPr>
                <w:sz w:val="20"/>
                <w:szCs w:val="20"/>
                <w:color w:val="auto"/>
              </w:rPr>
            </w:pPr>
            <w:r>
              <w:rPr>
                <w:rFonts w:ascii="Arial" w:cs="Arial" w:eastAsia="Arial" w:hAnsi="Arial"/>
                <w:sz w:val="12"/>
                <w:szCs w:val="12"/>
                <w:color w:val="183964"/>
              </w:rPr>
              <w:t>350,515</w:t>
            </w:r>
          </w:p>
        </w:tc>
        <w:tc>
          <w:tcPr>
            <w:tcW w:w="20" w:type="dxa"/>
            <w:vAlign w:val="bottom"/>
          </w:tcPr>
          <w:p>
            <w:pPr>
              <w:spacing w:after="0"/>
              <w:rPr>
                <w:sz w:val="15"/>
                <w:szCs w:val="15"/>
                <w:color w:val="auto"/>
              </w:rPr>
            </w:pPr>
          </w:p>
        </w:tc>
      </w:tr>
      <w:tr>
        <w:trPr>
          <w:trHeight w:val="177"/>
        </w:trPr>
        <w:tc>
          <w:tcPr>
            <w:tcW w:w="6600" w:type="dxa"/>
            <w:vAlign w:val="bottom"/>
          </w:tcPr>
          <w:p>
            <w:pPr>
              <w:ind w:left="20"/>
              <w:spacing w:after="0"/>
              <w:rPr>
                <w:sz w:val="20"/>
                <w:szCs w:val="20"/>
                <w:color w:val="auto"/>
              </w:rPr>
            </w:pPr>
            <w:r>
              <w:rPr>
                <w:rFonts w:ascii="Arial" w:cs="Arial" w:eastAsia="Arial" w:hAnsi="Arial"/>
                <w:sz w:val="12"/>
                <w:szCs w:val="12"/>
                <w:b w:val="1"/>
                <w:bCs w:val="1"/>
                <w:color w:val="auto"/>
              </w:rPr>
              <w:t>Supplemental disclosure of non-cash investment and financing activities:</w:t>
            </w:r>
          </w:p>
        </w:tc>
        <w:tc>
          <w:tcPr>
            <w:tcW w:w="2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9"/>
        </w:trPr>
        <w:tc>
          <w:tcPr>
            <w:tcW w:w="6600" w:type="dxa"/>
            <w:vAlign w:val="bottom"/>
          </w:tcPr>
          <w:p>
            <w:pPr>
              <w:ind w:left="20"/>
              <w:spacing w:after="0"/>
              <w:rPr>
                <w:sz w:val="20"/>
                <w:szCs w:val="20"/>
                <w:color w:val="auto"/>
              </w:rPr>
            </w:pPr>
            <w:r>
              <w:rPr>
                <w:rFonts w:ascii="Arial" w:cs="Arial" w:eastAsia="Arial" w:hAnsi="Arial"/>
                <w:sz w:val="12"/>
                <w:szCs w:val="12"/>
                <w:color w:val="auto"/>
              </w:rPr>
              <w:t>Purchase of intangible assets not yet paid in cash</w:t>
            </w:r>
          </w:p>
        </w:tc>
        <w:tc>
          <w:tcPr>
            <w:tcW w:w="2420" w:type="dxa"/>
            <w:vAlign w:val="bottom"/>
          </w:tcPr>
          <w:p>
            <w:pPr>
              <w:spacing w:after="0"/>
              <w:rPr>
                <w:sz w:val="16"/>
                <w:szCs w:val="16"/>
                <w:color w:val="auto"/>
              </w:rPr>
            </w:pPr>
          </w:p>
        </w:tc>
        <w:tc>
          <w:tcPr>
            <w:tcW w:w="1300" w:type="dxa"/>
            <w:vAlign w:val="bottom"/>
          </w:tcPr>
          <w:p>
            <w:pPr>
              <w:jc w:val="right"/>
              <w:ind w:right="382"/>
              <w:spacing w:after="0"/>
              <w:rPr>
                <w:sz w:val="20"/>
                <w:szCs w:val="20"/>
                <w:color w:val="auto"/>
              </w:rPr>
            </w:pPr>
            <w:r>
              <w:rPr>
                <w:rFonts w:ascii="Arial" w:cs="Arial" w:eastAsia="Arial" w:hAnsi="Arial"/>
                <w:sz w:val="12"/>
                <w:szCs w:val="12"/>
                <w:b w:val="1"/>
                <w:bCs w:val="1"/>
                <w:color w:val="auto"/>
              </w:rPr>
              <w:t>—</w:t>
            </w:r>
          </w:p>
        </w:tc>
        <w:tc>
          <w:tcPr>
            <w:tcW w:w="900" w:type="dxa"/>
            <w:vAlign w:val="bottom"/>
          </w:tcPr>
          <w:p>
            <w:pPr>
              <w:jc w:val="right"/>
              <w:ind w:right="2"/>
              <w:spacing w:after="0"/>
              <w:rPr>
                <w:sz w:val="20"/>
                <w:szCs w:val="20"/>
                <w:color w:val="auto"/>
              </w:rPr>
            </w:pPr>
            <w:r>
              <w:rPr>
                <w:rFonts w:ascii="Arial" w:cs="Arial" w:eastAsia="Arial" w:hAnsi="Arial"/>
                <w:sz w:val="12"/>
                <w:szCs w:val="12"/>
                <w:color w:val="183964"/>
              </w:rPr>
              <w:t>200</w:t>
            </w:r>
          </w:p>
        </w:tc>
        <w:tc>
          <w:tcPr>
            <w:tcW w:w="20" w:type="dxa"/>
            <w:vAlign w:val="bottom"/>
          </w:tcPr>
          <w:p>
            <w:pPr>
              <w:spacing w:after="0"/>
              <w:rPr>
                <w:sz w:val="16"/>
                <w:szCs w:val="16"/>
                <w:color w:val="auto"/>
              </w:rPr>
            </w:pPr>
          </w:p>
        </w:tc>
      </w:tr>
      <w:tr>
        <w:trPr>
          <w:trHeight w:val="189"/>
        </w:trPr>
        <w:tc>
          <w:tcPr>
            <w:tcW w:w="6600" w:type="dxa"/>
            <w:vAlign w:val="bottom"/>
          </w:tcPr>
          <w:p>
            <w:pPr>
              <w:ind w:left="20"/>
              <w:spacing w:after="0"/>
              <w:rPr>
                <w:sz w:val="20"/>
                <w:szCs w:val="20"/>
                <w:color w:val="auto"/>
              </w:rPr>
            </w:pPr>
            <w:r>
              <w:rPr>
                <w:rFonts w:ascii="Arial" w:cs="Arial" w:eastAsia="Arial" w:hAnsi="Arial"/>
                <w:sz w:val="12"/>
                <w:szCs w:val="12"/>
                <w:color w:val="auto"/>
              </w:rPr>
              <w:t>Repurchase of ordinary shares not yet paid in cash</w:t>
            </w:r>
          </w:p>
        </w:tc>
        <w:tc>
          <w:tcPr>
            <w:tcW w:w="2420" w:type="dxa"/>
            <w:vAlign w:val="bottom"/>
          </w:tcPr>
          <w:p>
            <w:pPr>
              <w:spacing w:after="0"/>
              <w:rPr>
                <w:sz w:val="16"/>
                <w:szCs w:val="16"/>
                <w:color w:val="auto"/>
              </w:rPr>
            </w:pPr>
          </w:p>
        </w:tc>
        <w:tc>
          <w:tcPr>
            <w:tcW w:w="1300" w:type="dxa"/>
            <w:vAlign w:val="bottom"/>
          </w:tcPr>
          <w:p>
            <w:pPr>
              <w:jc w:val="right"/>
              <w:ind w:right="382"/>
              <w:spacing w:after="0"/>
              <w:rPr>
                <w:sz w:val="20"/>
                <w:szCs w:val="20"/>
                <w:color w:val="auto"/>
              </w:rPr>
            </w:pPr>
            <w:r>
              <w:rPr>
                <w:rFonts w:ascii="Arial" w:cs="Arial" w:eastAsia="Arial" w:hAnsi="Arial"/>
                <w:sz w:val="12"/>
                <w:szCs w:val="12"/>
                <w:b w:val="1"/>
                <w:bCs w:val="1"/>
                <w:color w:val="auto"/>
              </w:rPr>
              <w:t>2,929</w:t>
            </w: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183964"/>
              </w:rPr>
              <w:t>—</w:t>
            </w:r>
          </w:p>
        </w:tc>
      </w:tr>
      <w:tr>
        <w:trPr>
          <w:trHeight w:val="189"/>
        </w:trPr>
        <w:tc>
          <w:tcPr>
            <w:tcW w:w="6600" w:type="dxa"/>
            <w:vAlign w:val="bottom"/>
          </w:tcPr>
          <w:p>
            <w:pPr>
              <w:ind w:left="20"/>
              <w:spacing w:after="0"/>
              <w:rPr>
                <w:sz w:val="20"/>
                <w:szCs w:val="20"/>
                <w:color w:val="auto"/>
              </w:rPr>
            </w:pPr>
            <w:r>
              <w:rPr>
                <w:rFonts w:ascii="Arial" w:cs="Arial" w:eastAsia="Arial" w:hAnsi="Arial"/>
                <w:sz w:val="12"/>
                <w:szCs w:val="12"/>
                <w:color w:val="auto"/>
              </w:rPr>
              <w:t>Settlement of restricted stock units through issuance of equity</w:t>
            </w:r>
          </w:p>
        </w:tc>
        <w:tc>
          <w:tcPr>
            <w:tcW w:w="2420" w:type="dxa"/>
            <w:vAlign w:val="bottom"/>
          </w:tcPr>
          <w:p>
            <w:pPr>
              <w:spacing w:after="0"/>
              <w:rPr>
                <w:sz w:val="16"/>
                <w:szCs w:val="16"/>
                <w:color w:val="auto"/>
              </w:rPr>
            </w:pPr>
          </w:p>
        </w:tc>
        <w:tc>
          <w:tcPr>
            <w:tcW w:w="1300" w:type="dxa"/>
            <w:vAlign w:val="bottom"/>
          </w:tcPr>
          <w:p>
            <w:pPr>
              <w:jc w:val="right"/>
              <w:ind w:right="382"/>
              <w:spacing w:after="0"/>
              <w:rPr>
                <w:sz w:val="20"/>
                <w:szCs w:val="20"/>
                <w:color w:val="auto"/>
              </w:rPr>
            </w:pPr>
            <w:r>
              <w:rPr>
                <w:rFonts w:ascii="Arial" w:cs="Arial" w:eastAsia="Arial" w:hAnsi="Arial"/>
                <w:sz w:val="12"/>
                <w:szCs w:val="12"/>
                <w:b w:val="1"/>
                <w:bCs w:val="1"/>
                <w:color w:val="auto"/>
              </w:rPr>
              <w:t>1,301</w:t>
            </w:r>
          </w:p>
        </w:tc>
        <w:tc>
          <w:tcPr>
            <w:tcW w:w="900" w:type="dxa"/>
            <w:vAlign w:val="bottom"/>
          </w:tcPr>
          <w:p>
            <w:pPr>
              <w:jc w:val="right"/>
              <w:ind w:right="2"/>
              <w:spacing w:after="0"/>
              <w:rPr>
                <w:sz w:val="20"/>
                <w:szCs w:val="20"/>
                <w:color w:val="auto"/>
              </w:rPr>
            </w:pPr>
            <w:r>
              <w:rPr>
                <w:rFonts w:ascii="Arial" w:cs="Arial" w:eastAsia="Arial" w:hAnsi="Arial"/>
                <w:sz w:val="12"/>
                <w:szCs w:val="12"/>
                <w:color w:val="183964"/>
              </w:rPr>
              <w:t>424</w:t>
            </w:r>
          </w:p>
        </w:tc>
        <w:tc>
          <w:tcPr>
            <w:tcW w:w="20" w:type="dxa"/>
            <w:vAlign w:val="bottom"/>
          </w:tcPr>
          <w:p>
            <w:pPr>
              <w:spacing w:after="0"/>
              <w:rPr>
                <w:sz w:val="16"/>
                <w:szCs w:val="16"/>
                <w:color w:val="auto"/>
              </w:rPr>
            </w:pPr>
          </w:p>
        </w:tc>
      </w:tr>
      <w:tr>
        <w:trPr>
          <w:trHeight w:val="815"/>
        </w:trPr>
        <w:tc>
          <w:tcPr>
            <w:tcW w:w="660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22" w:right="339" w:bottom="1440" w:gutter="0" w:footer="0" w:header="0"/>
        </w:sectPr>
      </w:pPr>
    </w:p>
    <w:bookmarkStart w:id="23" w:name="page24"/>
    <w:bookmarkEnd w:id="23"/>
    <w:p>
      <w:pPr>
        <w:spacing w:after="0"/>
        <w:rPr>
          <w:sz w:val="20"/>
          <w:szCs w:val="20"/>
          <w:color w:val="auto"/>
        </w:rPr>
      </w:pPr>
      <w:r>
        <w:rPr>
          <w:rFonts w:ascii="Arial" w:cs="Arial" w:eastAsia="Arial" w:hAnsi="Arial"/>
          <w:sz w:val="15"/>
          <w:szCs w:val="15"/>
          <w:b w:val="1"/>
          <w:bCs w:val="1"/>
          <w:color w:val="183964"/>
        </w:rPr>
        <w:t>Supplemental disclosure of non-cash investment and financing activities (continued):</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color w:val="183964"/>
        </w:rPr>
        <w:t>Assets, Liabilities and non-controlling interests in deconsolidated subsidiary</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660" w:type="dxa"/>
            <w:vAlign w:val="bottom"/>
          </w:tcPr>
          <w:p>
            <w:pPr>
              <w:spacing w:after="0"/>
              <w:rPr>
                <w:sz w:val="10"/>
                <w:szCs w:val="10"/>
                <w:color w:val="auto"/>
              </w:rPr>
            </w:pPr>
          </w:p>
        </w:tc>
        <w:tc>
          <w:tcPr>
            <w:tcW w:w="4560" w:type="dxa"/>
            <w:vAlign w:val="bottom"/>
          </w:tcPr>
          <w:p>
            <w:pPr>
              <w:jc w:val="right"/>
              <w:spacing w:after="0"/>
              <w:rPr>
                <w:sz w:val="20"/>
                <w:szCs w:val="20"/>
                <w:color w:val="auto"/>
              </w:rPr>
            </w:pPr>
            <w:r>
              <w:rPr>
                <w:rFonts w:ascii="Arial" w:cs="Arial" w:eastAsia="Arial" w:hAnsi="Arial"/>
                <w:sz w:val="11"/>
                <w:szCs w:val="11"/>
                <w:color w:val="183964"/>
              </w:rPr>
              <w:t>2023</w:t>
            </w:r>
          </w:p>
        </w:tc>
      </w:tr>
      <w:tr>
        <w:trPr>
          <w:trHeight w:val="142"/>
        </w:trPr>
        <w:tc>
          <w:tcPr>
            <w:tcW w:w="6660" w:type="dxa"/>
            <w:vAlign w:val="bottom"/>
          </w:tcPr>
          <w:p>
            <w:pPr>
              <w:spacing w:after="0"/>
              <w:rPr>
                <w:sz w:val="12"/>
                <w:szCs w:val="12"/>
                <w:color w:val="auto"/>
              </w:rPr>
            </w:pPr>
          </w:p>
        </w:tc>
        <w:tc>
          <w:tcPr>
            <w:tcW w:w="4560" w:type="dxa"/>
            <w:vAlign w:val="bottom"/>
          </w:tcPr>
          <w:p>
            <w:pPr>
              <w:jc w:val="right"/>
              <w:spacing w:after="0"/>
              <w:rPr>
                <w:sz w:val="20"/>
                <w:szCs w:val="20"/>
                <w:color w:val="auto"/>
              </w:rPr>
            </w:pPr>
            <w:r>
              <w:rPr>
                <w:rFonts w:ascii="Arial" w:cs="Arial" w:eastAsia="Arial" w:hAnsi="Arial"/>
                <w:sz w:val="11"/>
                <w:szCs w:val="11"/>
                <w:color w:val="183964"/>
              </w:rPr>
              <w:t>$000s</w:t>
            </w:r>
          </w:p>
        </w:tc>
      </w:tr>
      <w:tr>
        <w:trPr>
          <w:trHeight w:val="33"/>
        </w:trPr>
        <w:tc>
          <w:tcPr>
            <w:tcW w:w="6660" w:type="dxa"/>
            <w:vAlign w:val="bottom"/>
            <w:tcBorders>
              <w:bottom w:val="single" w:sz="8" w:color="183964"/>
            </w:tcBorders>
          </w:tcPr>
          <w:p>
            <w:pPr>
              <w:spacing w:after="0"/>
              <w:rPr>
                <w:sz w:val="2"/>
                <w:szCs w:val="2"/>
                <w:color w:val="auto"/>
              </w:rPr>
            </w:pPr>
          </w:p>
        </w:tc>
        <w:tc>
          <w:tcPr>
            <w:tcW w:w="4560" w:type="dxa"/>
            <w:vAlign w:val="bottom"/>
            <w:tcBorders>
              <w:bottom w:val="single" w:sz="8" w:color="183964"/>
            </w:tcBorders>
          </w:tcPr>
          <w:p>
            <w:pPr>
              <w:spacing w:after="0"/>
              <w:rPr>
                <w:sz w:val="2"/>
                <w:szCs w:val="2"/>
                <w:color w:val="auto"/>
              </w:rPr>
            </w:pPr>
          </w:p>
        </w:tc>
      </w:tr>
      <w:tr>
        <w:trPr>
          <w:trHeight w:val="165"/>
        </w:trPr>
        <w:tc>
          <w:tcPr>
            <w:tcW w:w="6660" w:type="dxa"/>
            <w:vAlign w:val="bottom"/>
          </w:tcPr>
          <w:p>
            <w:pPr>
              <w:ind w:left="20"/>
              <w:spacing w:after="0"/>
              <w:rPr>
                <w:sz w:val="20"/>
                <w:szCs w:val="20"/>
                <w:color w:val="auto"/>
              </w:rPr>
            </w:pPr>
            <w:r>
              <w:rPr>
                <w:rFonts w:ascii="Arial" w:cs="Arial" w:eastAsia="Arial" w:hAnsi="Arial"/>
                <w:sz w:val="12"/>
                <w:szCs w:val="12"/>
                <w:color w:val="auto"/>
              </w:rPr>
              <w:t>Trade and other receivables</w:t>
            </w:r>
          </w:p>
        </w:tc>
        <w:tc>
          <w:tcPr>
            <w:tcW w:w="4560" w:type="dxa"/>
            <w:vAlign w:val="bottom"/>
          </w:tcPr>
          <w:p>
            <w:pPr>
              <w:jc w:val="right"/>
              <w:spacing w:after="0"/>
              <w:rPr>
                <w:sz w:val="20"/>
                <w:szCs w:val="20"/>
                <w:color w:val="auto"/>
              </w:rPr>
            </w:pPr>
            <w:r>
              <w:rPr>
                <w:rFonts w:ascii="Arial" w:cs="Arial" w:eastAsia="Arial" w:hAnsi="Arial"/>
                <w:sz w:val="12"/>
                <w:szCs w:val="12"/>
                <w:color w:val="183964"/>
              </w:rPr>
              <w:t>(702)</w:t>
            </w:r>
          </w:p>
        </w:tc>
      </w:tr>
      <w:tr>
        <w:trPr>
          <w:trHeight w:val="189"/>
        </w:trPr>
        <w:tc>
          <w:tcPr>
            <w:tcW w:w="6660" w:type="dxa"/>
            <w:vAlign w:val="bottom"/>
          </w:tcPr>
          <w:p>
            <w:pPr>
              <w:ind w:left="20"/>
              <w:spacing w:after="0"/>
              <w:rPr>
                <w:sz w:val="20"/>
                <w:szCs w:val="20"/>
                <w:color w:val="auto"/>
              </w:rPr>
            </w:pPr>
            <w:r>
              <w:rPr>
                <w:rFonts w:ascii="Arial" w:cs="Arial" w:eastAsia="Arial" w:hAnsi="Arial"/>
                <w:sz w:val="12"/>
                <w:szCs w:val="12"/>
                <w:color w:val="auto"/>
              </w:rPr>
              <w:t>Prepaid assets</w:t>
            </w:r>
          </w:p>
        </w:tc>
        <w:tc>
          <w:tcPr>
            <w:tcW w:w="4560" w:type="dxa"/>
            <w:vAlign w:val="bottom"/>
          </w:tcPr>
          <w:p>
            <w:pPr>
              <w:jc w:val="right"/>
              <w:spacing w:after="0"/>
              <w:rPr>
                <w:sz w:val="20"/>
                <w:szCs w:val="20"/>
                <w:color w:val="auto"/>
              </w:rPr>
            </w:pPr>
            <w:r>
              <w:rPr>
                <w:rFonts w:ascii="Arial" w:cs="Arial" w:eastAsia="Arial" w:hAnsi="Arial"/>
                <w:sz w:val="12"/>
                <w:szCs w:val="12"/>
                <w:color w:val="183964"/>
              </w:rPr>
              <w:t>(3,516)</w:t>
            </w:r>
          </w:p>
        </w:tc>
      </w:tr>
      <w:tr>
        <w:trPr>
          <w:trHeight w:val="189"/>
        </w:trPr>
        <w:tc>
          <w:tcPr>
            <w:tcW w:w="6660" w:type="dxa"/>
            <w:vAlign w:val="bottom"/>
          </w:tcPr>
          <w:p>
            <w:pPr>
              <w:ind w:left="20"/>
              <w:spacing w:after="0"/>
              <w:rPr>
                <w:sz w:val="20"/>
                <w:szCs w:val="20"/>
                <w:color w:val="auto"/>
              </w:rPr>
            </w:pPr>
            <w:r>
              <w:rPr>
                <w:rFonts w:ascii="Arial" w:cs="Arial" w:eastAsia="Arial" w:hAnsi="Arial"/>
                <w:sz w:val="12"/>
                <w:szCs w:val="12"/>
                <w:color w:val="auto"/>
              </w:rPr>
              <w:t>Property, plant and equipment, net</w:t>
            </w:r>
          </w:p>
        </w:tc>
        <w:tc>
          <w:tcPr>
            <w:tcW w:w="4560" w:type="dxa"/>
            <w:vAlign w:val="bottom"/>
          </w:tcPr>
          <w:p>
            <w:pPr>
              <w:jc w:val="right"/>
              <w:spacing w:after="0"/>
              <w:rPr>
                <w:sz w:val="20"/>
                <w:szCs w:val="20"/>
                <w:color w:val="auto"/>
              </w:rPr>
            </w:pPr>
            <w:r>
              <w:rPr>
                <w:rFonts w:ascii="Arial" w:cs="Arial" w:eastAsia="Arial" w:hAnsi="Arial"/>
                <w:sz w:val="12"/>
                <w:szCs w:val="12"/>
                <w:color w:val="183964"/>
              </w:rPr>
              <w:t>(8,092)</w:t>
            </w:r>
          </w:p>
        </w:tc>
      </w:tr>
      <w:tr>
        <w:trPr>
          <w:trHeight w:val="189"/>
        </w:trPr>
        <w:tc>
          <w:tcPr>
            <w:tcW w:w="6660" w:type="dxa"/>
            <w:vAlign w:val="bottom"/>
          </w:tcPr>
          <w:p>
            <w:pPr>
              <w:ind w:left="20"/>
              <w:spacing w:after="0"/>
              <w:rPr>
                <w:sz w:val="20"/>
                <w:szCs w:val="20"/>
                <w:color w:val="auto"/>
              </w:rPr>
            </w:pPr>
            <w:r>
              <w:rPr>
                <w:rFonts w:ascii="Arial" w:cs="Arial" w:eastAsia="Arial" w:hAnsi="Arial"/>
                <w:sz w:val="12"/>
                <w:szCs w:val="12"/>
                <w:color w:val="auto"/>
              </w:rPr>
              <w:t>Right of use asset, net</w:t>
            </w:r>
          </w:p>
        </w:tc>
        <w:tc>
          <w:tcPr>
            <w:tcW w:w="4560" w:type="dxa"/>
            <w:vAlign w:val="bottom"/>
          </w:tcPr>
          <w:p>
            <w:pPr>
              <w:jc w:val="right"/>
              <w:spacing w:after="0"/>
              <w:rPr>
                <w:sz w:val="20"/>
                <w:szCs w:val="20"/>
                <w:color w:val="auto"/>
              </w:rPr>
            </w:pPr>
            <w:r>
              <w:rPr>
                <w:rFonts w:ascii="Arial" w:cs="Arial" w:eastAsia="Arial" w:hAnsi="Arial"/>
                <w:sz w:val="12"/>
                <w:szCs w:val="12"/>
                <w:color w:val="183964"/>
              </w:rPr>
              <w:t>(2,477)</w:t>
            </w:r>
          </w:p>
        </w:tc>
      </w:tr>
      <w:tr>
        <w:trPr>
          <w:trHeight w:val="189"/>
        </w:trPr>
        <w:tc>
          <w:tcPr>
            <w:tcW w:w="6660" w:type="dxa"/>
            <w:vAlign w:val="bottom"/>
          </w:tcPr>
          <w:p>
            <w:pPr>
              <w:ind w:left="20"/>
              <w:spacing w:after="0"/>
              <w:rPr>
                <w:sz w:val="20"/>
                <w:szCs w:val="20"/>
                <w:color w:val="auto"/>
              </w:rPr>
            </w:pPr>
            <w:r>
              <w:rPr>
                <w:rFonts w:ascii="Arial" w:cs="Arial" w:eastAsia="Arial" w:hAnsi="Arial"/>
                <w:sz w:val="12"/>
                <w:szCs w:val="12"/>
                <w:color w:val="auto"/>
              </w:rPr>
              <w:t>Trade and other Payables</w:t>
            </w:r>
          </w:p>
        </w:tc>
        <w:tc>
          <w:tcPr>
            <w:tcW w:w="4560" w:type="dxa"/>
            <w:vAlign w:val="bottom"/>
          </w:tcPr>
          <w:p>
            <w:pPr>
              <w:jc w:val="right"/>
              <w:ind w:right="2"/>
              <w:spacing w:after="0"/>
              <w:rPr>
                <w:sz w:val="20"/>
                <w:szCs w:val="20"/>
                <w:color w:val="auto"/>
              </w:rPr>
            </w:pPr>
            <w:r>
              <w:rPr>
                <w:rFonts w:ascii="Arial" w:cs="Arial" w:eastAsia="Arial" w:hAnsi="Arial"/>
                <w:sz w:val="12"/>
                <w:szCs w:val="12"/>
                <w:color w:val="183964"/>
              </w:rPr>
              <w:t>15,078</w:t>
            </w:r>
          </w:p>
        </w:tc>
      </w:tr>
      <w:tr>
        <w:trPr>
          <w:trHeight w:val="189"/>
        </w:trPr>
        <w:tc>
          <w:tcPr>
            <w:tcW w:w="6660" w:type="dxa"/>
            <w:vAlign w:val="bottom"/>
          </w:tcPr>
          <w:p>
            <w:pPr>
              <w:ind w:left="20"/>
              <w:spacing w:after="0"/>
              <w:rPr>
                <w:sz w:val="20"/>
                <w:szCs w:val="20"/>
                <w:color w:val="auto"/>
              </w:rPr>
            </w:pPr>
            <w:r>
              <w:rPr>
                <w:rFonts w:ascii="Arial" w:cs="Arial" w:eastAsia="Arial" w:hAnsi="Arial"/>
                <w:sz w:val="12"/>
                <w:szCs w:val="12"/>
                <w:color w:val="auto"/>
              </w:rPr>
              <w:t>Deferred revenue</w:t>
            </w:r>
          </w:p>
        </w:tc>
        <w:tc>
          <w:tcPr>
            <w:tcW w:w="4560" w:type="dxa"/>
            <w:vAlign w:val="bottom"/>
          </w:tcPr>
          <w:p>
            <w:pPr>
              <w:jc w:val="right"/>
              <w:ind w:right="2"/>
              <w:spacing w:after="0"/>
              <w:rPr>
                <w:sz w:val="20"/>
                <w:szCs w:val="20"/>
                <w:color w:val="auto"/>
              </w:rPr>
            </w:pPr>
            <w:r>
              <w:rPr>
                <w:rFonts w:ascii="Arial" w:cs="Arial" w:eastAsia="Arial" w:hAnsi="Arial"/>
                <w:sz w:val="12"/>
                <w:szCs w:val="12"/>
                <w:color w:val="183964"/>
              </w:rPr>
              <w:t>1,902</w:t>
            </w:r>
          </w:p>
        </w:tc>
      </w:tr>
      <w:tr>
        <w:trPr>
          <w:trHeight w:val="189"/>
        </w:trPr>
        <w:tc>
          <w:tcPr>
            <w:tcW w:w="6660" w:type="dxa"/>
            <w:vAlign w:val="bottom"/>
          </w:tcPr>
          <w:p>
            <w:pPr>
              <w:ind w:left="20"/>
              <w:spacing w:after="0"/>
              <w:rPr>
                <w:sz w:val="20"/>
                <w:szCs w:val="20"/>
                <w:color w:val="auto"/>
              </w:rPr>
            </w:pPr>
            <w:r>
              <w:rPr>
                <w:rFonts w:ascii="Arial" w:cs="Arial" w:eastAsia="Arial" w:hAnsi="Arial"/>
                <w:sz w:val="12"/>
                <w:szCs w:val="12"/>
                <w:color w:val="auto"/>
              </w:rPr>
              <w:t>Lease liabilities (including current potion)</w:t>
            </w:r>
          </w:p>
        </w:tc>
        <w:tc>
          <w:tcPr>
            <w:tcW w:w="4560" w:type="dxa"/>
            <w:vAlign w:val="bottom"/>
          </w:tcPr>
          <w:p>
            <w:pPr>
              <w:jc w:val="right"/>
              <w:ind w:right="2"/>
              <w:spacing w:after="0"/>
              <w:rPr>
                <w:sz w:val="20"/>
                <w:szCs w:val="20"/>
                <w:color w:val="auto"/>
              </w:rPr>
            </w:pPr>
            <w:r>
              <w:rPr>
                <w:rFonts w:ascii="Arial" w:cs="Arial" w:eastAsia="Arial" w:hAnsi="Arial"/>
                <w:sz w:val="12"/>
                <w:szCs w:val="12"/>
                <w:color w:val="183964"/>
              </w:rPr>
              <w:t>4,146</w:t>
            </w:r>
          </w:p>
        </w:tc>
      </w:tr>
      <w:tr>
        <w:trPr>
          <w:trHeight w:val="189"/>
        </w:trPr>
        <w:tc>
          <w:tcPr>
            <w:tcW w:w="6660" w:type="dxa"/>
            <w:vAlign w:val="bottom"/>
          </w:tcPr>
          <w:p>
            <w:pPr>
              <w:ind w:left="20"/>
              <w:spacing w:after="0"/>
              <w:rPr>
                <w:sz w:val="20"/>
                <w:szCs w:val="20"/>
                <w:color w:val="auto"/>
              </w:rPr>
            </w:pPr>
            <w:r>
              <w:rPr>
                <w:rFonts w:ascii="Arial" w:cs="Arial" w:eastAsia="Arial" w:hAnsi="Arial"/>
                <w:sz w:val="12"/>
                <w:szCs w:val="12"/>
                <w:color w:val="auto"/>
              </w:rPr>
              <w:t>Long-term loan (including current portion)</w:t>
            </w:r>
          </w:p>
        </w:tc>
        <w:tc>
          <w:tcPr>
            <w:tcW w:w="4560" w:type="dxa"/>
            <w:vAlign w:val="bottom"/>
          </w:tcPr>
          <w:p>
            <w:pPr>
              <w:jc w:val="right"/>
              <w:ind w:right="2"/>
              <w:spacing w:after="0"/>
              <w:rPr>
                <w:sz w:val="20"/>
                <w:szCs w:val="20"/>
                <w:color w:val="auto"/>
              </w:rPr>
            </w:pPr>
            <w:r>
              <w:rPr>
                <w:rFonts w:ascii="Arial" w:cs="Arial" w:eastAsia="Arial" w:hAnsi="Arial"/>
                <w:sz w:val="12"/>
                <w:szCs w:val="12"/>
                <w:color w:val="183964"/>
              </w:rPr>
              <w:t>15,446</w:t>
            </w:r>
          </w:p>
        </w:tc>
      </w:tr>
      <w:tr>
        <w:trPr>
          <w:trHeight w:val="189"/>
        </w:trPr>
        <w:tc>
          <w:tcPr>
            <w:tcW w:w="6660" w:type="dxa"/>
            <w:vAlign w:val="bottom"/>
          </w:tcPr>
          <w:p>
            <w:pPr>
              <w:ind w:left="20"/>
              <w:spacing w:after="0"/>
              <w:rPr>
                <w:sz w:val="20"/>
                <w:szCs w:val="20"/>
                <w:color w:val="auto"/>
              </w:rPr>
            </w:pPr>
            <w:r>
              <w:rPr>
                <w:rFonts w:ascii="Arial" w:cs="Arial" w:eastAsia="Arial" w:hAnsi="Arial"/>
                <w:sz w:val="12"/>
                <w:szCs w:val="12"/>
                <w:color w:val="auto"/>
              </w:rPr>
              <w:t>Subsidiary preferred shares and warrants</w:t>
            </w:r>
          </w:p>
        </w:tc>
        <w:tc>
          <w:tcPr>
            <w:tcW w:w="4560" w:type="dxa"/>
            <w:vAlign w:val="bottom"/>
          </w:tcPr>
          <w:p>
            <w:pPr>
              <w:jc w:val="right"/>
              <w:ind w:right="2"/>
              <w:spacing w:after="0"/>
              <w:rPr>
                <w:sz w:val="20"/>
                <w:szCs w:val="20"/>
                <w:color w:val="auto"/>
              </w:rPr>
            </w:pPr>
            <w:r>
              <w:rPr>
                <w:rFonts w:ascii="Arial" w:cs="Arial" w:eastAsia="Arial" w:hAnsi="Arial"/>
                <w:sz w:val="12"/>
                <w:szCs w:val="12"/>
                <w:color w:val="183964"/>
              </w:rPr>
              <w:t>24,568</w:t>
            </w:r>
          </w:p>
        </w:tc>
      </w:tr>
      <w:tr>
        <w:trPr>
          <w:trHeight w:val="189"/>
        </w:trPr>
        <w:tc>
          <w:tcPr>
            <w:tcW w:w="6660" w:type="dxa"/>
            <w:vAlign w:val="bottom"/>
          </w:tcPr>
          <w:p>
            <w:pPr>
              <w:ind w:left="20"/>
              <w:spacing w:after="0"/>
              <w:rPr>
                <w:sz w:val="20"/>
                <w:szCs w:val="20"/>
                <w:color w:val="auto"/>
              </w:rPr>
            </w:pPr>
            <w:r>
              <w:rPr>
                <w:rFonts w:ascii="Arial" w:cs="Arial" w:eastAsia="Arial" w:hAnsi="Arial"/>
                <w:sz w:val="12"/>
                <w:szCs w:val="12"/>
                <w:color w:val="auto"/>
              </w:rPr>
              <w:t>Other assets and liabilities, net</w:t>
            </w:r>
          </w:p>
        </w:tc>
        <w:tc>
          <w:tcPr>
            <w:tcW w:w="4560" w:type="dxa"/>
            <w:vAlign w:val="bottom"/>
          </w:tcPr>
          <w:p>
            <w:pPr>
              <w:jc w:val="right"/>
              <w:spacing w:after="0"/>
              <w:rPr>
                <w:sz w:val="20"/>
                <w:szCs w:val="20"/>
                <w:color w:val="auto"/>
              </w:rPr>
            </w:pPr>
            <w:r>
              <w:rPr>
                <w:rFonts w:ascii="Arial" w:cs="Arial" w:eastAsia="Arial" w:hAnsi="Arial"/>
                <w:sz w:val="12"/>
                <w:szCs w:val="12"/>
                <w:color w:val="183964"/>
              </w:rPr>
              <w:t>(323)</w:t>
            </w:r>
          </w:p>
        </w:tc>
      </w:tr>
      <w:tr>
        <w:trPr>
          <w:trHeight w:val="200"/>
        </w:trPr>
        <w:tc>
          <w:tcPr>
            <w:tcW w:w="6660" w:type="dxa"/>
            <w:vAlign w:val="bottom"/>
            <w:tcBorders>
              <w:bottom w:val="single" w:sz="8" w:color="183964"/>
            </w:tcBorders>
          </w:tcPr>
          <w:p>
            <w:pPr>
              <w:ind w:left="20"/>
              <w:spacing w:after="0"/>
              <w:rPr>
                <w:sz w:val="20"/>
                <w:szCs w:val="20"/>
                <w:color w:val="auto"/>
              </w:rPr>
            </w:pPr>
            <w:r>
              <w:rPr>
                <w:rFonts w:ascii="Arial" w:cs="Arial" w:eastAsia="Arial" w:hAnsi="Arial"/>
                <w:sz w:val="12"/>
                <w:szCs w:val="12"/>
                <w:color w:val="auto"/>
              </w:rPr>
              <w:t>Non-controlling interest</w:t>
            </w:r>
          </w:p>
        </w:tc>
        <w:tc>
          <w:tcPr>
            <w:tcW w:w="4560" w:type="dxa"/>
            <w:vAlign w:val="bottom"/>
            <w:tcBorders>
              <w:bottom w:val="single" w:sz="8" w:color="183964"/>
            </w:tcBorders>
          </w:tcPr>
          <w:p>
            <w:pPr>
              <w:jc w:val="right"/>
              <w:ind w:right="2"/>
              <w:spacing w:after="0"/>
              <w:rPr>
                <w:sz w:val="20"/>
                <w:szCs w:val="20"/>
                <w:color w:val="auto"/>
              </w:rPr>
            </w:pPr>
            <w:r>
              <w:rPr>
                <w:rFonts w:ascii="Arial" w:cs="Arial" w:eastAsia="Arial" w:hAnsi="Arial"/>
                <w:sz w:val="12"/>
                <w:szCs w:val="12"/>
                <w:color w:val="183964"/>
              </w:rPr>
              <w:t>9,085</w:t>
            </w:r>
          </w:p>
        </w:tc>
      </w:tr>
      <w:tr>
        <w:trPr>
          <w:trHeight w:val="171"/>
        </w:trPr>
        <w:tc>
          <w:tcPr>
            <w:tcW w:w="6660" w:type="dxa"/>
            <w:vAlign w:val="bottom"/>
          </w:tcPr>
          <w:p>
            <w:pPr>
              <w:spacing w:after="0"/>
              <w:rPr>
                <w:sz w:val="14"/>
                <w:szCs w:val="14"/>
                <w:color w:val="auto"/>
              </w:rPr>
            </w:pPr>
          </w:p>
        </w:tc>
        <w:tc>
          <w:tcPr>
            <w:tcW w:w="4560" w:type="dxa"/>
            <w:vAlign w:val="bottom"/>
          </w:tcPr>
          <w:p>
            <w:pPr>
              <w:jc w:val="right"/>
              <w:ind w:right="2"/>
              <w:spacing w:after="0"/>
              <w:rPr>
                <w:sz w:val="20"/>
                <w:szCs w:val="20"/>
                <w:color w:val="auto"/>
              </w:rPr>
            </w:pPr>
            <w:r>
              <w:rPr>
                <w:rFonts w:ascii="Arial" w:cs="Arial" w:eastAsia="Arial" w:hAnsi="Arial"/>
                <w:sz w:val="12"/>
                <w:szCs w:val="12"/>
                <w:color w:val="183964"/>
              </w:rPr>
              <w:t>55,115</w:t>
            </w:r>
          </w:p>
        </w:tc>
      </w:tr>
      <w:tr>
        <w:trPr>
          <w:trHeight w:val="189"/>
        </w:trPr>
        <w:tc>
          <w:tcPr>
            <w:tcW w:w="6660" w:type="dxa"/>
            <w:vAlign w:val="bottom"/>
          </w:tcPr>
          <w:p>
            <w:pPr>
              <w:ind w:left="20"/>
              <w:spacing w:after="0"/>
              <w:rPr>
                <w:sz w:val="20"/>
                <w:szCs w:val="20"/>
                <w:color w:val="auto"/>
              </w:rPr>
            </w:pPr>
            <w:r>
              <w:rPr>
                <w:rFonts w:ascii="Arial" w:cs="Arial" w:eastAsia="Arial" w:hAnsi="Arial"/>
                <w:sz w:val="12"/>
                <w:szCs w:val="12"/>
                <w:color w:val="auto"/>
              </w:rPr>
              <w:t>Investment retained in deconsolidated subsidiary</w:t>
            </w:r>
          </w:p>
        </w:tc>
        <w:tc>
          <w:tcPr>
            <w:tcW w:w="4560" w:type="dxa"/>
            <w:vAlign w:val="bottom"/>
          </w:tcPr>
          <w:p>
            <w:pPr>
              <w:jc w:val="right"/>
              <w:ind w:right="2"/>
              <w:spacing w:after="0"/>
              <w:rPr>
                <w:sz w:val="20"/>
                <w:szCs w:val="20"/>
                <w:color w:val="auto"/>
              </w:rPr>
            </w:pPr>
            <w:r>
              <w:rPr>
                <w:rFonts w:ascii="Arial" w:cs="Arial" w:eastAsia="Arial" w:hAnsi="Arial"/>
                <w:sz w:val="12"/>
                <w:szCs w:val="12"/>
                <w:color w:val="183964"/>
              </w:rPr>
              <w:t>20,456</w:t>
            </w:r>
          </w:p>
        </w:tc>
      </w:tr>
      <w:tr>
        <w:trPr>
          <w:trHeight w:val="201"/>
        </w:trPr>
        <w:tc>
          <w:tcPr>
            <w:tcW w:w="6660" w:type="dxa"/>
            <w:vAlign w:val="bottom"/>
            <w:tcBorders>
              <w:bottom w:val="single" w:sz="8" w:color="183964"/>
            </w:tcBorders>
          </w:tcPr>
          <w:p>
            <w:pPr>
              <w:ind w:left="20"/>
              <w:spacing w:after="0"/>
              <w:rPr>
                <w:sz w:val="20"/>
                <w:szCs w:val="20"/>
                <w:color w:val="auto"/>
              </w:rPr>
            </w:pPr>
            <w:r>
              <w:rPr>
                <w:rFonts w:ascii="Arial" w:cs="Arial" w:eastAsia="Arial" w:hAnsi="Arial"/>
                <w:sz w:val="12"/>
                <w:szCs w:val="12"/>
                <w:color w:val="auto"/>
              </w:rPr>
              <w:t>Gain on deconsolidation</w:t>
            </w:r>
          </w:p>
        </w:tc>
        <w:tc>
          <w:tcPr>
            <w:tcW w:w="4560" w:type="dxa"/>
            <w:vAlign w:val="bottom"/>
            <w:tcBorders>
              <w:bottom w:val="single" w:sz="8" w:color="183964"/>
            </w:tcBorders>
          </w:tcPr>
          <w:p>
            <w:pPr>
              <w:jc w:val="right"/>
              <w:spacing w:after="0"/>
              <w:rPr>
                <w:sz w:val="20"/>
                <w:szCs w:val="20"/>
                <w:color w:val="auto"/>
              </w:rPr>
            </w:pPr>
            <w:r>
              <w:rPr>
                <w:rFonts w:ascii="Arial" w:cs="Arial" w:eastAsia="Arial" w:hAnsi="Arial"/>
                <w:sz w:val="12"/>
                <w:szCs w:val="12"/>
                <w:color w:val="183964"/>
              </w:rPr>
              <w:t>(61,787)</w:t>
            </w:r>
          </w:p>
        </w:tc>
      </w:tr>
      <w:tr>
        <w:trPr>
          <w:trHeight w:val="183"/>
        </w:trPr>
        <w:tc>
          <w:tcPr>
            <w:tcW w:w="6660" w:type="dxa"/>
            <w:vAlign w:val="bottom"/>
            <w:tcBorders>
              <w:bottom w:val="single" w:sz="8" w:color="183964"/>
            </w:tcBorders>
          </w:tcPr>
          <w:p>
            <w:pPr>
              <w:ind w:left="20"/>
              <w:spacing w:after="0"/>
              <w:rPr>
                <w:sz w:val="20"/>
                <w:szCs w:val="20"/>
                <w:color w:val="auto"/>
              </w:rPr>
            </w:pPr>
            <w:r>
              <w:rPr>
                <w:rFonts w:ascii="Arial" w:cs="Arial" w:eastAsia="Arial" w:hAnsi="Arial"/>
                <w:sz w:val="12"/>
                <w:szCs w:val="12"/>
                <w:b w:val="1"/>
                <w:bCs w:val="1"/>
                <w:color w:val="auto"/>
              </w:rPr>
              <w:t>Cash in deconsolidated subsidiary</w:t>
            </w:r>
          </w:p>
        </w:tc>
        <w:tc>
          <w:tcPr>
            <w:tcW w:w="4560" w:type="dxa"/>
            <w:vAlign w:val="bottom"/>
            <w:tcBorders>
              <w:bottom w:val="single" w:sz="8" w:color="183964"/>
            </w:tcBorders>
          </w:tcPr>
          <w:p>
            <w:pPr>
              <w:jc w:val="right"/>
              <w:ind w:right="2"/>
              <w:spacing w:after="0"/>
              <w:rPr>
                <w:sz w:val="20"/>
                <w:szCs w:val="20"/>
                <w:color w:val="auto"/>
              </w:rPr>
            </w:pPr>
            <w:r>
              <w:rPr>
                <w:rFonts w:ascii="Arial" w:cs="Arial" w:eastAsia="Arial" w:hAnsi="Arial"/>
                <w:sz w:val="12"/>
                <w:szCs w:val="12"/>
                <w:color w:val="183964"/>
              </w:rPr>
              <w:t>13,784</w:t>
            </w:r>
          </w:p>
        </w:tc>
      </w:tr>
    </w:tbl>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The accompanying notes are an integral part of these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28" w:right="359" w:bottom="1440" w:gutter="0" w:footer="0" w:header="0"/>
        </w:sectPr>
      </w:pPr>
    </w:p>
    <w:bookmarkStart w:id="24" w:name="page25"/>
    <w:bookmarkEnd w:id="24"/>
    <w:p>
      <w:pPr>
        <w:spacing w:after="0"/>
        <w:rPr>
          <w:sz w:val="20"/>
          <w:szCs w:val="20"/>
          <w:color w:val="auto"/>
        </w:rPr>
      </w:pPr>
      <w:r>
        <w:rPr>
          <w:rFonts w:ascii="Arial" w:cs="Arial" w:eastAsia="Arial" w:hAnsi="Arial"/>
          <w:sz w:val="31"/>
          <w:szCs w:val="31"/>
          <w:b w:val="1"/>
          <w:bCs w:val="1"/>
          <w:color w:val="183964"/>
        </w:rPr>
        <w:t>Notes to the Condensed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b w:val="1"/>
          <w:bCs w:val="1"/>
          <w:color w:val="183964"/>
        </w:rPr>
        <w:t>(Amounts in thousands, except share and per share data, or exercise price and conversion price)</w:t>
      </w:r>
    </w:p>
    <w:p>
      <w:pPr>
        <w:spacing w:after="0" w:line="350"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5"/>
          <w:szCs w:val="15"/>
          <w:b w:val="1"/>
          <w:bCs w:val="1"/>
          <w:color w:val="183964"/>
        </w:rPr>
      </w:pPr>
      <w:r>
        <w:rPr>
          <w:rFonts w:ascii="Arial" w:cs="Arial" w:eastAsia="Arial" w:hAnsi="Arial"/>
          <w:sz w:val="15"/>
          <w:szCs w:val="15"/>
          <w:b w:val="1"/>
          <w:bCs w:val="1"/>
          <w:color w:val="183964"/>
        </w:rPr>
        <w:t>General information</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color w:val="183964"/>
        </w:rPr>
        <w:t>Description of Business</w:t>
      </w:r>
    </w:p>
    <w:p>
      <w:pPr>
        <w:spacing w:after="0" w:line="17" w:lineRule="exact"/>
        <w:rPr>
          <w:sz w:val="20"/>
          <w:szCs w:val="20"/>
          <w:color w:val="auto"/>
        </w:rPr>
      </w:pPr>
    </w:p>
    <w:p>
      <w:pPr>
        <w:spacing w:after="0" w:line="272" w:lineRule="auto"/>
        <w:rPr>
          <w:sz w:val="20"/>
          <w:szCs w:val="20"/>
          <w:color w:val="auto"/>
        </w:rPr>
      </w:pPr>
      <w:r>
        <w:rPr>
          <w:rFonts w:ascii="Arial" w:cs="Arial" w:eastAsia="Arial" w:hAnsi="Arial"/>
          <w:sz w:val="15"/>
          <w:szCs w:val="15"/>
          <w:color w:val="auto"/>
        </w:rPr>
        <w:t>PureTech Health plc (the “Parent”) is a public biotherapeutics company dedicated to changing the treatment paradigm for devastating diseases. It is incorporated, domiciled and registered in the United Kingdom (“UK”). The registered number is 09582467 and the registered address is 13th Floor, One Angel Court, London, EC2R 7HJ, United Kingdom.</w:t>
      </w:r>
    </w:p>
    <w:p>
      <w:pPr>
        <w:spacing w:after="0" w:line="48" w:lineRule="exact"/>
        <w:rPr>
          <w:sz w:val="20"/>
          <w:szCs w:val="20"/>
          <w:color w:val="auto"/>
        </w:rPr>
      </w:pPr>
    </w:p>
    <w:p>
      <w:pPr>
        <w:ind w:right="340"/>
        <w:spacing w:after="0" w:line="283" w:lineRule="auto"/>
        <w:rPr>
          <w:sz w:val="20"/>
          <w:szCs w:val="20"/>
          <w:color w:val="auto"/>
        </w:rPr>
      </w:pPr>
      <w:r>
        <w:rPr>
          <w:rFonts w:ascii="Arial" w:cs="Arial" w:eastAsia="Arial" w:hAnsi="Arial"/>
          <w:sz w:val="15"/>
          <w:szCs w:val="15"/>
          <w:color w:val="auto"/>
        </w:rPr>
        <w:t>The Parent and its subsidiaries are together referred to as the “Group”. The interim consolidated financial statements of the Group (the "Condensed Consolidated Financial Statements" or the “Interim Financial Statements”) consolidate those of the Parent and its subsidiaries.</w:t>
      </w:r>
    </w:p>
    <w:p>
      <w:pPr>
        <w:spacing w:after="0" w:line="52" w:lineRule="exact"/>
        <w:rPr>
          <w:sz w:val="20"/>
          <w:szCs w:val="20"/>
          <w:color w:val="auto"/>
        </w:rPr>
      </w:pPr>
    </w:p>
    <w:p>
      <w:pPr>
        <w:ind w:right="560"/>
        <w:spacing w:after="0" w:line="283" w:lineRule="auto"/>
        <w:rPr>
          <w:sz w:val="20"/>
          <w:szCs w:val="20"/>
          <w:color w:val="auto"/>
        </w:rPr>
      </w:pPr>
      <w:r>
        <w:rPr>
          <w:rFonts w:ascii="Arial" w:cs="Arial" w:eastAsia="Arial" w:hAnsi="Arial"/>
          <w:sz w:val="15"/>
          <w:szCs w:val="15"/>
          <w:color w:val="auto"/>
        </w:rPr>
        <w:t>The accounting policies are consistent with those of the previous financial year and corresponding interim reporting period, except for the adoption of new and amended IFRS Accounting Standards as set out below in Note 2. New Standards and Interpretations.</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color w:val="183964"/>
        </w:rPr>
        <w:t>Basis of accounting</w:t>
      </w:r>
    </w:p>
    <w:p>
      <w:pPr>
        <w:spacing w:after="0" w:line="17" w:lineRule="exact"/>
        <w:rPr>
          <w:sz w:val="20"/>
          <w:szCs w:val="20"/>
          <w:color w:val="auto"/>
        </w:rPr>
      </w:pPr>
    </w:p>
    <w:p>
      <w:pPr>
        <w:ind w:right="20"/>
        <w:spacing w:after="0" w:line="258" w:lineRule="auto"/>
        <w:rPr>
          <w:sz w:val="20"/>
          <w:szCs w:val="20"/>
          <w:color w:val="auto"/>
        </w:rPr>
      </w:pPr>
      <w:r>
        <w:rPr>
          <w:rFonts w:ascii="Arial" w:cs="Arial" w:eastAsia="Arial" w:hAnsi="Arial"/>
          <w:sz w:val="15"/>
          <w:szCs w:val="15"/>
          <w:color w:val="auto"/>
        </w:rPr>
        <w:t>These Interim Financial Statements have been prepared in accordance with International Accounting Standards (IAS) 34 Interim Financial Reporting as adopted for use in the UK and also comply fully with IAS 34 as issued by the International Accounting Standards Board ("IASB"). The Interim Financial Statements should be read in conjunction with the Group’s Consolidated Financial Statements as of and for the year ended December 31, 2023. The Interim Financial Statements do not include all the information required for a complete set of financial statements in accordance with International Financial Reporting Standards ("IFRS"). However, selected explanatory notes are included to explain events and transactions that are significant to an understanding of the changes in the Group’s financial position and performance since the last annual consolidated financial information included in the Annual Report and Accounts for the year ended December 31, 2023, which was prepared in accordance with UK-adopted International Financial Reporting Standards and also complied fully with International Financial Reporting Standards as issued by the IASB. Certain amounts in the Condensed Consolidated Financial Statements and accompanying notes may not add due to rounding. All percentages have been calculated using unrounded amounts.</w:t>
      </w:r>
    </w:p>
    <w:p>
      <w:pPr>
        <w:spacing w:after="0" w:line="59" w:lineRule="exact"/>
        <w:rPr>
          <w:sz w:val="20"/>
          <w:szCs w:val="20"/>
          <w:color w:val="auto"/>
        </w:rPr>
      </w:pPr>
    </w:p>
    <w:p>
      <w:pPr>
        <w:ind w:right="80"/>
        <w:spacing w:after="0" w:line="269" w:lineRule="auto"/>
        <w:rPr>
          <w:sz w:val="20"/>
          <w:szCs w:val="20"/>
          <w:color w:val="auto"/>
        </w:rPr>
      </w:pPr>
      <w:r>
        <w:rPr>
          <w:rFonts w:ascii="Arial" w:cs="Arial" w:eastAsia="Arial" w:hAnsi="Arial"/>
          <w:sz w:val="15"/>
          <w:szCs w:val="15"/>
          <w:color w:val="auto"/>
        </w:rPr>
        <w:t>These Condensed Consolidated Financial Statements do not comprise statutory accounts within the meaning of Section 435 of the Companies Act 2006. The comparative figures for the six months ended June 30, 2023 are not the Group’s statutory accounts for that financial year. Those accounts were reported upon by the Group’s auditors and delivered to the registrar of companies. The report of the auditors was unqualified, did not include a reference to any matters to which the auditors drew attention by way of emphasis without qualifying their report and did not contain statements under Section 498 (2) or (3) of the Companies Act 2006.</w:t>
      </w:r>
    </w:p>
    <w:p>
      <w:pPr>
        <w:spacing w:after="0" w:line="50" w:lineRule="exact"/>
        <w:rPr>
          <w:sz w:val="20"/>
          <w:szCs w:val="20"/>
          <w:color w:val="auto"/>
        </w:rPr>
      </w:pPr>
    </w:p>
    <w:p>
      <w:pPr>
        <w:ind w:right="40"/>
        <w:spacing w:after="0" w:line="301" w:lineRule="auto"/>
        <w:rPr>
          <w:sz w:val="20"/>
          <w:szCs w:val="20"/>
          <w:color w:val="auto"/>
        </w:rPr>
      </w:pPr>
      <w:r>
        <w:rPr>
          <w:rFonts w:ascii="Arial" w:cs="Arial" w:eastAsia="Arial" w:hAnsi="Arial"/>
          <w:sz w:val="15"/>
          <w:szCs w:val="15"/>
          <w:color w:val="auto"/>
        </w:rPr>
        <w:t>The unaudited Condensed Consolidated Financial Statements reflect all adjustments of a normal recurring nature that are necessary for a fair statement of the results for the interim periods presented. Interim results are not necessarily indicative of results for a full year.</w:t>
      </w:r>
    </w:p>
    <w:p>
      <w:pPr>
        <w:spacing w:after="0" w:line="26" w:lineRule="exact"/>
        <w:rPr>
          <w:sz w:val="20"/>
          <w:szCs w:val="20"/>
          <w:color w:val="auto"/>
        </w:rPr>
      </w:pPr>
    </w:p>
    <w:p>
      <w:pPr>
        <w:ind w:right="120"/>
        <w:spacing w:after="0" w:line="263" w:lineRule="auto"/>
        <w:rPr>
          <w:sz w:val="20"/>
          <w:szCs w:val="20"/>
          <w:color w:val="auto"/>
        </w:rPr>
      </w:pPr>
      <w:r>
        <w:rPr>
          <w:rFonts w:ascii="Arial" w:cs="Arial" w:eastAsia="Arial" w:hAnsi="Arial"/>
          <w:sz w:val="15"/>
          <w:szCs w:val="15"/>
          <w:color w:val="auto"/>
        </w:rPr>
        <w:t>As of June 30, 2024 the Group had cash and cash equivalents of $308,478 and short term investments of $191,938. Considering the Group’s financial position as of June 30, 2024 and its principal risks and opportunities, a going concern analysis has been prepared for at least the twelve-month period from the date of signing the Condensed Consolidated Financial Statements ("the going concern period") utilizing realistic scenarios and applying a severe but plausible downside scenario. Even under the downside scenario, the analysis demonstrates the Group continues to maintain sufficient liquidity headroom and continues to comply with all financial obligations. Therefore, the Board of Directors ("Directors") believes the Group is adequately resourced to continue in operational existence for at least the twelve-month period from the date of signing the Condensed Consolidated Financial Statements. Accordingly, the Directors considered it appropriate to adopt the going concern basis of accounting in preparing the Condensed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color w:val="auto"/>
        </w:rPr>
        <w:t>These Condensed Consolidated Financial Statements were authorized for issue by the Company’s Board of Directors on August 28, 2024.</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183964"/>
        </w:rPr>
        <w:t>Material Accounting policies</w:t>
      </w:r>
    </w:p>
    <w:p>
      <w:pPr>
        <w:spacing w:after="0" w:line="28" w:lineRule="exact"/>
        <w:rPr>
          <w:sz w:val="20"/>
          <w:szCs w:val="20"/>
          <w:color w:val="auto"/>
        </w:rPr>
      </w:pPr>
    </w:p>
    <w:p>
      <w:pPr>
        <w:ind w:right="420"/>
        <w:spacing w:after="0" w:line="265" w:lineRule="auto"/>
        <w:rPr>
          <w:sz w:val="20"/>
          <w:szCs w:val="20"/>
          <w:color w:val="auto"/>
        </w:rPr>
      </w:pPr>
      <w:r>
        <w:rPr>
          <w:rFonts w:ascii="Arial" w:cs="Arial" w:eastAsia="Arial" w:hAnsi="Arial"/>
          <w:sz w:val="15"/>
          <w:szCs w:val="15"/>
          <w:color w:val="auto"/>
        </w:rPr>
        <w:t>There have been no significant changes in the Group’s accounting policies from those disclosed in our Consolidated Financial Statements as of and for the year ended December 31, 2023. The significant accounting policies used for half-year financial reporting are disclosed in Note 1, Material Accounting policies of the accompanying notes to the Consolidated Financial Statements included in our 2023 Annual Report and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1368425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5" w:right="339" w:bottom="1440" w:gutter="0" w:footer="0" w:header="0"/>
        </w:sectPr>
      </w:pPr>
    </w:p>
    <w:bookmarkStart w:id="25" w:name="page26"/>
    <w:bookmarkEnd w:id="25"/>
    <w:p>
      <w:pPr>
        <w:ind w:left="300" w:hanging="292"/>
        <w:spacing w:after="0"/>
        <w:tabs>
          <w:tab w:leader="none" w:pos="300" w:val="left"/>
        </w:tabs>
        <w:numPr>
          <w:ilvl w:val="0"/>
          <w:numId w:val="15"/>
        </w:numPr>
        <w:rPr>
          <w:rFonts w:ascii="Arial" w:cs="Arial" w:eastAsia="Arial" w:hAnsi="Arial"/>
          <w:sz w:val="15"/>
          <w:szCs w:val="15"/>
          <w:b w:val="1"/>
          <w:bCs w:val="1"/>
          <w:color w:val="183964"/>
        </w:rPr>
      </w:pPr>
      <w:r>
        <w:rPr>
          <w:rFonts w:ascii="Arial" w:cs="Arial" w:eastAsia="Arial" w:hAnsi="Arial"/>
          <w:sz w:val="15"/>
          <w:szCs w:val="15"/>
          <w:b w:val="1"/>
          <w:bCs w:val="1"/>
          <w:color w:val="183964"/>
        </w:rPr>
        <w:t>New Standards and Interpretations</w:t>
      </w:r>
    </w:p>
    <w:p>
      <w:pPr>
        <w:spacing w:after="0" w:line="100" w:lineRule="exact"/>
        <w:rPr>
          <w:sz w:val="20"/>
          <w:szCs w:val="20"/>
          <w:color w:val="auto"/>
        </w:rPr>
      </w:pPr>
    </w:p>
    <w:p>
      <w:pPr>
        <w:ind w:right="400"/>
        <w:spacing w:after="0" w:line="283" w:lineRule="auto"/>
        <w:rPr>
          <w:sz w:val="20"/>
          <w:szCs w:val="20"/>
          <w:color w:val="auto"/>
        </w:rPr>
      </w:pPr>
      <w:r>
        <w:rPr>
          <w:rFonts w:ascii="Arial" w:cs="Arial" w:eastAsia="Arial" w:hAnsi="Arial"/>
          <w:sz w:val="15"/>
          <w:szCs w:val="15"/>
          <w:color w:val="auto"/>
        </w:rPr>
        <w:t xml:space="preserve">The Group has applied Amendments to IAS 1 </w:t>
      </w:r>
      <w:r>
        <w:rPr>
          <w:rFonts w:ascii="Arial" w:cs="Arial" w:eastAsia="Arial" w:hAnsi="Arial"/>
          <w:sz w:val="15"/>
          <w:szCs w:val="15"/>
          <w:i w:val="1"/>
          <w:iCs w:val="1"/>
          <w:color w:val="auto"/>
        </w:rPr>
        <w:t>Presentation of Financial Statements: Classification of Liabilities as Current or Non-Current</w:t>
      </w:r>
      <w:r>
        <w:rPr>
          <w:rFonts w:ascii="Arial" w:cs="Arial" w:eastAsia="Arial" w:hAnsi="Arial"/>
          <w:sz w:val="15"/>
          <w:szCs w:val="15"/>
          <w:color w:val="auto"/>
        </w:rPr>
        <w:t xml:space="preserve"> for the first time for its interim reporting period ended June 30, 2024. This amendment did not have any impact on the amounts recognized in prior and current periods.</w:t>
      </w:r>
    </w:p>
    <w:p>
      <w:pPr>
        <w:spacing w:after="0" w:line="52" w:lineRule="exact"/>
        <w:rPr>
          <w:sz w:val="20"/>
          <w:szCs w:val="20"/>
          <w:color w:val="auto"/>
        </w:rPr>
      </w:pPr>
    </w:p>
    <w:p>
      <w:pPr>
        <w:ind w:right="120"/>
        <w:spacing w:after="0" w:line="263" w:lineRule="auto"/>
        <w:rPr>
          <w:sz w:val="20"/>
          <w:szCs w:val="20"/>
          <w:color w:val="auto"/>
        </w:rPr>
      </w:pPr>
      <w:r>
        <w:rPr>
          <w:rFonts w:ascii="Arial" w:cs="Arial" w:eastAsia="Arial" w:hAnsi="Arial"/>
          <w:sz w:val="15"/>
          <w:szCs w:val="15"/>
          <w:color w:val="auto"/>
        </w:rPr>
        <w:t xml:space="preserve">In April 2024, IFRS 18, </w:t>
      </w:r>
      <w:r>
        <w:rPr>
          <w:rFonts w:ascii="Arial" w:cs="Arial" w:eastAsia="Arial" w:hAnsi="Arial"/>
          <w:sz w:val="15"/>
          <w:szCs w:val="15"/>
          <w:i w:val="1"/>
          <w:iCs w:val="1"/>
          <w:color w:val="auto"/>
        </w:rPr>
        <w:t>Presentation and Disclosure in Financial Statements</w:t>
      </w:r>
      <w:r>
        <w:rPr>
          <w:rFonts w:ascii="Arial" w:cs="Arial" w:eastAsia="Arial" w:hAnsi="Arial"/>
          <w:sz w:val="15"/>
          <w:szCs w:val="15"/>
          <w:color w:val="auto"/>
        </w:rPr>
        <w:t xml:space="preserve"> was issued to achieve comparability of the financial performance of similar entities. The standard, which replaces IAS 1 </w:t>
      </w:r>
      <w:r>
        <w:rPr>
          <w:rFonts w:ascii="Arial" w:cs="Arial" w:eastAsia="Arial" w:hAnsi="Arial"/>
          <w:sz w:val="15"/>
          <w:szCs w:val="15"/>
          <w:i w:val="1"/>
          <w:iCs w:val="1"/>
          <w:color w:val="auto"/>
        </w:rPr>
        <w:t>Presentation of Financial Statements,</w:t>
      </w:r>
      <w:r>
        <w:rPr>
          <w:rFonts w:ascii="Arial" w:cs="Arial" w:eastAsia="Arial" w:hAnsi="Arial"/>
          <w:sz w:val="15"/>
          <w:szCs w:val="15"/>
          <w:color w:val="auto"/>
        </w:rPr>
        <w:t xml:space="preserve"> impacts the presentation of primary financial statements and notes, including the statement of earnings where companies will be required to present separate categories of income and expense for operating, investing, and financing activities with prescribed subtotals for each new category. The standard will also require management-defined performance measures to be explained and included in a separate note within the consolidated financial statements. The standard is effective for annual reporting periods beginning on or after January 1, 2027, including interim financial statements, and requires retrospective application. The Group is currently assessing the impact of the new standard.</w:t>
      </w:r>
    </w:p>
    <w:p>
      <w:pPr>
        <w:spacing w:after="0" w:line="54" w:lineRule="exact"/>
        <w:rPr>
          <w:sz w:val="20"/>
          <w:szCs w:val="20"/>
          <w:color w:val="auto"/>
        </w:rPr>
      </w:pPr>
    </w:p>
    <w:p>
      <w:pPr>
        <w:ind w:right="400"/>
        <w:spacing w:after="0" w:line="273" w:lineRule="auto"/>
        <w:rPr>
          <w:sz w:val="20"/>
          <w:szCs w:val="20"/>
          <w:color w:val="auto"/>
        </w:rPr>
      </w:pPr>
      <w:r>
        <w:rPr>
          <w:rFonts w:ascii="Arial" w:cs="Arial" w:eastAsia="Arial" w:hAnsi="Arial"/>
          <w:sz w:val="15"/>
          <w:szCs w:val="15"/>
          <w:color w:val="auto"/>
        </w:rPr>
        <w:t>Certain other new accounting standards, interpretations, and amendments to existing standards have been published that are effective for annual periods commencing on or after January 1, 2025 and have not been early adopted by the Group in preparing the Condensed Consolidated Financial Statements. These standards, amendments or interpretations are not expected to have a material impact on the Group in the prior and current periods.</w:t>
      </w:r>
    </w:p>
    <w:p>
      <w:pPr>
        <w:spacing w:after="0" w:line="138" w:lineRule="exact"/>
        <w:rPr>
          <w:sz w:val="20"/>
          <w:szCs w:val="20"/>
          <w:color w:val="auto"/>
        </w:rPr>
      </w:pPr>
    </w:p>
    <w:p>
      <w:pPr>
        <w:ind w:left="300" w:hanging="292"/>
        <w:spacing w:after="0"/>
        <w:tabs>
          <w:tab w:leader="none" w:pos="300" w:val="left"/>
        </w:tabs>
        <w:numPr>
          <w:ilvl w:val="0"/>
          <w:numId w:val="16"/>
        </w:numPr>
        <w:rPr>
          <w:rFonts w:ascii="Arial" w:cs="Arial" w:eastAsia="Arial" w:hAnsi="Arial"/>
          <w:sz w:val="15"/>
          <w:szCs w:val="15"/>
          <w:b w:val="1"/>
          <w:bCs w:val="1"/>
          <w:color w:val="183964"/>
        </w:rPr>
      </w:pPr>
      <w:r>
        <w:rPr>
          <w:rFonts w:ascii="Arial" w:cs="Arial" w:eastAsia="Arial" w:hAnsi="Arial"/>
          <w:sz w:val="15"/>
          <w:szCs w:val="15"/>
          <w:b w:val="1"/>
          <w:bCs w:val="1"/>
          <w:color w:val="183964"/>
        </w:rPr>
        <w:t>Segment Information</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color w:val="183964"/>
        </w:rPr>
        <w:t>Basis for Segmentation</w:t>
      </w:r>
    </w:p>
    <w:p>
      <w:pPr>
        <w:spacing w:after="0" w:line="28" w:lineRule="exact"/>
        <w:rPr>
          <w:sz w:val="20"/>
          <w:szCs w:val="20"/>
          <w:color w:val="auto"/>
        </w:rPr>
      </w:pPr>
    </w:p>
    <w:p>
      <w:pPr>
        <w:ind w:right="40"/>
        <w:spacing w:after="0" w:line="258" w:lineRule="auto"/>
        <w:rPr>
          <w:sz w:val="20"/>
          <w:szCs w:val="20"/>
          <w:color w:val="auto"/>
        </w:rPr>
      </w:pPr>
      <w:r>
        <w:rPr>
          <w:rFonts w:ascii="Arial" w:cs="Arial" w:eastAsia="Arial" w:hAnsi="Arial"/>
          <w:sz w:val="15"/>
          <w:szCs w:val="15"/>
          <w:color w:val="auto"/>
        </w:rPr>
        <w:t>The Directors are the Group’s chief operating decision-makers. The Group’s operating segments are determined based on the financial information provided to the Board of Directors periodically for the purposes of allocating resources and assessing performance. The Group has determined each of its Wholly-Owned Programs represents an operating segment and the Group has aggregated each of these operating segments into one reportable segment, the Wholly-Owned Programs segment. Each of the Group’s Controlled Founded Entities represents an operating segment. The Group aggregates each Controlled Founded Entity operating segment into one reportable segment, the Controlled Founded Entities segment. The aggregation is based on the high level of operational and financial similarities of the operating segments. For the Group’s entities that do not meet the definition of an operating segment, the Group presents this information in the Parent Company and Other column in its segment footnote to reconcile the information in this footnote to the Condensed Consolidated Financial Statements. Substantially all of the Group’s revenue and profit generating activities are generated within the United States and, accordingly, no geographical disclosures are provided.</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Following is the description of the Group's reportable segments:</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183964"/>
        </w:rPr>
        <w:t>Wholly-Owned Programs</w:t>
      </w:r>
    </w:p>
    <w:p>
      <w:pPr>
        <w:spacing w:after="0" w:line="17" w:lineRule="exact"/>
        <w:rPr>
          <w:sz w:val="20"/>
          <w:szCs w:val="20"/>
          <w:color w:val="auto"/>
        </w:rPr>
      </w:pPr>
    </w:p>
    <w:p>
      <w:pPr>
        <w:ind w:right="100"/>
        <w:spacing w:after="0" w:line="263" w:lineRule="auto"/>
        <w:rPr>
          <w:sz w:val="20"/>
          <w:szCs w:val="20"/>
          <w:color w:val="auto"/>
        </w:rPr>
      </w:pPr>
      <w:r>
        <w:rPr>
          <w:rFonts w:ascii="Arial" w:cs="Arial" w:eastAsia="Arial" w:hAnsi="Arial"/>
          <w:sz w:val="15"/>
          <w:szCs w:val="15"/>
          <w:color w:val="auto"/>
        </w:rPr>
        <w:t>The Wholly-Owned Programs segment is advancing Wholly-Owned Programs which are focused on treatments for patients with devastating diseases. The Wholly-Owned Programs segment is comprised of the technologies that are wholly-owned and will be advanced through with either the Group's funding or non-dilutive sources of financing. The operational management of the Wholly-Owned Programs segment is conducted by the PureTech Health team, which is responsible for the strategy, business development, and research and development.</w:t>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color w:val="183964"/>
        </w:rPr>
        <w:t>Controlled Founded Entities</w:t>
      </w:r>
    </w:p>
    <w:p>
      <w:pPr>
        <w:spacing w:after="0" w:line="28" w:lineRule="exact"/>
        <w:rPr>
          <w:sz w:val="20"/>
          <w:szCs w:val="20"/>
          <w:color w:val="auto"/>
        </w:rPr>
      </w:pPr>
    </w:p>
    <w:p>
      <w:pPr>
        <w:ind w:right="240"/>
        <w:spacing w:after="0" w:line="264" w:lineRule="auto"/>
        <w:rPr>
          <w:sz w:val="20"/>
          <w:szCs w:val="20"/>
          <w:color w:val="auto"/>
        </w:rPr>
      </w:pPr>
      <w:r>
        <w:rPr>
          <w:rFonts w:ascii="Arial" w:cs="Arial" w:eastAsia="Arial" w:hAnsi="Arial"/>
          <w:sz w:val="15"/>
          <w:szCs w:val="15"/>
          <w:color w:val="auto"/>
        </w:rPr>
        <w:t>The Controlled Founded Entities segment is comprised of the Group’s consolidated operational subsidiaries as of June 30, 2024 that either have, or have plans to hire, independent management teams and currently have already raised third-party dilutive capital. These subsidiaries have active research and development programs and have entered into an equity or debt investment partner, who will provide additional industry knowledge and access to networks, as well as additional funding to continue the pursued growth of the entity.</w:t>
      </w:r>
    </w:p>
    <w:p>
      <w:pPr>
        <w:spacing w:after="0" w:line="53" w:lineRule="exact"/>
        <w:rPr>
          <w:sz w:val="20"/>
          <w:szCs w:val="20"/>
          <w:color w:val="auto"/>
        </w:rPr>
      </w:pPr>
    </w:p>
    <w:p>
      <w:pPr>
        <w:ind w:right="40"/>
        <w:spacing w:after="0" w:line="260" w:lineRule="auto"/>
        <w:rPr>
          <w:sz w:val="20"/>
          <w:szCs w:val="20"/>
          <w:color w:val="auto"/>
        </w:rPr>
      </w:pPr>
      <w:r>
        <w:rPr>
          <w:rFonts w:ascii="Arial" w:cs="Arial" w:eastAsia="Arial" w:hAnsi="Arial"/>
          <w:sz w:val="15"/>
          <w:szCs w:val="15"/>
          <w:color w:val="auto"/>
        </w:rPr>
        <w:t>The Group’s entities that were determined not to meet the definition of an operating segment are included in the Parent Company and Other column to reconcile the information in this footnote to the Condensed Consolidated Financial Statements. This column captures activities not directly attributable to the Group's operating segments and includes the activities of the Parent, corporate support functions and certain research and development support functions that are not directly attributable to a strategic business segment as well as the elimination of intercompany transactions. This column also captures the operating results for the deconsolidated entities through the date of deconsolidation (e.g. Vedanta in 2023) and accounting for the Group's holdings in Founded Entities for which control has been lost, which primarily represents: the activity associated with deconsolidating an entity when the Group no longer controls the entity (e.g. Vedanta in 2023), the gain or loss on the Group's investments accounted for at fair value (e.g. the Group's ownership stakes in Karuna, Vor and Akili) and the Group's net income or loss of associates accounted for using the equity method.</w:t>
      </w:r>
    </w:p>
    <w:p>
      <w:pPr>
        <w:spacing w:after="0" w:line="58" w:lineRule="exact"/>
        <w:rPr>
          <w:sz w:val="20"/>
          <w:szCs w:val="20"/>
          <w:color w:val="auto"/>
        </w:rPr>
      </w:pPr>
    </w:p>
    <w:p>
      <w:pPr>
        <w:spacing w:after="0" w:line="273" w:lineRule="auto"/>
        <w:rPr>
          <w:sz w:val="20"/>
          <w:szCs w:val="20"/>
          <w:color w:val="auto"/>
        </w:rPr>
      </w:pPr>
      <w:r>
        <w:rPr>
          <w:rFonts w:ascii="Arial" w:cs="Arial" w:eastAsia="Arial" w:hAnsi="Arial"/>
          <w:sz w:val="15"/>
          <w:szCs w:val="15"/>
          <w:color w:val="auto"/>
        </w:rPr>
        <w:t>(The term "Founded Entities" refers to entities which the Company incorporated and announced the incorporation as a Founded Entity externally. It includes certain of the Company’s wholly-owned subsidiaries which have been announced by the Company as Founded Entities, Controlled Founded Entities and deconsolidated Founded Entities.)</w:t>
      </w:r>
    </w:p>
    <w:p>
      <w:pPr>
        <w:spacing w:after="0" w:line="59" w:lineRule="exact"/>
        <w:rPr>
          <w:sz w:val="20"/>
          <w:szCs w:val="20"/>
          <w:color w:val="auto"/>
        </w:rPr>
      </w:pPr>
    </w:p>
    <w:p>
      <w:pPr>
        <w:ind w:right="160"/>
        <w:spacing w:after="0" w:line="263" w:lineRule="auto"/>
        <w:rPr>
          <w:sz w:val="20"/>
          <w:szCs w:val="20"/>
          <w:color w:val="auto"/>
        </w:rPr>
      </w:pPr>
      <w:r>
        <w:rPr>
          <w:rFonts w:ascii="Arial" w:cs="Arial" w:eastAsia="Arial" w:hAnsi="Arial"/>
          <w:sz w:val="15"/>
          <w:szCs w:val="15"/>
          <w:color w:val="auto"/>
        </w:rPr>
        <w:t>In January 2024, the Group launched two new Founded Entities (Seaport Therapeutics "Seaport" and Gallop Oncology "Gallop") to advance certain programs from the Wholly-Owned Programs segment. The financial results of these programs were included in the Wholly-Owned Programs segment as of and for the year ended December 31, 2023. Upon raising dilutive third-party financing in April 2024, the financial results of Seaport are included within the Controlled Founded Entities Segment as the Group still maintains control over this entity.</w:t>
      </w:r>
    </w:p>
    <w:p>
      <w:pPr>
        <w:spacing w:after="0" w:line="67" w:lineRule="exact"/>
        <w:rPr>
          <w:sz w:val="20"/>
          <w:szCs w:val="20"/>
          <w:color w:val="auto"/>
        </w:rPr>
      </w:pPr>
    </w:p>
    <w:p>
      <w:pPr>
        <w:ind w:right="40"/>
        <w:spacing w:after="0" w:line="273" w:lineRule="auto"/>
        <w:rPr>
          <w:sz w:val="20"/>
          <w:szCs w:val="20"/>
          <w:color w:val="auto"/>
        </w:rPr>
      </w:pPr>
      <w:r>
        <w:rPr>
          <w:rFonts w:ascii="Arial" w:cs="Arial" w:eastAsia="Arial" w:hAnsi="Arial"/>
          <w:sz w:val="15"/>
          <w:szCs w:val="15"/>
          <w:color w:val="auto"/>
        </w:rPr>
        <w:t>As of June 30, 2024, Alivio became dormant and did not meet the definition of operating segment. The financial results of this entity were removed from the Wholly-Owned Programs segment and are included in the Parent Company and Other column. The corresponding information for 2023 has been restated to include Alivio in the Parent Company and Other column so that the segment disclosures are presented on a comparable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1" w:right="379" w:bottom="1440" w:gutter="0" w:footer="0" w:header="0"/>
        </w:sectPr>
      </w:pPr>
    </w:p>
    <w:bookmarkStart w:id="26" w:name="page27"/>
    <w:bookmarkEnd w:id="26"/>
    <w:p>
      <w:pPr>
        <w:ind w:right="240"/>
        <w:spacing w:after="0" w:line="283" w:lineRule="auto"/>
        <w:rPr>
          <w:sz w:val="20"/>
          <w:szCs w:val="20"/>
          <w:color w:val="auto"/>
        </w:rPr>
      </w:pPr>
      <w:r>
        <w:rPr>
          <w:rFonts w:ascii="Arial" w:cs="Arial" w:eastAsia="Arial" w:hAnsi="Arial"/>
          <w:sz w:val="15"/>
          <w:szCs w:val="15"/>
          <w:color w:val="auto"/>
        </w:rPr>
        <w:t>The Group’s Board of Directors reviews segment performance and allocates resources based upon revenue, operating loss as well as the funds available for each segment. The Board of Directors does not review any other information for purposes of assessing segment performance or allocating resources.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760" w:type="dxa"/>
            <w:vAlign w:val="bottom"/>
            <w:gridSpan w:val="2"/>
          </w:tcPr>
          <w:p>
            <w:pPr>
              <w:jc w:val="right"/>
              <w:ind w:right="187"/>
              <w:spacing w:after="0"/>
              <w:rPr>
                <w:sz w:val="20"/>
                <w:szCs w:val="20"/>
                <w:color w:val="auto"/>
              </w:rPr>
            </w:pPr>
            <w:r>
              <w:rPr>
                <w:rFonts w:ascii="Arial" w:cs="Arial" w:eastAsia="Arial" w:hAnsi="Arial"/>
                <w:sz w:val="13"/>
                <w:szCs w:val="13"/>
                <w:b w:val="1"/>
                <w:bCs w:val="1"/>
                <w:color w:val="auto"/>
              </w:rPr>
              <w:t>For the six months ended June 30, 2024</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2"/>
        </w:trPr>
        <w:tc>
          <w:tcPr>
            <w:tcW w:w="5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165"/>
        </w:trPr>
        <w:tc>
          <w:tcPr>
            <w:tcW w:w="5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b w:val="1"/>
                <w:bCs w:val="1"/>
                <w:color w:val="auto"/>
              </w:rPr>
              <w:t>Wholly-Owned</w:t>
            </w:r>
          </w:p>
        </w:tc>
        <w:tc>
          <w:tcPr>
            <w:tcW w:w="2760" w:type="dxa"/>
            <w:vAlign w:val="bottom"/>
            <w:gridSpan w:val="2"/>
          </w:tcPr>
          <w:p>
            <w:pPr>
              <w:jc w:val="right"/>
              <w:ind w:right="107"/>
              <w:spacing w:after="0"/>
              <w:rPr>
                <w:sz w:val="20"/>
                <w:szCs w:val="20"/>
                <w:color w:val="auto"/>
              </w:rPr>
            </w:pPr>
            <w:r>
              <w:rPr>
                <w:rFonts w:ascii="Arial" w:cs="Arial" w:eastAsia="Arial" w:hAnsi="Arial"/>
                <w:sz w:val="13"/>
                <w:szCs w:val="13"/>
                <w:b w:val="1"/>
                <w:bCs w:val="1"/>
                <w:color w:val="auto"/>
                <w:w w:val="99"/>
              </w:rPr>
              <w:t>Controlled Founded Parent Company and</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8"/>
        </w:trPr>
        <w:tc>
          <w:tcPr>
            <w:tcW w:w="5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3"/>
                <w:szCs w:val="13"/>
                <w:b w:val="1"/>
                <w:bCs w:val="1"/>
                <w:color w:val="auto"/>
              </w:rPr>
              <w:t>Programs</w:t>
            </w:r>
          </w:p>
        </w:tc>
        <w:tc>
          <w:tcPr>
            <w:tcW w:w="1440" w:type="dxa"/>
            <w:vAlign w:val="bottom"/>
          </w:tcPr>
          <w:p>
            <w:pPr>
              <w:jc w:val="right"/>
              <w:ind w:right="88"/>
              <w:spacing w:after="0"/>
              <w:rPr>
                <w:sz w:val="20"/>
                <w:szCs w:val="20"/>
                <w:color w:val="auto"/>
              </w:rPr>
            </w:pPr>
            <w:r>
              <w:rPr>
                <w:rFonts w:ascii="Arial" w:cs="Arial" w:eastAsia="Arial" w:hAnsi="Arial"/>
                <w:sz w:val="13"/>
                <w:szCs w:val="13"/>
                <w:b w:val="1"/>
                <w:bCs w:val="1"/>
                <w:color w:val="auto"/>
              </w:rPr>
              <w:t>Entities</w:t>
            </w:r>
          </w:p>
        </w:tc>
        <w:tc>
          <w:tcPr>
            <w:tcW w:w="1320" w:type="dxa"/>
            <w:vAlign w:val="bottom"/>
          </w:tcPr>
          <w:p>
            <w:pPr>
              <w:jc w:val="right"/>
              <w:ind w:right="107"/>
              <w:spacing w:after="0"/>
              <w:rPr>
                <w:sz w:val="20"/>
                <w:szCs w:val="20"/>
                <w:color w:val="auto"/>
              </w:rPr>
            </w:pPr>
            <w:r>
              <w:rPr>
                <w:rFonts w:ascii="Arial" w:cs="Arial" w:eastAsia="Arial" w:hAnsi="Arial"/>
                <w:sz w:val="13"/>
                <w:szCs w:val="13"/>
                <w:b w:val="1"/>
                <w:bCs w:val="1"/>
                <w:color w:val="auto"/>
              </w:rPr>
              <w:t>Other</w:t>
            </w:r>
          </w:p>
        </w:tc>
        <w:tc>
          <w:tcPr>
            <w:tcW w:w="112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Consolidated</w:t>
            </w:r>
          </w:p>
        </w:tc>
      </w:tr>
      <w:tr>
        <w:trPr>
          <w:trHeight w:val="189"/>
        </w:trPr>
        <w:tc>
          <w:tcPr>
            <w:tcW w:w="5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440" w:type="dxa"/>
            <w:vAlign w:val="bottom"/>
            <w:tcBorders>
              <w:bottom w:val="single" w:sz="8" w:color="auto"/>
            </w:tcBorders>
          </w:tcPr>
          <w:p>
            <w:pPr>
              <w:jc w:val="right"/>
              <w:ind w:right="88"/>
              <w:spacing w:after="0"/>
              <w:rPr>
                <w:sz w:val="20"/>
                <w:szCs w:val="20"/>
                <w:color w:val="auto"/>
              </w:rPr>
            </w:pPr>
            <w:r>
              <w:rPr>
                <w:rFonts w:ascii="Arial" w:cs="Arial" w:eastAsia="Arial" w:hAnsi="Arial"/>
                <w:sz w:val="13"/>
                <w:szCs w:val="13"/>
                <w:b w:val="1"/>
                <w:bCs w:val="1"/>
                <w:color w:val="auto"/>
              </w:rPr>
              <w:t>$</w:t>
            </w:r>
          </w:p>
        </w:tc>
        <w:tc>
          <w:tcPr>
            <w:tcW w:w="1320" w:type="dxa"/>
            <w:vAlign w:val="bottom"/>
            <w:tcBorders>
              <w:bottom w:val="single" w:sz="8" w:color="auto"/>
            </w:tcBorders>
          </w:tcPr>
          <w:p>
            <w:pPr>
              <w:jc w:val="right"/>
              <w:ind w:right="107"/>
              <w:spacing w:after="0"/>
              <w:rPr>
                <w:sz w:val="20"/>
                <w:szCs w:val="20"/>
                <w:color w:val="auto"/>
              </w:rPr>
            </w:pPr>
            <w:r>
              <w:rPr>
                <w:rFonts w:ascii="Arial" w:cs="Arial" w:eastAsia="Arial" w:hAnsi="Arial"/>
                <w:sz w:val="13"/>
                <w:szCs w:val="13"/>
                <w:b w:val="1"/>
                <w:bCs w:val="1"/>
                <w:color w:val="auto"/>
              </w:rPr>
              <w:t>$</w:t>
            </w: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w:t>
            </w:r>
          </w:p>
        </w:tc>
      </w:tr>
      <w:tr>
        <w:trPr>
          <w:trHeight w:val="216"/>
        </w:trPr>
        <w:tc>
          <w:tcPr>
            <w:tcW w:w="6040" w:type="dxa"/>
            <w:vAlign w:val="bottom"/>
            <w:gridSpan w:val="2"/>
          </w:tcPr>
          <w:p>
            <w:pPr>
              <w:ind w:left="20"/>
              <w:spacing w:after="0"/>
              <w:rPr>
                <w:sz w:val="20"/>
                <w:szCs w:val="20"/>
                <w:color w:val="auto"/>
              </w:rPr>
            </w:pPr>
            <w:r>
              <w:rPr>
                <w:rFonts w:ascii="Arial" w:cs="Arial" w:eastAsia="Arial" w:hAnsi="Arial"/>
                <w:sz w:val="15"/>
                <w:szCs w:val="15"/>
                <w:color w:val="auto"/>
              </w:rPr>
              <w:t>Contract revenue</w:t>
            </w:r>
          </w:p>
        </w:tc>
        <w:tc>
          <w:tcPr>
            <w:tcW w:w="1300" w:type="dxa"/>
            <w:vAlign w:val="bottom"/>
          </w:tcPr>
          <w:p>
            <w:pPr>
              <w:jc w:val="right"/>
              <w:ind w:right="7"/>
              <w:spacing w:after="0"/>
              <w:rPr>
                <w:sz w:val="20"/>
                <w:szCs w:val="20"/>
                <w:color w:val="auto"/>
              </w:rPr>
            </w:pPr>
            <w:r>
              <w:rPr>
                <w:rFonts w:ascii="Arial" w:cs="Arial" w:eastAsia="Arial" w:hAnsi="Arial"/>
                <w:sz w:val="15"/>
                <w:szCs w:val="15"/>
                <w:b w:val="1"/>
                <w:bCs w:val="1"/>
                <w:color w:val="auto"/>
              </w:rPr>
              <w:t>—</w:t>
            </w:r>
          </w:p>
        </w:tc>
        <w:tc>
          <w:tcPr>
            <w:tcW w:w="1440" w:type="dxa"/>
            <w:vAlign w:val="bottom"/>
          </w:tcPr>
          <w:p>
            <w:pPr>
              <w:jc w:val="right"/>
              <w:ind w:right="148"/>
              <w:spacing w:after="0"/>
              <w:rPr>
                <w:sz w:val="20"/>
                <w:szCs w:val="20"/>
                <w:color w:val="auto"/>
              </w:rPr>
            </w:pPr>
            <w:r>
              <w:rPr>
                <w:rFonts w:ascii="Arial" w:cs="Arial" w:eastAsia="Arial" w:hAnsi="Arial"/>
                <w:sz w:val="15"/>
                <w:szCs w:val="15"/>
                <w:b w:val="1"/>
                <w:bCs w:val="1"/>
                <w:color w:val="auto"/>
              </w:rPr>
              <w:t>—</w:t>
            </w:r>
          </w:p>
        </w:tc>
        <w:tc>
          <w:tcPr>
            <w:tcW w:w="1320" w:type="dxa"/>
            <w:vAlign w:val="bottom"/>
          </w:tcPr>
          <w:p>
            <w:pPr>
              <w:jc w:val="right"/>
              <w:ind w:right="167"/>
              <w:spacing w:after="0"/>
              <w:rPr>
                <w:sz w:val="20"/>
                <w:szCs w:val="20"/>
                <w:color w:val="auto"/>
              </w:rPr>
            </w:pPr>
            <w:r>
              <w:rPr>
                <w:rFonts w:ascii="Arial" w:cs="Arial" w:eastAsia="Arial" w:hAnsi="Arial"/>
                <w:sz w:val="15"/>
                <w:szCs w:val="15"/>
                <w:b w:val="1"/>
                <w:bCs w:val="1"/>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w:t>
            </w:r>
          </w:p>
        </w:tc>
      </w:tr>
      <w:tr>
        <w:trPr>
          <w:trHeight w:val="243"/>
        </w:trPr>
        <w:tc>
          <w:tcPr>
            <w:tcW w:w="6040" w:type="dxa"/>
            <w:vAlign w:val="bottom"/>
            <w:gridSpan w:val="2"/>
          </w:tcPr>
          <w:p>
            <w:pPr>
              <w:ind w:left="20"/>
              <w:spacing w:after="0"/>
              <w:rPr>
                <w:sz w:val="20"/>
                <w:szCs w:val="20"/>
                <w:color w:val="auto"/>
              </w:rPr>
            </w:pPr>
            <w:r>
              <w:rPr>
                <w:rFonts w:ascii="Arial" w:cs="Arial" w:eastAsia="Arial" w:hAnsi="Arial"/>
                <w:sz w:val="15"/>
                <w:szCs w:val="15"/>
                <w:color w:val="auto"/>
              </w:rPr>
              <w:t>Grant revenue</w:t>
            </w:r>
          </w:p>
        </w:tc>
        <w:tc>
          <w:tcPr>
            <w:tcW w:w="1300" w:type="dxa"/>
            <w:vAlign w:val="bottom"/>
          </w:tcPr>
          <w:p>
            <w:pPr>
              <w:jc w:val="right"/>
              <w:ind w:right="7"/>
              <w:spacing w:after="0"/>
              <w:rPr>
                <w:sz w:val="20"/>
                <w:szCs w:val="20"/>
                <w:color w:val="auto"/>
              </w:rPr>
            </w:pPr>
            <w:r>
              <w:rPr>
                <w:rFonts w:ascii="Arial" w:cs="Arial" w:eastAsia="Arial" w:hAnsi="Arial"/>
                <w:sz w:val="15"/>
                <w:szCs w:val="15"/>
                <w:b w:val="1"/>
                <w:bCs w:val="1"/>
                <w:color w:val="auto"/>
              </w:rPr>
              <w:t>288</w:t>
            </w:r>
          </w:p>
        </w:tc>
        <w:tc>
          <w:tcPr>
            <w:tcW w:w="1440" w:type="dxa"/>
            <w:vAlign w:val="bottom"/>
          </w:tcPr>
          <w:p>
            <w:pPr>
              <w:jc w:val="right"/>
              <w:ind w:right="148"/>
              <w:spacing w:after="0"/>
              <w:rPr>
                <w:sz w:val="20"/>
                <w:szCs w:val="20"/>
                <w:color w:val="auto"/>
              </w:rPr>
            </w:pPr>
            <w:r>
              <w:rPr>
                <w:rFonts w:ascii="Arial" w:cs="Arial" w:eastAsia="Arial" w:hAnsi="Arial"/>
                <w:sz w:val="15"/>
                <w:szCs w:val="15"/>
                <w:b w:val="1"/>
                <w:bCs w:val="1"/>
                <w:color w:val="auto"/>
              </w:rPr>
              <w:t>—</w:t>
            </w:r>
          </w:p>
        </w:tc>
        <w:tc>
          <w:tcPr>
            <w:tcW w:w="1320" w:type="dxa"/>
            <w:vAlign w:val="bottom"/>
          </w:tcPr>
          <w:p>
            <w:pPr>
              <w:jc w:val="right"/>
              <w:ind w:right="167"/>
              <w:spacing w:after="0"/>
              <w:rPr>
                <w:sz w:val="20"/>
                <w:szCs w:val="20"/>
                <w:color w:val="auto"/>
              </w:rPr>
            </w:pPr>
            <w:r>
              <w:rPr>
                <w:rFonts w:ascii="Arial" w:cs="Arial" w:eastAsia="Arial" w:hAnsi="Arial"/>
                <w:sz w:val="15"/>
                <w:szCs w:val="15"/>
                <w:b w:val="1"/>
                <w:bCs w:val="1"/>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288</w:t>
            </w:r>
          </w:p>
        </w:tc>
      </w:tr>
      <w:tr>
        <w:trPr>
          <w:trHeight w:val="25"/>
        </w:trPr>
        <w:tc>
          <w:tcPr>
            <w:tcW w:w="5940" w:type="dxa"/>
            <w:vAlign w:val="bottom"/>
            <w:tcBorders>
              <w:bottom w:val="single" w:sz="8" w:color="183964"/>
            </w:tcBorders>
          </w:tcPr>
          <w:p>
            <w:pPr>
              <w:spacing w:after="0"/>
              <w:rPr>
                <w:sz w:val="2"/>
                <w:szCs w:val="2"/>
                <w:color w:val="auto"/>
              </w:rPr>
            </w:pPr>
          </w:p>
        </w:tc>
        <w:tc>
          <w:tcPr>
            <w:tcW w:w="100" w:type="dxa"/>
            <w:vAlign w:val="bottom"/>
            <w:tcBorders>
              <w:bottom w:val="single" w:sz="8" w:color="183964"/>
            </w:tcBorders>
          </w:tcPr>
          <w:p>
            <w:pPr>
              <w:spacing w:after="0"/>
              <w:rPr>
                <w:sz w:val="2"/>
                <w:szCs w:val="2"/>
                <w:color w:val="auto"/>
              </w:rPr>
            </w:pPr>
          </w:p>
        </w:tc>
        <w:tc>
          <w:tcPr>
            <w:tcW w:w="1300" w:type="dxa"/>
            <w:vAlign w:val="bottom"/>
            <w:tcBorders>
              <w:bottom w:val="single" w:sz="8" w:color="183964"/>
            </w:tcBorders>
          </w:tcPr>
          <w:p>
            <w:pPr>
              <w:spacing w:after="0"/>
              <w:rPr>
                <w:sz w:val="2"/>
                <w:szCs w:val="2"/>
                <w:color w:val="auto"/>
              </w:rPr>
            </w:pPr>
          </w:p>
        </w:tc>
        <w:tc>
          <w:tcPr>
            <w:tcW w:w="1440" w:type="dxa"/>
            <w:vAlign w:val="bottom"/>
            <w:tcBorders>
              <w:bottom w:val="single" w:sz="8" w:color="183964"/>
            </w:tcBorders>
          </w:tcPr>
          <w:p>
            <w:pPr>
              <w:spacing w:after="0"/>
              <w:rPr>
                <w:sz w:val="2"/>
                <w:szCs w:val="2"/>
                <w:color w:val="auto"/>
              </w:rPr>
            </w:pPr>
          </w:p>
        </w:tc>
        <w:tc>
          <w:tcPr>
            <w:tcW w:w="1320" w:type="dxa"/>
            <w:vAlign w:val="bottom"/>
            <w:tcBorders>
              <w:bottom w:val="single" w:sz="8" w:color="183964"/>
            </w:tcBorders>
          </w:tcPr>
          <w:p>
            <w:pPr>
              <w:spacing w:after="0"/>
              <w:rPr>
                <w:sz w:val="2"/>
                <w:szCs w:val="2"/>
                <w:color w:val="auto"/>
              </w:rPr>
            </w:pPr>
          </w:p>
        </w:tc>
        <w:tc>
          <w:tcPr>
            <w:tcW w:w="920" w:type="dxa"/>
            <w:vAlign w:val="bottom"/>
            <w:tcBorders>
              <w:bottom w:val="single" w:sz="8" w:color="183964"/>
            </w:tcBorders>
          </w:tcPr>
          <w:p>
            <w:pPr>
              <w:spacing w:after="0"/>
              <w:rPr>
                <w:sz w:val="2"/>
                <w:szCs w:val="2"/>
                <w:color w:val="auto"/>
              </w:rPr>
            </w:pPr>
          </w:p>
        </w:tc>
        <w:tc>
          <w:tcPr>
            <w:tcW w:w="200" w:type="dxa"/>
            <w:vAlign w:val="bottom"/>
            <w:tcBorders>
              <w:bottom w:val="single" w:sz="8" w:color="183964"/>
            </w:tcBorders>
          </w:tcPr>
          <w:p>
            <w:pPr>
              <w:spacing w:after="0"/>
              <w:rPr>
                <w:sz w:val="2"/>
                <w:szCs w:val="2"/>
                <w:color w:val="auto"/>
              </w:rPr>
            </w:pPr>
          </w:p>
        </w:tc>
      </w:tr>
      <w:tr>
        <w:trPr>
          <w:trHeight w:val="212"/>
        </w:trPr>
        <w:tc>
          <w:tcPr>
            <w:tcW w:w="6040" w:type="dxa"/>
            <w:vAlign w:val="bottom"/>
            <w:gridSpan w:val="2"/>
          </w:tcPr>
          <w:p>
            <w:pPr>
              <w:ind w:left="20"/>
              <w:spacing w:after="0"/>
              <w:rPr>
                <w:sz w:val="20"/>
                <w:szCs w:val="20"/>
                <w:color w:val="auto"/>
              </w:rPr>
            </w:pPr>
            <w:r>
              <w:rPr>
                <w:rFonts w:ascii="Arial" w:cs="Arial" w:eastAsia="Arial" w:hAnsi="Arial"/>
                <w:sz w:val="15"/>
                <w:szCs w:val="15"/>
                <w:b w:val="1"/>
                <w:bCs w:val="1"/>
                <w:color w:val="auto"/>
              </w:rPr>
              <w:t>Total revenue</w:t>
            </w:r>
          </w:p>
        </w:tc>
        <w:tc>
          <w:tcPr>
            <w:tcW w:w="1300" w:type="dxa"/>
            <w:vAlign w:val="bottom"/>
          </w:tcPr>
          <w:p>
            <w:pPr>
              <w:jc w:val="right"/>
              <w:ind w:right="7"/>
              <w:spacing w:after="0"/>
              <w:rPr>
                <w:sz w:val="20"/>
                <w:szCs w:val="20"/>
                <w:color w:val="auto"/>
              </w:rPr>
            </w:pPr>
            <w:r>
              <w:rPr>
                <w:rFonts w:ascii="Arial" w:cs="Arial" w:eastAsia="Arial" w:hAnsi="Arial"/>
                <w:sz w:val="15"/>
                <w:szCs w:val="15"/>
                <w:b w:val="1"/>
                <w:bCs w:val="1"/>
                <w:color w:val="auto"/>
              </w:rPr>
              <w:t>288</w:t>
            </w:r>
          </w:p>
        </w:tc>
        <w:tc>
          <w:tcPr>
            <w:tcW w:w="1440" w:type="dxa"/>
            <w:vAlign w:val="bottom"/>
          </w:tcPr>
          <w:p>
            <w:pPr>
              <w:jc w:val="right"/>
              <w:ind w:right="148"/>
              <w:spacing w:after="0"/>
              <w:rPr>
                <w:sz w:val="20"/>
                <w:szCs w:val="20"/>
                <w:color w:val="auto"/>
              </w:rPr>
            </w:pPr>
            <w:r>
              <w:rPr>
                <w:rFonts w:ascii="Arial" w:cs="Arial" w:eastAsia="Arial" w:hAnsi="Arial"/>
                <w:sz w:val="15"/>
                <w:szCs w:val="15"/>
                <w:b w:val="1"/>
                <w:bCs w:val="1"/>
                <w:color w:val="auto"/>
              </w:rPr>
              <w:t>—</w:t>
            </w:r>
          </w:p>
        </w:tc>
        <w:tc>
          <w:tcPr>
            <w:tcW w:w="1320" w:type="dxa"/>
            <w:vAlign w:val="bottom"/>
          </w:tcPr>
          <w:p>
            <w:pPr>
              <w:jc w:val="right"/>
              <w:ind w:right="167"/>
              <w:spacing w:after="0"/>
              <w:rPr>
                <w:sz w:val="20"/>
                <w:szCs w:val="20"/>
                <w:color w:val="auto"/>
              </w:rPr>
            </w:pPr>
            <w:r>
              <w:rPr>
                <w:rFonts w:ascii="Arial" w:cs="Arial" w:eastAsia="Arial" w:hAnsi="Arial"/>
                <w:sz w:val="15"/>
                <w:szCs w:val="15"/>
                <w:b w:val="1"/>
                <w:bCs w:val="1"/>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288</w:t>
            </w:r>
          </w:p>
        </w:tc>
      </w:tr>
      <w:tr>
        <w:trPr>
          <w:trHeight w:val="25"/>
        </w:trPr>
        <w:tc>
          <w:tcPr>
            <w:tcW w:w="5940" w:type="dxa"/>
            <w:vAlign w:val="bottom"/>
            <w:tcBorders>
              <w:bottom w:val="single" w:sz="8" w:color="183964"/>
            </w:tcBorders>
          </w:tcPr>
          <w:p>
            <w:pPr>
              <w:spacing w:after="0"/>
              <w:rPr>
                <w:sz w:val="2"/>
                <w:szCs w:val="2"/>
                <w:color w:val="auto"/>
              </w:rPr>
            </w:pPr>
          </w:p>
        </w:tc>
        <w:tc>
          <w:tcPr>
            <w:tcW w:w="100" w:type="dxa"/>
            <w:vAlign w:val="bottom"/>
            <w:tcBorders>
              <w:bottom w:val="single" w:sz="8" w:color="183964"/>
            </w:tcBorders>
          </w:tcPr>
          <w:p>
            <w:pPr>
              <w:spacing w:after="0"/>
              <w:rPr>
                <w:sz w:val="2"/>
                <w:szCs w:val="2"/>
                <w:color w:val="auto"/>
              </w:rPr>
            </w:pPr>
          </w:p>
        </w:tc>
        <w:tc>
          <w:tcPr>
            <w:tcW w:w="1300" w:type="dxa"/>
            <w:vAlign w:val="bottom"/>
            <w:tcBorders>
              <w:bottom w:val="single" w:sz="8" w:color="183964"/>
            </w:tcBorders>
          </w:tcPr>
          <w:p>
            <w:pPr>
              <w:spacing w:after="0"/>
              <w:rPr>
                <w:sz w:val="2"/>
                <w:szCs w:val="2"/>
                <w:color w:val="auto"/>
              </w:rPr>
            </w:pPr>
          </w:p>
        </w:tc>
        <w:tc>
          <w:tcPr>
            <w:tcW w:w="1440" w:type="dxa"/>
            <w:vAlign w:val="bottom"/>
            <w:tcBorders>
              <w:bottom w:val="single" w:sz="8" w:color="183964"/>
            </w:tcBorders>
          </w:tcPr>
          <w:p>
            <w:pPr>
              <w:spacing w:after="0"/>
              <w:rPr>
                <w:sz w:val="2"/>
                <w:szCs w:val="2"/>
                <w:color w:val="auto"/>
              </w:rPr>
            </w:pPr>
          </w:p>
        </w:tc>
        <w:tc>
          <w:tcPr>
            <w:tcW w:w="1320" w:type="dxa"/>
            <w:vAlign w:val="bottom"/>
            <w:tcBorders>
              <w:bottom w:val="single" w:sz="8" w:color="183964"/>
            </w:tcBorders>
          </w:tcPr>
          <w:p>
            <w:pPr>
              <w:spacing w:after="0"/>
              <w:rPr>
                <w:sz w:val="2"/>
                <w:szCs w:val="2"/>
                <w:color w:val="auto"/>
              </w:rPr>
            </w:pPr>
          </w:p>
        </w:tc>
        <w:tc>
          <w:tcPr>
            <w:tcW w:w="920" w:type="dxa"/>
            <w:vAlign w:val="bottom"/>
            <w:tcBorders>
              <w:bottom w:val="single" w:sz="8" w:color="183964"/>
            </w:tcBorders>
          </w:tcPr>
          <w:p>
            <w:pPr>
              <w:spacing w:after="0"/>
              <w:rPr>
                <w:sz w:val="2"/>
                <w:szCs w:val="2"/>
                <w:color w:val="auto"/>
              </w:rPr>
            </w:pPr>
          </w:p>
        </w:tc>
        <w:tc>
          <w:tcPr>
            <w:tcW w:w="200" w:type="dxa"/>
            <w:vAlign w:val="bottom"/>
            <w:tcBorders>
              <w:bottom w:val="single" w:sz="8" w:color="183964"/>
            </w:tcBorders>
          </w:tcPr>
          <w:p>
            <w:pPr>
              <w:spacing w:after="0"/>
              <w:rPr>
                <w:sz w:val="2"/>
                <w:szCs w:val="2"/>
                <w:color w:val="auto"/>
              </w:rPr>
            </w:pPr>
          </w:p>
        </w:tc>
      </w:tr>
      <w:tr>
        <w:trPr>
          <w:trHeight w:val="212"/>
        </w:trPr>
        <w:tc>
          <w:tcPr>
            <w:tcW w:w="6040" w:type="dxa"/>
            <w:vAlign w:val="bottom"/>
            <w:gridSpan w:val="2"/>
          </w:tcPr>
          <w:p>
            <w:pPr>
              <w:ind w:left="20"/>
              <w:spacing w:after="0"/>
              <w:rPr>
                <w:sz w:val="20"/>
                <w:szCs w:val="20"/>
                <w:color w:val="auto"/>
              </w:rPr>
            </w:pPr>
            <w:r>
              <w:rPr>
                <w:rFonts w:ascii="Arial" w:cs="Arial" w:eastAsia="Arial" w:hAnsi="Arial"/>
                <w:sz w:val="15"/>
                <w:szCs w:val="15"/>
                <w:color w:val="auto"/>
              </w:rPr>
              <w:t>General and administrative expenses</w:t>
            </w:r>
          </w:p>
        </w:tc>
        <w:tc>
          <w:tcPr>
            <w:tcW w:w="1300" w:type="dxa"/>
            <w:vAlign w:val="bottom"/>
          </w:tcPr>
          <w:p>
            <w:pPr>
              <w:jc w:val="right"/>
              <w:spacing w:after="0"/>
              <w:rPr>
                <w:sz w:val="20"/>
                <w:szCs w:val="20"/>
                <w:color w:val="auto"/>
              </w:rPr>
            </w:pPr>
            <w:r>
              <w:rPr>
                <w:rFonts w:ascii="Arial" w:cs="Arial" w:eastAsia="Arial" w:hAnsi="Arial"/>
                <w:sz w:val="15"/>
                <w:szCs w:val="15"/>
                <w:b w:val="1"/>
                <w:bCs w:val="1"/>
                <w:color w:val="auto"/>
              </w:rPr>
              <w:t>(4,450)</w:t>
            </w:r>
          </w:p>
        </w:tc>
        <w:tc>
          <w:tcPr>
            <w:tcW w:w="1440" w:type="dxa"/>
            <w:vAlign w:val="bottom"/>
          </w:tcPr>
          <w:p>
            <w:pPr>
              <w:jc w:val="right"/>
              <w:ind w:right="108"/>
              <w:spacing w:after="0"/>
              <w:rPr>
                <w:sz w:val="20"/>
                <w:szCs w:val="20"/>
                <w:color w:val="auto"/>
              </w:rPr>
            </w:pPr>
            <w:r>
              <w:rPr>
                <w:rFonts w:ascii="Arial" w:cs="Arial" w:eastAsia="Arial" w:hAnsi="Arial"/>
                <w:sz w:val="15"/>
                <w:szCs w:val="15"/>
                <w:b w:val="1"/>
                <w:bCs w:val="1"/>
                <w:color w:val="auto"/>
              </w:rPr>
              <w:t>(6,548)</w:t>
            </w:r>
          </w:p>
        </w:tc>
        <w:tc>
          <w:tcPr>
            <w:tcW w:w="1320" w:type="dxa"/>
            <w:vAlign w:val="bottom"/>
          </w:tcPr>
          <w:p>
            <w:pPr>
              <w:jc w:val="right"/>
              <w:ind w:right="127"/>
              <w:spacing w:after="0"/>
              <w:rPr>
                <w:sz w:val="20"/>
                <w:szCs w:val="20"/>
                <w:color w:val="auto"/>
              </w:rPr>
            </w:pPr>
            <w:r>
              <w:rPr>
                <w:rFonts w:ascii="Arial" w:cs="Arial" w:eastAsia="Arial" w:hAnsi="Arial"/>
                <w:sz w:val="15"/>
                <w:szCs w:val="15"/>
                <w:b w:val="1"/>
                <w:bCs w:val="1"/>
                <w:color w:val="auto"/>
              </w:rPr>
              <w:t>(16,759)</w:t>
            </w:r>
          </w:p>
        </w:tc>
        <w:tc>
          <w:tcPr>
            <w:tcW w:w="112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(27,758)</w:t>
            </w:r>
          </w:p>
        </w:tc>
      </w:tr>
      <w:tr>
        <w:trPr>
          <w:trHeight w:val="243"/>
        </w:trPr>
        <w:tc>
          <w:tcPr>
            <w:tcW w:w="6040" w:type="dxa"/>
            <w:vAlign w:val="bottom"/>
            <w:gridSpan w:val="2"/>
          </w:tcPr>
          <w:p>
            <w:pPr>
              <w:ind w:left="20"/>
              <w:spacing w:after="0"/>
              <w:rPr>
                <w:sz w:val="20"/>
                <w:szCs w:val="20"/>
                <w:color w:val="auto"/>
              </w:rPr>
            </w:pPr>
            <w:r>
              <w:rPr>
                <w:rFonts w:ascii="Arial" w:cs="Arial" w:eastAsia="Arial" w:hAnsi="Arial"/>
                <w:sz w:val="15"/>
                <w:szCs w:val="15"/>
                <w:color w:val="auto"/>
              </w:rPr>
              <w:t>Research and development expenses</w:t>
            </w:r>
          </w:p>
        </w:tc>
        <w:tc>
          <w:tcPr>
            <w:tcW w:w="1300" w:type="dxa"/>
            <w:vAlign w:val="bottom"/>
          </w:tcPr>
          <w:p>
            <w:pPr>
              <w:jc w:val="right"/>
              <w:spacing w:after="0"/>
              <w:rPr>
                <w:sz w:val="20"/>
                <w:szCs w:val="20"/>
                <w:color w:val="auto"/>
              </w:rPr>
            </w:pPr>
            <w:r>
              <w:rPr>
                <w:rFonts w:ascii="Arial" w:cs="Arial" w:eastAsia="Arial" w:hAnsi="Arial"/>
                <w:sz w:val="15"/>
                <w:szCs w:val="15"/>
                <w:b w:val="1"/>
                <w:bCs w:val="1"/>
                <w:color w:val="auto"/>
              </w:rPr>
              <w:t>(32,981)</w:t>
            </w:r>
          </w:p>
        </w:tc>
        <w:tc>
          <w:tcPr>
            <w:tcW w:w="1440" w:type="dxa"/>
            <w:vAlign w:val="bottom"/>
          </w:tcPr>
          <w:p>
            <w:pPr>
              <w:jc w:val="right"/>
              <w:ind w:right="108"/>
              <w:spacing w:after="0"/>
              <w:rPr>
                <w:sz w:val="20"/>
                <w:szCs w:val="20"/>
                <w:color w:val="auto"/>
              </w:rPr>
            </w:pPr>
            <w:r>
              <w:rPr>
                <w:rFonts w:ascii="Arial" w:cs="Arial" w:eastAsia="Arial" w:hAnsi="Arial"/>
                <w:sz w:val="15"/>
                <w:szCs w:val="15"/>
                <w:b w:val="1"/>
                <w:bCs w:val="1"/>
                <w:color w:val="auto"/>
              </w:rPr>
              <w:t>(5,710)</w:t>
            </w:r>
          </w:p>
        </w:tc>
        <w:tc>
          <w:tcPr>
            <w:tcW w:w="1320" w:type="dxa"/>
            <w:vAlign w:val="bottom"/>
          </w:tcPr>
          <w:p>
            <w:pPr>
              <w:jc w:val="right"/>
              <w:ind w:right="127"/>
              <w:spacing w:after="0"/>
              <w:rPr>
                <w:sz w:val="20"/>
                <w:szCs w:val="20"/>
                <w:color w:val="auto"/>
              </w:rPr>
            </w:pPr>
            <w:r>
              <w:rPr>
                <w:rFonts w:ascii="Arial" w:cs="Arial" w:eastAsia="Arial" w:hAnsi="Arial"/>
                <w:sz w:val="15"/>
                <w:szCs w:val="15"/>
                <w:b w:val="1"/>
                <w:bCs w:val="1"/>
                <w:color w:val="auto"/>
              </w:rPr>
              <w:t>(237)</w:t>
            </w:r>
          </w:p>
        </w:tc>
        <w:tc>
          <w:tcPr>
            <w:tcW w:w="112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(38,928)</w:t>
            </w:r>
          </w:p>
        </w:tc>
      </w:tr>
      <w:tr>
        <w:trPr>
          <w:trHeight w:val="25"/>
        </w:trPr>
        <w:tc>
          <w:tcPr>
            <w:tcW w:w="5940" w:type="dxa"/>
            <w:vAlign w:val="bottom"/>
            <w:tcBorders>
              <w:bottom w:val="single" w:sz="8" w:color="183964"/>
            </w:tcBorders>
          </w:tcPr>
          <w:p>
            <w:pPr>
              <w:spacing w:after="0"/>
              <w:rPr>
                <w:sz w:val="2"/>
                <w:szCs w:val="2"/>
                <w:color w:val="auto"/>
              </w:rPr>
            </w:pPr>
          </w:p>
        </w:tc>
        <w:tc>
          <w:tcPr>
            <w:tcW w:w="100" w:type="dxa"/>
            <w:vAlign w:val="bottom"/>
            <w:tcBorders>
              <w:bottom w:val="single" w:sz="8" w:color="183964"/>
            </w:tcBorders>
          </w:tcPr>
          <w:p>
            <w:pPr>
              <w:spacing w:after="0"/>
              <w:rPr>
                <w:sz w:val="2"/>
                <w:szCs w:val="2"/>
                <w:color w:val="auto"/>
              </w:rPr>
            </w:pPr>
          </w:p>
        </w:tc>
        <w:tc>
          <w:tcPr>
            <w:tcW w:w="1300" w:type="dxa"/>
            <w:vAlign w:val="bottom"/>
            <w:tcBorders>
              <w:bottom w:val="single" w:sz="8" w:color="183964"/>
            </w:tcBorders>
          </w:tcPr>
          <w:p>
            <w:pPr>
              <w:spacing w:after="0"/>
              <w:rPr>
                <w:sz w:val="2"/>
                <w:szCs w:val="2"/>
                <w:color w:val="auto"/>
              </w:rPr>
            </w:pPr>
          </w:p>
        </w:tc>
        <w:tc>
          <w:tcPr>
            <w:tcW w:w="1440" w:type="dxa"/>
            <w:vAlign w:val="bottom"/>
            <w:tcBorders>
              <w:bottom w:val="single" w:sz="8" w:color="183964"/>
            </w:tcBorders>
          </w:tcPr>
          <w:p>
            <w:pPr>
              <w:spacing w:after="0"/>
              <w:rPr>
                <w:sz w:val="2"/>
                <w:szCs w:val="2"/>
                <w:color w:val="auto"/>
              </w:rPr>
            </w:pPr>
          </w:p>
        </w:tc>
        <w:tc>
          <w:tcPr>
            <w:tcW w:w="1320" w:type="dxa"/>
            <w:vAlign w:val="bottom"/>
            <w:tcBorders>
              <w:bottom w:val="single" w:sz="8" w:color="183964"/>
            </w:tcBorders>
          </w:tcPr>
          <w:p>
            <w:pPr>
              <w:spacing w:after="0"/>
              <w:rPr>
                <w:sz w:val="2"/>
                <w:szCs w:val="2"/>
                <w:color w:val="auto"/>
              </w:rPr>
            </w:pPr>
          </w:p>
        </w:tc>
        <w:tc>
          <w:tcPr>
            <w:tcW w:w="920" w:type="dxa"/>
            <w:vAlign w:val="bottom"/>
            <w:tcBorders>
              <w:bottom w:val="single" w:sz="8" w:color="183964"/>
            </w:tcBorders>
          </w:tcPr>
          <w:p>
            <w:pPr>
              <w:spacing w:after="0"/>
              <w:rPr>
                <w:sz w:val="2"/>
                <w:szCs w:val="2"/>
                <w:color w:val="auto"/>
              </w:rPr>
            </w:pPr>
          </w:p>
        </w:tc>
        <w:tc>
          <w:tcPr>
            <w:tcW w:w="200" w:type="dxa"/>
            <w:vAlign w:val="bottom"/>
            <w:tcBorders>
              <w:bottom w:val="single" w:sz="8" w:color="183964"/>
            </w:tcBorders>
          </w:tcPr>
          <w:p>
            <w:pPr>
              <w:spacing w:after="0"/>
              <w:rPr>
                <w:sz w:val="2"/>
                <w:szCs w:val="2"/>
                <w:color w:val="auto"/>
              </w:rPr>
            </w:pPr>
          </w:p>
        </w:tc>
      </w:tr>
      <w:tr>
        <w:trPr>
          <w:trHeight w:val="211"/>
        </w:trPr>
        <w:tc>
          <w:tcPr>
            <w:tcW w:w="6040" w:type="dxa"/>
            <w:vAlign w:val="bottom"/>
            <w:gridSpan w:val="2"/>
          </w:tcPr>
          <w:p>
            <w:pPr>
              <w:ind w:left="20"/>
              <w:spacing w:after="0"/>
              <w:rPr>
                <w:sz w:val="20"/>
                <w:szCs w:val="20"/>
                <w:color w:val="auto"/>
              </w:rPr>
            </w:pPr>
            <w:r>
              <w:rPr>
                <w:rFonts w:ascii="Arial" w:cs="Arial" w:eastAsia="Arial" w:hAnsi="Arial"/>
                <w:sz w:val="15"/>
                <w:szCs w:val="15"/>
                <w:b w:val="1"/>
                <w:bCs w:val="1"/>
                <w:color w:val="auto"/>
              </w:rPr>
              <w:t>Total operating expense</w:t>
            </w:r>
          </w:p>
        </w:tc>
        <w:tc>
          <w:tcPr>
            <w:tcW w:w="1300" w:type="dxa"/>
            <w:vAlign w:val="bottom"/>
          </w:tcPr>
          <w:p>
            <w:pPr>
              <w:jc w:val="right"/>
              <w:spacing w:after="0"/>
              <w:rPr>
                <w:sz w:val="20"/>
                <w:szCs w:val="20"/>
                <w:color w:val="auto"/>
              </w:rPr>
            </w:pPr>
            <w:r>
              <w:rPr>
                <w:rFonts w:ascii="Arial" w:cs="Arial" w:eastAsia="Arial" w:hAnsi="Arial"/>
                <w:sz w:val="15"/>
                <w:szCs w:val="15"/>
                <w:b w:val="1"/>
                <w:bCs w:val="1"/>
                <w:color w:val="auto"/>
              </w:rPr>
              <w:t>(37,431)</w:t>
            </w:r>
          </w:p>
        </w:tc>
        <w:tc>
          <w:tcPr>
            <w:tcW w:w="1440" w:type="dxa"/>
            <w:vAlign w:val="bottom"/>
          </w:tcPr>
          <w:p>
            <w:pPr>
              <w:jc w:val="right"/>
              <w:ind w:right="108"/>
              <w:spacing w:after="0"/>
              <w:rPr>
                <w:sz w:val="20"/>
                <w:szCs w:val="20"/>
                <w:color w:val="auto"/>
              </w:rPr>
            </w:pPr>
            <w:r>
              <w:rPr>
                <w:rFonts w:ascii="Arial" w:cs="Arial" w:eastAsia="Arial" w:hAnsi="Arial"/>
                <w:sz w:val="15"/>
                <w:szCs w:val="15"/>
                <w:b w:val="1"/>
                <w:bCs w:val="1"/>
                <w:color w:val="auto"/>
              </w:rPr>
              <w:t>(12,258)</w:t>
            </w:r>
          </w:p>
        </w:tc>
        <w:tc>
          <w:tcPr>
            <w:tcW w:w="1320" w:type="dxa"/>
            <w:vAlign w:val="bottom"/>
          </w:tcPr>
          <w:p>
            <w:pPr>
              <w:jc w:val="right"/>
              <w:ind w:right="127"/>
              <w:spacing w:after="0"/>
              <w:rPr>
                <w:sz w:val="20"/>
                <w:szCs w:val="20"/>
                <w:color w:val="auto"/>
              </w:rPr>
            </w:pPr>
            <w:r>
              <w:rPr>
                <w:rFonts w:ascii="Arial" w:cs="Arial" w:eastAsia="Arial" w:hAnsi="Arial"/>
                <w:sz w:val="15"/>
                <w:szCs w:val="15"/>
                <w:b w:val="1"/>
                <w:bCs w:val="1"/>
                <w:color w:val="auto"/>
              </w:rPr>
              <w:t>(16,997)</w:t>
            </w:r>
          </w:p>
        </w:tc>
        <w:tc>
          <w:tcPr>
            <w:tcW w:w="112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(66,686)</w:t>
            </w:r>
          </w:p>
        </w:tc>
      </w:tr>
      <w:tr>
        <w:trPr>
          <w:trHeight w:val="25"/>
        </w:trPr>
        <w:tc>
          <w:tcPr>
            <w:tcW w:w="5940" w:type="dxa"/>
            <w:vAlign w:val="bottom"/>
            <w:tcBorders>
              <w:bottom w:val="single" w:sz="8" w:color="183964"/>
            </w:tcBorders>
          </w:tcPr>
          <w:p>
            <w:pPr>
              <w:spacing w:after="0"/>
              <w:rPr>
                <w:sz w:val="2"/>
                <w:szCs w:val="2"/>
                <w:color w:val="auto"/>
              </w:rPr>
            </w:pPr>
          </w:p>
        </w:tc>
        <w:tc>
          <w:tcPr>
            <w:tcW w:w="100" w:type="dxa"/>
            <w:vAlign w:val="bottom"/>
            <w:tcBorders>
              <w:bottom w:val="single" w:sz="8" w:color="183964"/>
            </w:tcBorders>
          </w:tcPr>
          <w:p>
            <w:pPr>
              <w:spacing w:after="0"/>
              <w:rPr>
                <w:sz w:val="2"/>
                <w:szCs w:val="2"/>
                <w:color w:val="auto"/>
              </w:rPr>
            </w:pPr>
          </w:p>
        </w:tc>
        <w:tc>
          <w:tcPr>
            <w:tcW w:w="1300" w:type="dxa"/>
            <w:vAlign w:val="bottom"/>
            <w:tcBorders>
              <w:bottom w:val="single" w:sz="8" w:color="183964"/>
            </w:tcBorders>
          </w:tcPr>
          <w:p>
            <w:pPr>
              <w:spacing w:after="0"/>
              <w:rPr>
                <w:sz w:val="2"/>
                <w:szCs w:val="2"/>
                <w:color w:val="auto"/>
              </w:rPr>
            </w:pPr>
          </w:p>
        </w:tc>
        <w:tc>
          <w:tcPr>
            <w:tcW w:w="1440" w:type="dxa"/>
            <w:vAlign w:val="bottom"/>
            <w:tcBorders>
              <w:bottom w:val="single" w:sz="8" w:color="183964"/>
            </w:tcBorders>
          </w:tcPr>
          <w:p>
            <w:pPr>
              <w:spacing w:after="0"/>
              <w:rPr>
                <w:sz w:val="2"/>
                <w:szCs w:val="2"/>
                <w:color w:val="auto"/>
              </w:rPr>
            </w:pPr>
          </w:p>
        </w:tc>
        <w:tc>
          <w:tcPr>
            <w:tcW w:w="1320" w:type="dxa"/>
            <w:vAlign w:val="bottom"/>
            <w:tcBorders>
              <w:bottom w:val="single" w:sz="8" w:color="183964"/>
            </w:tcBorders>
          </w:tcPr>
          <w:p>
            <w:pPr>
              <w:spacing w:after="0"/>
              <w:rPr>
                <w:sz w:val="2"/>
                <w:szCs w:val="2"/>
                <w:color w:val="auto"/>
              </w:rPr>
            </w:pPr>
          </w:p>
        </w:tc>
        <w:tc>
          <w:tcPr>
            <w:tcW w:w="920" w:type="dxa"/>
            <w:vAlign w:val="bottom"/>
            <w:tcBorders>
              <w:bottom w:val="single" w:sz="8" w:color="183964"/>
            </w:tcBorders>
          </w:tcPr>
          <w:p>
            <w:pPr>
              <w:spacing w:after="0"/>
              <w:rPr>
                <w:sz w:val="2"/>
                <w:szCs w:val="2"/>
                <w:color w:val="auto"/>
              </w:rPr>
            </w:pPr>
          </w:p>
        </w:tc>
        <w:tc>
          <w:tcPr>
            <w:tcW w:w="200" w:type="dxa"/>
            <w:vAlign w:val="bottom"/>
            <w:tcBorders>
              <w:bottom w:val="single" w:sz="8" w:color="183964"/>
            </w:tcBorders>
          </w:tcPr>
          <w:p>
            <w:pPr>
              <w:spacing w:after="0"/>
              <w:rPr>
                <w:sz w:val="2"/>
                <w:szCs w:val="2"/>
                <w:color w:val="auto"/>
              </w:rPr>
            </w:pPr>
          </w:p>
        </w:tc>
      </w:tr>
      <w:tr>
        <w:trPr>
          <w:trHeight w:val="212"/>
        </w:trPr>
        <w:tc>
          <w:tcPr>
            <w:tcW w:w="6040" w:type="dxa"/>
            <w:vAlign w:val="bottom"/>
            <w:gridSpan w:val="2"/>
          </w:tcPr>
          <w:p>
            <w:pPr>
              <w:ind w:left="20"/>
              <w:spacing w:after="0"/>
              <w:rPr>
                <w:sz w:val="20"/>
                <w:szCs w:val="20"/>
                <w:color w:val="auto"/>
              </w:rPr>
            </w:pPr>
            <w:r>
              <w:rPr>
                <w:rFonts w:ascii="Arial" w:cs="Arial" w:eastAsia="Arial" w:hAnsi="Arial"/>
                <w:sz w:val="15"/>
                <w:szCs w:val="15"/>
                <w:b w:val="1"/>
                <w:bCs w:val="1"/>
                <w:color w:val="auto"/>
              </w:rPr>
              <w:t>Operating income/(loss)</w:t>
            </w:r>
          </w:p>
        </w:tc>
        <w:tc>
          <w:tcPr>
            <w:tcW w:w="1300" w:type="dxa"/>
            <w:vAlign w:val="bottom"/>
          </w:tcPr>
          <w:p>
            <w:pPr>
              <w:jc w:val="right"/>
              <w:spacing w:after="0"/>
              <w:rPr>
                <w:sz w:val="20"/>
                <w:szCs w:val="20"/>
                <w:color w:val="auto"/>
              </w:rPr>
            </w:pPr>
            <w:r>
              <w:rPr>
                <w:rFonts w:ascii="Arial" w:cs="Arial" w:eastAsia="Arial" w:hAnsi="Arial"/>
                <w:sz w:val="15"/>
                <w:szCs w:val="15"/>
                <w:b w:val="1"/>
                <w:bCs w:val="1"/>
                <w:color w:val="auto"/>
              </w:rPr>
              <w:t>(37,143)</w:t>
            </w:r>
          </w:p>
        </w:tc>
        <w:tc>
          <w:tcPr>
            <w:tcW w:w="1440" w:type="dxa"/>
            <w:vAlign w:val="bottom"/>
          </w:tcPr>
          <w:p>
            <w:pPr>
              <w:jc w:val="right"/>
              <w:ind w:right="108"/>
              <w:spacing w:after="0"/>
              <w:rPr>
                <w:sz w:val="20"/>
                <w:szCs w:val="20"/>
                <w:color w:val="auto"/>
              </w:rPr>
            </w:pPr>
            <w:r>
              <w:rPr>
                <w:rFonts w:ascii="Arial" w:cs="Arial" w:eastAsia="Arial" w:hAnsi="Arial"/>
                <w:sz w:val="15"/>
                <w:szCs w:val="15"/>
                <w:b w:val="1"/>
                <w:bCs w:val="1"/>
                <w:color w:val="auto"/>
              </w:rPr>
              <w:t>(12,258)</w:t>
            </w:r>
          </w:p>
        </w:tc>
        <w:tc>
          <w:tcPr>
            <w:tcW w:w="1320" w:type="dxa"/>
            <w:vAlign w:val="bottom"/>
          </w:tcPr>
          <w:p>
            <w:pPr>
              <w:jc w:val="right"/>
              <w:ind w:right="127"/>
              <w:spacing w:after="0"/>
              <w:rPr>
                <w:sz w:val="20"/>
                <w:szCs w:val="20"/>
                <w:color w:val="auto"/>
              </w:rPr>
            </w:pPr>
            <w:r>
              <w:rPr>
                <w:rFonts w:ascii="Arial" w:cs="Arial" w:eastAsia="Arial" w:hAnsi="Arial"/>
                <w:sz w:val="15"/>
                <w:szCs w:val="15"/>
                <w:b w:val="1"/>
                <w:bCs w:val="1"/>
                <w:color w:val="auto"/>
              </w:rPr>
              <w:t>(16,997)</w:t>
            </w:r>
          </w:p>
        </w:tc>
        <w:tc>
          <w:tcPr>
            <w:tcW w:w="112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(66,398)</w:t>
            </w:r>
          </w:p>
        </w:tc>
      </w:tr>
      <w:tr>
        <w:trPr>
          <w:trHeight w:val="25"/>
        </w:trPr>
        <w:tc>
          <w:tcPr>
            <w:tcW w:w="5940" w:type="dxa"/>
            <w:vAlign w:val="bottom"/>
            <w:tcBorders>
              <w:bottom w:val="single" w:sz="8" w:color="183964"/>
            </w:tcBorders>
          </w:tcPr>
          <w:p>
            <w:pPr>
              <w:spacing w:after="0"/>
              <w:rPr>
                <w:sz w:val="2"/>
                <w:szCs w:val="2"/>
                <w:color w:val="auto"/>
              </w:rPr>
            </w:pPr>
          </w:p>
        </w:tc>
        <w:tc>
          <w:tcPr>
            <w:tcW w:w="100" w:type="dxa"/>
            <w:vAlign w:val="bottom"/>
            <w:tcBorders>
              <w:bottom w:val="single" w:sz="8" w:color="183964"/>
            </w:tcBorders>
          </w:tcPr>
          <w:p>
            <w:pPr>
              <w:spacing w:after="0"/>
              <w:rPr>
                <w:sz w:val="2"/>
                <w:szCs w:val="2"/>
                <w:color w:val="auto"/>
              </w:rPr>
            </w:pPr>
          </w:p>
        </w:tc>
        <w:tc>
          <w:tcPr>
            <w:tcW w:w="1300" w:type="dxa"/>
            <w:vAlign w:val="bottom"/>
            <w:tcBorders>
              <w:bottom w:val="single" w:sz="8" w:color="183964"/>
            </w:tcBorders>
          </w:tcPr>
          <w:p>
            <w:pPr>
              <w:spacing w:after="0"/>
              <w:rPr>
                <w:sz w:val="2"/>
                <w:szCs w:val="2"/>
                <w:color w:val="auto"/>
              </w:rPr>
            </w:pPr>
          </w:p>
        </w:tc>
        <w:tc>
          <w:tcPr>
            <w:tcW w:w="1440" w:type="dxa"/>
            <w:vAlign w:val="bottom"/>
            <w:tcBorders>
              <w:bottom w:val="single" w:sz="8" w:color="183964"/>
            </w:tcBorders>
          </w:tcPr>
          <w:p>
            <w:pPr>
              <w:spacing w:after="0"/>
              <w:rPr>
                <w:sz w:val="2"/>
                <w:szCs w:val="2"/>
                <w:color w:val="auto"/>
              </w:rPr>
            </w:pPr>
          </w:p>
        </w:tc>
        <w:tc>
          <w:tcPr>
            <w:tcW w:w="1320" w:type="dxa"/>
            <w:vAlign w:val="bottom"/>
            <w:tcBorders>
              <w:bottom w:val="single" w:sz="8" w:color="183964"/>
            </w:tcBorders>
          </w:tcPr>
          <w:p>
            <w:pPr>
              <w:spacing w:after="0"/>
              <w:rPr>
                <w:sz w:val="2"/>
                <w:szCs w:val="2"/>
                <w:color w:val="auto"/>
              </w:rPr>
            </w:pPr>
          </w:p>
        </w:tc>
        <w:tc>
          <w:tcPr>
            <w:tcW w:w="920" w:type="dxa"/>
            <w:vAlign w:val="bottom"/>
            <w:tcBorders>
              <w:bottom w:val="single" w:sz="8" w:color="183964"/>
            </w:tcBorders>
          </w:tcPr>
          <w:p>
            <w:pPr>
              <w:spacing w:after="0"/>
              <w:rPr>
                <w:sz w:val="2"/>
                <w:szCs w:val="2"/>
                <w:color w:val="auto"/>
              </w:rPr>
            </w:pPr>
          </w:p>
        </w:tc>
        <w:tc>
          <w:tcPr>
            <w:tcW w:w="200" w:type="dxa"/>
            <w:vAlign w:val="bottom"/>
            <w:tcBorders>
              <w:bottom w:val="single" w:sz="8" w:color="183964"/>
            </w:tcBorders>
          </w:tcPr>
          <w:p>
            <w:pPr>
              <w:spacing w:after="0"/>
              <w:rPr>
                <w:sz w:val="2"/>
                <w:szCs w:val="2"/>
                <w:color w:val="auto"/>
              </w:rPr>
            </w:pPr>
          </w:p>
        </w:tc>
      </w:tr>
      <w:tr>
        <w:trPr>
          <w:trHeight w:val="204"/>
        </w:trPr>
        <w:tc>
          <w:tcPr>
            <w:tcW w:w="6040" w:type="dxa"/>
            <w:vAlign w:val="bottom"/>
            <w:gridSpan w:val="2"/>
          </w:tcPr>
          <w:p>
            <w:pPr>
              <w:ind w:left="20"/>
              <w:spacing w:after="0"/>
              <w:rPr>
                <w:sz w:val="20"/>
                <w:szCs w:val="20"/>
                <w:color w:val="auto"/>
              </w:rPr>
            </w:pPr>
            <w:r>
              <w:rPr>
                <w:rFonts w:ascii="Arial" w:cs="Arial" w:eastAsia="Arial" w:hAnsi="Arial"/>
                <w:sz w:val="15"/>
                <w:szCs w:val="15"/>
                <w:color w:val="auto"/>
              </w:rPr>
              <w:t>Income/expenses not allocated to segments</w:t>
            </w:r>
          </w:p>
        </w:tc>
        <w:tc>
          <w:tcPr>
            <w:tcW w:w="1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43"/>
        </w:trPr>
        <w:tc>
          <w:tcPr>
            <w:tcW w:w="6040" w:type="dxa"/>
            <w:vAlign w:val="bottom"/>
            <w:gridSpan w:val="2"/>
          </w:tcPr>
          <w:p>
            <w:pPr>
              <w:ind w:left="120"/>
              <w:spacing w:after="0"/>
              <w:rPr>
                <w:sz w:val="20"/>
                <w:szCs w:val="20"/>
                <w:color w:val="auto"/>
              </w:rPr>
            </w:pPr>
            <w:r>
              <w:rPr>
                <w:rFonts w:ascii="Arial" w:cs="Arial" w:eastAsia="Arial" w:hAnsi="Arial"/>
                <w:sz w:val="15"/>
                <w:szCs w:val="15"/>
                <w:color w:val="auto"/>
              </w:rPr>
              <w:t>Other income/(expense):</w:t>
            </w:r>
          </w:p>
        </w:tc>
        <w:tc>
          <w:tcPr>
            <w:tcW w:w="1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51"/>
        </w:trPr>
        <w:tc>
          <w:tcPr>
            <w:tcW w:w="6040" w:type="dxa"/>
            <w:vAlign w:val="bottom"/>
            <w:gridSpan w:val="2"/>
          </w:tcPr>
          <w:p>
            <w:pPr>
              <w:ind w:left="240"/>
              <w:spacing w:after="0"/>
              <w:rPr>
                <w:sz w:val="20"/>
                <w:szCs w:val="20"/>
                <w:color w:val="auto"/>
              </w:rPr>
            </w:pPr>
            <w:r>
              <w:rPr>
                <w:rFonts w:ascii="Arial" w:cs="Arial" w:eastAsia="Arial" w:hAnsi="Arial"/>
                <w:sz w:val="15"/>
                <w:szCs w:val="15"/>
                <w:color w:val="auto"/>
              </w:rPr>
              <w:t>Gain/(loss) on investment held at fair value</w:t>
            </w:r>
          </w:p>
        </w:tc>
        <w:tc>
          <w:tcPr>
            <w:tcW w:w="1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3,882</w:t>
            </w:r>
          </w:p>
        </w:tc>
      </w:tr>
      <w:tr>
        <w:trPr>
          <w:trHeight w:val="243"/>
        </w:trPr>
        <w:tc>
          <w:tcPr>
            <w:tcW w:w="6040" w:type="dxa"/>
            <w:vAlign w:val="bottom"/>
            <w:gridSpan w:val="2"/>
          </w:tcPr>
          <w:p>
            <w:pPr>
              <w:ind w:left="240"/>
              <w:spacing w:after="0"/>
              <w:rPr>
                <w:sz w:val="20"/>
                <w:szCs w:val="20"/>
                <w:color w:val="auto"/>
              </w:rPr>
            </w:pPr>
            <w:r>
              <w:rPr>
                <w:rFonts w:ascii="Arial" w:cs="Arial" w:eastAsia="Arial" w:hAnsi="Arial"/>
                <w:sz w:val="15"/>
                <w:szCs w:val="15"/>
                <w:color w:val="auto"/>
              </w:rPr>
              <w:t>Realized loss on sale of investments</w:t>
            </w:r>
          </w:p>
        </w:tc>
        <w:tc>
          <w:tcPr>
            <w:tcW w:w="1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151</w:t>
            </w:r>
          </w:p>
        </w:tc>
      </w:tr>
      <w:tr>
        <w:trPr>
          <w:trHeight w:val="243"/>
        </w:trPr>
        <w:tc>
          <w:tcPr>
            <w:tcW w:w="6040" w:type="dxa"/>
            <w:vAlign w:val="bottom"/>
            <w:gridSpan w:val="2"/>
          </w:tcPr>
          <w:p>
            <w:pPr>
              <w:ind w:left="240"/>
              <w:spacing w:after="0"/>
              <w:rPr>
                <w:sz w:val="20"/>
                <w:szCs w:val="20"/>
                <w:color w:val="auto"/>
              </w:rPr>
            </w:pPr>
            <w:r>
              <w:rPr>
                <w:rFonts w:ascii="Arial" w:cs="Arial" w:eastAsia="Arial" w:hAnsi="Arial"/>
                <w:sz w:val="15"/>
                <w:szCs w:val="15"/>
                <w:color w:val="auto"/>
              </w:rPr>
              <w:t>Gain/(loss) on investment in notes from associates</w:t>
            </w:r>
          </w:p>
        </w:tc>
        <w:tc>
          <w:tcPr>
            <w:tcW w:w="1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11,612</w:t>
            </w:r>
          </w:p>
        </w:tc>
      </w:tr>
      <w:tr>
        <w:trPr>
          <w:trHeight w:val="243"/>
        </w:trPr>
        <w:tc>
          <w:tcPr>
            <w:tcW w:w="6040" w:type="dxa"/>
            <w:vAlign w:val="bottom"/>
            <w:gridSpan w:val="2"/>
          </w:tcPr>
          <w:p>
            <w:pPr>
              <w:ind w:left="240"/>
              <w:spacing w:after="0"/>
              <w:rPr>
                <w:sz w:val="20"/>
                <w:szCs w:val="20"/>
                <w:color w:val="auto"/>
              </w:rPr>
            </w:pPr>
            <w:r>
              <w:rPr>
                <w:rFonts w:ascii="Arial" w:cs="Arial" w:eastAsia="Arial" w:hAnsi="Arial"/>
                <w:sz w:val="15"/>
                <w:szCs w:val="15"/>
                <w:color w:val="auto"/>
              </w:rPr>
              <w:t>Other income/(expense)</w:t>
            </w:r>
          </w:p>
        </w:tc>
        <w:tc>
          <w:tcPr>
            <w:tcW w:w="1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548</w:t>
            </w:r>
          </w:p>
        </w:tc>
      </w:tr>
      <w:tr>
        <w:trPr>
          <w:trHeight w:val="25"/>
        </w:trPr>
        <w:tc>
          <w:tcPr>
            <w:tcW w:w="5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11"/>
        </w:trPr>
        <w:tc>
          <w:tcPr>
            <w:tcW w:w="6040" w:type="dxa"/>
            <w:vAlign w:val="bottom"/>
            <w:gridSpan w:val="2"/>
          </w:tcPr>
          <w:p>
            <w:pPr>
              <w:ind w:left="20"/>
              <w:spacing w:after="0"/>
              <w:rPr>
                <w:sz w:val="20"/>
                <w:szCs w:val="20"/>
                <w:color w:val="auto"/>
              </w:rPr>
            </w:pPr>
            <w:r>
              <w:rPr>
                <w:rFonts w:ascii="Arial" w:cs="Arial" w:eastAsia="Arial" w:hAnsi="Arial"/>
                <w:sz w:val="15"/>
                <w:szCs w:val="15"/>
                <w:color w:val="auto"/>
              </w:rPr>
              <w:t>Total other income/(expense)</w:t>
            </w:r>
          </w:p>
        </w:tc>
        <w:tc>
          <w:tcPr>
            <w:tcW w:w="1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16,193</w:t>
            </w:r>
          </w:p>
        </w:tc>
      </w:tr>
      <w:tr>
        <w:trPr>
          <w:trHeight w:val="243"/>
        </w:trPr>
        <w:tc>
          <w:tcPr>
            <w:tcW w:w="6040" w:type="dxa"/>
            <w:vAlign w:val="bottom"/>
            <w:gridSpan w:val="2"/>
          </w:tcPr>
          <w:p>
            <w:pPr>
              <w:ind w:left="20"/>
              <w:spacing w:after="0"/>
              <w:rPr>
                <w:sz w:val="20"/>
                <w:szCs w:val="20"/>
                <w:color w:val="auto"/>
              </w:rPr>
            </w:pPr>
            <w:r>
              <w:rPr>
                <w:rFonts w:ascii="Arial" w:cs="Arial" w:eastAsia="Arial" w:hAnsi="Arial"/>
                <w:sz w:val="15"/>
                <w:szCs w:val="15"/>
                <w:color w:val="auto"/>
              </w:rPr>
              <w:t>Net finance income/(costs)</w:t>
            </w:r>
          </w:p>
        </w:tc>
        <w:tc>
          <w:tcPr>
            <w:tcW w:w="1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(1,468)</w:t>
            </w:r>
          </w:p>
        </w:tc>
      </w:tr>
      <w:tr>
        <w:trPr>
          <w:trHeight w:val="243"/>
        </w:trPr>
        <w:tc>
          <w:tcPr>
            <w:tcW w:w="6040" w:type="dxa"/>
            <w:vAlign w:val="bottom"/>
            <w:gridSpan w:val="2"/>
          </w:tcPr>
          <w:p>
            <w:pPr>
              <w:ind w:left="20"/>
              <w:spacing w:after="0"/>
              <w:rPr>
                <w:sz w:val="20"/>
                <w:szCs w:val="20"/>
                <w:color w:val="auto"/>
              </w:rPr>
            </w:pPr>
            <w:r>
              <w:rPr>
                <w:rFonts w:ascii="Arial" w:cs="Arial" w:eastAsia="Arial" w:hAnsi="Arial"/>
                <w:sz w:val="15"/>
                <w:szCs w:val="15"/>
                <w:color w:val="auto"/>
              </w:rPr>
              <w:t>Share of net income/(loss) of associates accounted for using the equity method</w:t>
            </w:r>
          </w:p>
        </w:tc>
        <w:tc>
          <w:tcPr>
            <w:tcW w:w="1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(3,357)</w:t>
            </w:r>
          </w:p>
        </w:tc>
      </w:tr>
      <w:tr>
        <w:trPr>
          <w:trHeight w:val="25"/>
        </w:trPr>
        <w:tc>
          <w:tcPr>
            <w:tcW w:w="5940" w:type="dxa"/>
            <w:vAlign w:val="bottom"/>
            <w:tcBorders>
              <w:bottom w:val="single" w:sz="8" w:color="183964"/>
            </w:tcBorders>
          </w:tcPr>
          <w:p>
            <w:pPr>
              <w:spacing w:after="0"/>
              <w:rPr>
                <w:sz w:val="2"/>
                <w:szCs w:val="2"/>
                <w:color w:val="auto"/>
              </w:rPr>
            </w:pPr>
          </w:p>
        </w:tc>
        <w:tc>
          <w:tcPr>
            <w:tcW w:w="100" w:type="dxa"/>
            <w:vAlign w:val="bottom"/>
            <w:tcBorders>
              <w:bottom w:val="single" w:sz="8" w:color="183964"/>
            </w:tcBorders>
          </w:tcPr>
          <w:p>
            <w:pPr>
              <w:spacing w:after="0"/>
              <w:rPr>
                <w:sz w:val="2"/>
                <w:szCs w:val="2"/>
                <w:color w:val="auto"/>
              </w:rPr>
            </w:pPr>
          </w:p>
        </w:tc>
        <w:tc>
          <w:tcPr>
            <w:tcW w:w="1300" w:type="dxa"/>
            <w:vAlign w:val="bottom"/>
            <w:tcBorders>
              <w:bottom w:val="single" w:sz="8" w:color="183964"/>
            </w:tcBorders>
          </w:tcPr>
          <w:p>
            <w:pPr>
              <w:spacing w:after="0"/>
              <w:rPr>
                <w:sz w:val="2"/>
                <w:szCs w:val="2"/>
                <w:color w:val="auto"/>
              </w:rPr>
            </w:pPr>
          </w:p>
        </w:tc>
        <w:tc>
          <w:tcPr>
            <w:tcW w:w="1440" w:type="dxa"/>
            <w:vAlign w:val="bottom"/>
            <w:tcBorders>
              <w:bottom w:val="single" w:sz="8" w:color="183964"/>
            </w:tcBorders>
          </w:tcPr>
          <w:p>
            <w:pPr>
              <w:spacing w:after="0"/>
              <w:rPr>
                <w:sz w:val="2"/>
                <w:szCs w:val="2"/>
                <w:color w:val="auto"/>
              </w:rPr>
            </w:pPr>
          </w:p>
        </w:tc>
        <w:tc>
          <w:tcPr>
            <w:tcW w:w="1320" w:type="dxa"/>
            <w:vAlign w:val="bottom"/>
            <w:tcBorders>
              <w:bottom w:val="single" w:sz="8" w:color="183964"/>
            </w:tcBorders>
          </w:tcPr>
          <w:p>
            <w:pPr>
              <w:spacing w:after="0"/>
              <w:rPr>
                <w:sz w:val="2"/>
                <w:szCs w:val="2"/>
                <w:color w:val="auto"/>
              </w:rPr>
            </w:pPr>
          </w:p>
        </w:tc>
        <w:tc>
          <w:tcPr>
            <w:tcW w:w="920" w:type="dxa"/>
            <w:vAlign w:val="bottom"/>
            <w:tcBorders>
              <w:bottom w:val="single" w:sz="8" w:color="183964"/>
            </w:tcBorders>
          </w:tcPr>
          <w:p>
            <w:pPr>
              <w:spacing w:after="0"/>
              <w:rPr>
                <w:sz w:val="2"/>
                <w:szCs w:val="2"/>
                <w:color w:val="auto"/>
              </w:rPr>
            </w:pPr>
          </w:p>
        </w:tc>
        <w:tc>
          <w:tcPr>
            <w:tcW w:w="200" w:type="dxa"/>
            <w:vAlign w:val="bottom"/>
            <w:tcBorders>
              <w:bottom w:val="single" w:sz="8" w:color="183964"/>
            </w:tcBorders>
          </w:tcPr>
          <w:p>
            <w:pPr>
              <w:spacing w:after="0"/>
              <w:rPr>
                <w:sz w:val="2"/>
                <w:szCs w:val="2"/>
                <w:color w:val="auto"/>
              </w:rPr>
            </w:pPr>
          </w:p>
        </w:tc>
      </w:tr>
      <w:tr>
        <w:trPr>
          <w:trHeight w:val="211"/>
        </w:trPr>
        <w:tc>
          <w:tcPr>
            <w:tcW w:w="6040" w:type="dxa"/>
            <w:vAlign w:val="bottom"/>
            <w:gridSpan w:val="2"/>
          </w:tcPr>
          <w:p>
            <w:pPr>
              <w:ind w:left="20"/>
              <w:spacing w:after="0"/>
              <w:rPr>
                <w:sz w:val="20"/>
                <w:szCs w:val="20"/>
                <w:color w:val="auto"/>
              </w:rPr>
            </w:pPr>
            <w:r>
              <w:rPr>
                <w:rFonts w:ascii="Arial" w:cs="Arial" w:eastAsia="Arial" w:hAnsi="Arial"/>
                <w:sz w:val="15"/>
                <w:szCs w:val="15"/>
                <w:b w:val="1"/>
                <w:bCs w:val="1"/>
                <w:color w:val="auto"/>
              </w:rPr>
              <w:t>Income/(loss) before taxes</w:t>
            </w:r>
          </w:p>
        </w:tc>
        <w:tc>
          <w:tcPr>
            <w:tcW w:w="1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(55,030)</w:t>
            </w:r>
          </w:p>
        </w:tc>
      </w:tr>
      <w:tr>
        <w:trPr>
          <w:trHeight w:val="25"/>
        </w:trPr>
        <w:tc>
          <w:tcPr>
            <w:tcW w:w="5940" w:type="dxa"/>
            <w:vAlign w:val="bottom"/>
            <w:tcBorders>
              <w:bottom w:val="single" w:sz="8" w:color="183964"/>
            </w:tcBorders>
          </w:tcPr>
          <w:p>
            <w:pPr>
              <w:spacing w:after="0"/>
              <w:rPr>
                <w:sz w:val="2"/>
                <w:szCs w:val="2"/>
                <w:color w:val="auto"/>
              </w:rPr>
            </w:pPr>
          </w:p>
        </w:tc>
        <w:tc>
          <w:tcPr>
            <w:tcW w:w="100" w:type="dxa"/>
            <w:vAlign w:val="bottom"/>
            <w:tcBorders>
              <w:bottom w:val="single" w:sz="8" w:color="183964"/>
            </w:tcBorders>
          </w:tcPr>
          <w:p>
            <w:pPr>
              <w:spacing w:after="0"/>
              <w:rPr>
                <w:sz w:val="2"/>
                <w:szCs w:val="2"/>
                <w:color w:val="auto"/>
              </w:rPr>
            </w:pPr>
          </w:p>
        </w:tc>
        <w:tc>
          <w:tcPr>
            <w:tcW w:w="1300" w:type="dxa"/>
            <w:vAlign w:val="bottom"/>
            <w:tcBorders>
              <w:bottom w:val="single" w:sz="8" w:color="183964"/>
            </w:tcBorders>
          </w:tcPr>
          <w:p>
            <w:pPr>
              <w:spacing w:after="0"/>
              <w:rPr>
                <w:sz w:val="2"/>
                <w:szCs w:val="2"/>
                <w:color w:val="auto"/>
              </w:rPr>
            </w:pPr>
          </w:p>
        </w:tc>
        <w:tc>
          <w:tcPr>
            <w:tcW w:w="2760" w:type="dxa"/>
            <w:vAlign w:val="bottom"/>
            <w:tcBorders>
              <w:bottom w:val="single" w:sz="8" w:color="183964"/>
            </w:tcBorders>
            <w:gridSpan w:val="2"/>
          </w:tcPr>
          <w:p>
            <w:pPr>
              <w:spacing w:after="0"/>
              <w:rPr>
                <w:sz w:val="2"/>
                <w:szCs w:val="2"/>
                <w:color w:val="auto"/>
              </w:rPr>
            </w:pPr>
          </w:p>
        </w:tc>
        <w:tc>
          <w:tcPr>
            <w:tcW w:w="920" w:type="dxa"/>
            <w:vAlign w:val="bottom"/>
            <w:tcBorders>
              <w:bottom w:val="single" w:sz="8" w:color="183964"/>
            </w:tcBorders>
          </w:tcPr>
          <w:p>
            <w:pPr>
              <w:spacing w:after="0"/>
              <w:rPr>
                <w:sz w:val="2"/>
                <w:szCs w:val="2"/>
                <w:color w:val="auto"/>
              </w:rPr>
            </w:pPr>
          </w:p>
        </w:tc>
        <w:tc>
          <w:tcPr>
            <w:tcW w:w="200" w:type="dxa"/>
            <w:vAlign w:val="bottom"/>
            <w:tcBorders>
              <w:bottom w:val="single" w:sz="8" w:color="183964"/>
            </w:tcBorders>
          </w:tcPr>
          <w:p>
            <w:pPr>
              <w:spacing w:after="0"/>
              <w:rPr>
                <w:sz w:val="2"/>
                <w:szCs w:val="2"/>
                <w:color w:val="auto"/>
              </w:rPr>
            </w:pPr>
          </w:p>
        </w:tc>
      </w:tr>
      <w:tr>
        <w:trPr>
          <w:trHeight w:val="174"/>
        </w:trPr>
        <w:tc>
          <w:tcPr>
            <w:tcW w:w="5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760" w:type="dxa"/>
            <w:vAlign w:val="bottom"/>
            <w:gridSpan w:val="2"/>
          </w:tcPr>
          <w:p>
            <w:pPr>
              <w:jc w:val="right"/>
              <w:ind w:right="807"/>
              <w:spacing w:after="0"/>
              <w:rPr>
                <w:sz w:val="20"/>
                <w:szCs w:val="20"/>
                <w:color w:val="auto"/>
              </w:rPr>
            </w:pPr>
            <w:r>
              <w:rPr>
                <w:rFonts w:ascii="Arial" w:cs="Arial" w:eastAsia="Arial" w:hAnsi="Arial"/>
                <w:sz w:val="13"/>
                <w:szCs w:val="13"/>
                <w:b w:val="1"/>
                <w:bCs w:val="1"/>
                <w:color w:val="auto"/>
              </w:rPr>
              <w:t>As of June 30, 2024</w:t>
            </w: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2"/>
        </w:trPr>
        <w:tc>
          <w:tcPr>
            <w:tcW w:w="5940" w:type="dxa"/>
            <w:vAlign w:val="bottom"/>
            <w:tcBorders>
              <w:bottom w:val="single" w:sz="8" w:color="001544"/>
            </w:tcBorders>
          </w:tcPr>
          <w:p>
            <w:pPr>
              <w:spacing w:after="0" w:line="20" w:lineRule="exact"/>
              <w:rPr>
                <w:sz w:val="1"/>
                <w:szCs w:val="1"/>
                <w:color w:val="auto"/>
              </w:rPr>
            </w:pPr>
          </w:p>
        </w:tc>
        <w:tc>
          <w:tcPr>
            <w:tcW w:w="100" w:type="dxa"/>
            <w:vAlign w:val="bottom"/>
            <w:tcBorders>
              <w:bottom w:val="single" w:sz="8" w:color="001544"/>
            </w:tcBorders>
          </w:tcPr>
          <w:p>
            <w:pPr>
              <w:spacing w:after="0" w:line="20" w:lineRule="exact"/>
              <w:rPr>
                <w:sz w:val="1"/>
                <w:szCs w:val="1"/>
                <w:color w:val="auto"/>
              </w:rPr>
            </w:pPr>
          </w:p>
        </w:tc>
        <w:tc>
          <w:tcPr>
            <w:tcW w:w="1300" w:type="dxa"/>
            <w:vAlign w:val="bottom"/>
            <w:tcBorders>
              <w:bottom w:val="single" w:sz="8" w:color="001544"/>
            </w:tcBorders>
          </w:tcPr>
          <w:p>
            <w:pPr>
              <w:spacing w:after="0" w:line="20" w:lineRule="exact"/>
              <w:rPr>
                <w:sz w:val="1"/>
                <w:szCs w:val="1"/>
                <w:color w:val="auto"/>
              </w:rPr>
            </w:pPr>
          </w:p>
        </w:tc>
        <w:tc>
          <w:tcPr>
            <w:tcW w:w="1440" w:type="dxa"/>
            <w:vAlign w:val="bottom"/>
            <w:tcBorders>
              <w:bottom w:val="single" w:sz="8" w:color="001544"/>
            </w:tcBorders>
          </w:tcPr>
          <w:p>
            <w:pPr>
              <w:spacing w:after="0" w:line="20" w:lineRule="exact"/>
              <w:rPr>
                <w:sz w:val="1"/>
                <w:szCs w:val="1"/>
                <w:color w:val="auto"/>
              </w:rPr>
            </w:pPr>
          </w:p>
        </w:tc>
        <w:tc>
          <w:tcPr>
            <w:tcW w:w="1320" w:type="dxa"/>
            <w:vAlign w:val="bottom"/>
            <w:tcBorders>
              <w:bottom w:val="single" w:sz="8" w:color="001544"/>
            </w:tcBorders>
          </w:tcPr>
          <w:p>
            <w:pPr>
              <w:spacing w:after="0" w:line="20" w:lineRule="exact"/>
              <w:rPr>
                <w:sz w:val="1"/>
                <w:szCs w:val="1"/>
                <w:color w:val="auto"/>
              </w:rPr>
            </w:pPr>
          </w:p>
        </w:tc>
        <w:tc>
          <w:tcPr>
            <w:tcW w:w="920" w:type="dxa"/>
            <w:vAlign w:val="bottom"/>
            <w:tcBorders>
              <w:bottom w:val="single" w:sz="8" w:color="001544"/>
            </w:tcBorders>
          </w:tcPr>
          <w:p>
            <w:pPr>
              <w:spacing w:after="0" w:line="20" w:lineRule="exact"/>
              <w:rPr>
                <w:sz w:val="1"/>
                <w:szCs w:val="1"/>
                <w:color w:val="auto"/>
              </w:rPr>
            </w:pPr>
          </w:p>
        </w:tc>
        <w:tc>
          <w:tcPr>
            <w:tcW w:w="200" w:type="dxa"/>
            <w:vAlign w:val="bottom"/>
            <w:tcBorders>
              <w:bottom w:val="single" w:sz="8" w:color="001544"/>
            </w:tcBorders>
          </w:tcPr>
          <w:p>
            <w:pPr>
              <w:spacing w:after="0" w:line="20" w:lineRule="exact"/>
              <w:rPr>
                <w:sz w:val="1"/>
                <w:szCs w:val="1"/>
                <w:color w:val="auto"/>
              </w:rPr>
            </w:pPr>
          </w:p>
        </w:tc>
      </w:tr>
      <w:tr>
        <w:trPr>
          <w:trHeight w:val="212"/>
        </w:trPr>
        <w:tc>
          <w:tcPr>
            <w:tcW w:w="6040" w:type="dxa"/>
            <w:vAlign w:val="bottom"/>
            <w:gridSpan w:val="2"/>
          </w:tcPr>
          <w:p>
            <w:pPr>
              <w:ind w:left="20"/>
              <w:spacing w:after="0"/>
              <w:rPr>
                <w:sz w:val="20"/>
                <w:szCs w:val="20"/>
                <w:color w:val="auto"/>
              </w:rPr>
            </w:pPr>
            <w:r>
              <w:rPr>
                <w:rFonts w:ascii="Arial" w:cs="Arial" w:eastAsia="Arial" w:hAnsi="Arial"/>
                <w:sz w:val="15"/>
                <w:szCs w:val="15"/>
                <w:b w:val="1"/>
                <w:bCs w:val="1"/>
                <w:color w:val="auto"/>
              </w:rPr>
              <w:t>Available Funds</w:t>
            </w:r>
          </w:p>
        </w:tc>
        <w:tc>
          <w:tcPr>
            <w:tcW w:w="1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5"/>
        </w:trPr>
        <w:tc>
          <w:tcPr>
            <w:tcW w:w="5940" w:type="dxa"/>
            <w:vAlign w:val="bottom"/>
            <w:tcBorders>
              <w:bottom w:val="single" w:sz="8" w:color="183964"/>
            </w:tcBorders>
          </w:tcPr>
          <w:p>
            <w:pPr>
              <w:spacing w:after="0"/>
              <w:rPr>
                <w:sz w:val="2"/>
                <w:szCs w:val="2"/>
                <w:color w:val="auto"/>
              </w:rPr>
            </w:pPr>
          </w:p>
        </w:tc>
        <w:tc>
          <w:tcPr>
            <w:tcW w:w="100" w:type="dxa"/>
            <w:vAlign w:val="bottom"/>
            <w:tcBorders>
              <w:bottom w:val="single" w:sz="8" w:color="183964"/>
            </w:tcBorders>
          </w:tcPr>
          <w:p>
            <w:pPr>
              <w:spacing w:after="0"/>
              <w:rPr>
                <w:sz w:val="2"/>
                <w:szCs w:val="2"/>
                <w:color w:val="auto"/>
              </w:rPr>
            </w:pPr>
          </w:p>
        </w:tc>
        <w:tc>
          <w:tcPr>
            <w:tcW w:w="1300" w:type="dxa"/>
            <w:vAlign w:val="bottom"/>
            <w:tcBorders>
              <w:bottom w:val="single" w:sz="8" w:color="183964"/>
            </w:tcBorders>
          </w:tcPr>
          <w:p>
            <w:pPr>
              <w:spacing w:after="0"/>
              <w:rPr>
                <w:sz w:val="2"/>
                <w:szCs w:val="2"/>
                <w:color w:val="auto"/>
              </w:rPr>
            </w:pPr>
          </w:p>
        </w:tc>
        <w:tc>
          <w:tcPr>
            <w:tcW w:w="1440" w:type="dxa"/>
            <w:vAlign w:val="bottom"/>
            <w:tcBorders>
              <w:bottom w:val="single" w:sz="8" w:color="183964"/>
            </w:tcBorders>
          </w:tcPr>
          <w:p>
            <w:pPr>
              <w:spacing w:after="0"/>
              <w:rPr>
                <w:sz w:val="2"/>
                <w:szCs w:val="2"/>
                <w:color w:val="auto"/>
              </w:rPr>
            </w:pPr>
          </w:p>
        </w:tc>
        <w:tc>
          <w:tcPr>
            <w:tcW w:w="1320" w:type="dxa"/>
            <w:vAlign w:val="bottom"/>
            <w:tcBorders>
              <w:bottom w:val="single" w:sz="8" w:color="183964"/>
            </w:tcBorders>
          </w:tcPr>
          <w:p>
            <w:pPr>
              <w:spacing w:after="0"/>
              <w:rPr>
                <w:sz w:val="2"/>
                <w:szCs w:val="2"/>
                <w:color w:val="auto"/>
              </w:rPr>
            </w:pPr>
          </w:p>
        </w:tc>
        <w:tc>
          <w:tcPr>
            <w:tcW w:w="920" w:type="dxa"/>
            <w:vAlign w:val="bottom"/>
            <w:tcBorders>
              <w:bottom w:val="single" w:sz="8" w:color="183964"/>
            </w:tcBorders>
          </w:tcPr>
          <w:p>
            <w:pPr>
              <w:spacing w:after="0"/>
              <w:rPr>
                <w:sz w:val="2"/>
                <w:szCs w:val="2"/>
                <w:color w:val="auto"/>
              </w:rPr>
            </w:pPr>
          </w:p>
        </w:tc>
        <w:tc>
          <w:tcPr>
            <w:tcW w:w="200" w:type="dxa"/>
            <w:vAlign w:val="bottom"/>
            <w:tcBorders>
              <w:bottom w:val="single" w:sz="8" w:color="183964"/>
            </w:tcBorders>
          </w:tcPr>
          <w:p>
            <w:pPr>
              <w:spacing w:after="0"/>
              <w:rPr>
                <w:sz w:val="2"/>
                <w:szCs w:val="2"/>
                <w:color w:val="auto"/>
              </w:rPr>
            </w:pPr>
          </w:p>
        </w:tc>
      </w:tr>
      <w:tr>
        <w:trPr>
          <w:trHeight w:val="211"/>
        </w:trPr>
        <w:tc>
          <w:tcPr>
            <w:tcW w:w="6040" w:type="dxa"/>
            <w:vAlign w:val="bottom"/>
            <w:gridSpan w:val="2"/>
          </w:tcPr>
          <w:p>
            <w:pPr>
              <w:ind w:left="120"/>
              <w:spacing w:after="0"/>
              <w:rPr>
                <w:sz w:val="20"/>
                <w:szCs w:val="20"/>
                <w:color w:val="auto"/>
              </w:rPr>
            </w:pPr>
            <w:r>
              <w:rPr>
                <w:rFonts w:ascii="Arial" w:cs="Arial" w:eastAsia="Arial" w:hAnsi="Arial"/>
                <w:sz w:val="15"/>
                <w:szCs w:val="15"/>
                <w:color w:val="auto"/>
              </w:rPr>
              <w:t>Cash and cash equivalents</w:t>
            </w:r>
          </w:p>
        </w:tc>
        <w:tc>
          <w:tcPr>
            <w:tcW w:w="1300" w:type="dxa"/>
            <w:vAlign w:val="bottom"/>
          </w:tcPr>
          <w:p>
            <w:pPr>
              <w:jc w:val="right"/>
              <w:ind w:right="7"/>
              <w:spacing w:after="0"/>
              <w:rPr>
                <w:sz w:val="20"/>
                <w:szCs w:val="20"/>
                <w:color w:val="auto"/>
              </w:rPr>
            </w:pPr>
            <w:r>
              <w:rPr>
                <w:rFonts w:ascii="Arial" w:cs="Arial" w:eastAsia="Arial" w:hAnsi="Arial"/>
                <w:sz w:val="15"/>
                <w:szCs w:val="15"/>
                <w:b w:val="1"/>
                <w:bCs w:val="1"/>
                <w:color w:val="auto"/>
              </w:rPr>
              <w:t>24,781</w:t>
            </w:r>
          </w:p>
        </w:tc>
        <w:tc>
          <w:tcPr>
            <w:tcW w:w="1440" w:type="dxa"/>
            <w:vAlign w:val="bottom"/>
          </w:tcPr>
          <w:p>
            <w:pPr>
              <w:jc w:val="right"/>
              <w:ind w:right="148"/>
              <w:spacing w:after="0"/>
              <w:rPr>
                <w:sz w:val="20"/>
                <w:szCs w:val="20"/>
                <w:color w:val="auto"/>
              </w:rPr>
            </w:pPr>
            <w:r>
              <w:rPr>
                <w:rFonts w:ascii="Arial" w:cs="Arial" w:eastAsia="Arial" w:hAnsi="Arial"/>
                <w:sz w:val="15"/>
                <w:szCs w:val="15"/>
                <w:b w:val="1"/>
                <w:bCs w:val="1"/>
                <w:color w:val="auto"/>
              </w:rPr>
              <w:t>99,359</w:t>
            </w:r>
          </w:p>
        </w:tc>
        <w:tc>
          <w:tcPr>
            <w:tcW w:w="1320" w:type="dxa"/>
            <w:vAlign w:val="bottom"/>
          </w:tcPr>
          <w:p>
            <w:pPr>
              <w:jc w:val="right"/>
              <w:ind w:right="167"/>
              <w:spacing w:after="0"/>
              <w:rPr>
                <w:sz w:val="20"/>
                <w:szCs w:val="20"/>
                <w:color w:val="auto"/>
              </w:rPr>
            </w:pPr>
            <w:r>
              <w:rPr>
                <w:rFonts w:ascii="Arial" w:cs="Arial" w:eastAsia="Arial" w:hAnsi="Arial"/>
                <w:sz w:val="15"/>
                <w:szCs w:val="15"/>
                <w:b w:val="1"/>
                <w:bCs w:val="1"/>
                <w:color w:val="auto"/>
              </w:rPr>
              <w:t>184,338</w:t>
            </w:r>
          </w:p>
        </w:tc>
        <w:tc>
          <w:tcPr>
            <w:tcW w:w="112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308,478</w:t>
            </w:r>
          </w:p>
        </w:tc>
      </w:tr>
      <w:tr>
        <w:trPr>
          <w:trHeight w:val="243"/>
        </w:trPr>
        <w:tc>
          <w:tcPr>
            <w:tcW w:w="6040" w:type="dxa"/>
            <w:vAlign w:val="bottom"/>
            <w:gridSpan w:val="2"/>
          </w:tcPr>
          <w:p>
            <w:pPr>
              <w:ind w:left="120"/>
              <w:spacing w:after="0"/>
              <w:rPr>
                <w:sz w:val="20"/>
                <w:szCs w:val="20"/>
                <w:color w:val="auto"/>
              </w:rPr>
            </w:pPr>
            <w:r>
              <w:rPr>
                <w:rFonts w:ascii="Arial" w:cs="Arial" w:eastAsia="Arial" w:hAnsi="Arial"/>
                <w:sz w:val="15"/>
                <w:szCs w:val="15"/>
                <w:color w:val="auto"/>
              </w:rPr>
              <w:t>Short-term Investments</w:t>
            </w:r>
          </w:p>
        </w:tc>
        <w:tc>
          <w:tcPr>
            <w:tcW w:w="1300" w:type="dxa"/>
            <w:vAlign w:val="bottom"/>
          </w:tcPr>
          <w:p>
            <w:pPr>
              <w:jc w:val="right"/>
              <w:ind w:right="7"/>
              <w:spacing w:after="0"/>
              <w:rPr>
                <w:sz w:val="20"/>
                <w:szCs w:val="20"/>
                <w:color w:val="auto"/>
              </w:rPr>
            </w:pPr>
            <w:r>
              <w:rPr>
                <w:rFonts w:ascii="Arial" w:cs="Arial" w:eastAsia="Arial" w:hAnsi="Arial"/>
                <w:sz w:val="15"/>
                <w:szCs w:val="15"/>
                <w:b w:val="1"/>
                <w:bCs w:val="1"/>
                <w:color w:val="auto"/>
              </w:rPr>
              <w:t>—</w:t>
            </w:r>
          </w:p>
        </w:tc>
        <w:tc>
          <w:tcPr>
            <w:tcW w:w="1440" w:type="dxa"/>
            <w:vAlign w:val="bottom"/>
          </w:tcPr>
          <w:p>
            <w:pPr>
              <w:jc w:val="right"/>
              <w:ind w:right="148"/>
              <w:spacing w:after="0"/>
              <w:rPr>
                <w:sz w:val="20"/>
                <w:szCs w:val="20"/>
                <w:color w:val="auto"/>
              </w:rPr>
            </w:pPr>
            <w:r>
              <w:rPr>
                <w:rFonts w:ascii="Arial" w:cs="Arial" w:eastAsia="Arial" w:hAnsi="Arial"/>
                <w:sz w:val="15"/>
                <w:szCs w:val="15"/>
                <w:b w:val="1"/>
                <w:bCs w:val="1"/>
                <w:color w:val="auto"/>
              </w:rPr>
              <w:t>—</w:t>
            </w:r>
          </w:p>
        </w:tc>
        <w:tc>
          <w:tcPr>
            <w:tcW w:w="1320" w:type="dxa"/>
            <w:vAlign w:val="bottom"/>
          </w:tcPr>
          <w:p>
            <w:pPr>
              <w:jc w:val="right"/>
              <w:ind w:right="167"/>
              <w:spacing w:after="0"/>
              <w:rPr>
                <w:sz w:val="20"/>
                <w:szCs w:val="20"/>
                <w:color w:val="auto"/>
              </w:rPr>
            </w:pPr>
            <w:r>
              <w:rPr>
                <w:rFonts w:ascii="Arial" w:cs="Arial" w:eastAsia="Arial" w:hAnsi="Arial"/>
                <w:sz w:val="15"/>
                <w:szCs w:val="15"/>
                <w:b w:val="1"/>
                <w:bCs w:val="1"/>
                <w:color w:val="auto"/>
              </w:rPr>
              <w:t>191,938</w:t>
            </w:r>
          </w:p>
        </w:tc>
        <w:tc>
          <w:tcPr>
            <w:tcW w:w="112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191,938</w:t>
            </w:r>
          </w:p>
        </w:tc>
      </w:tr>
      <w:tr>
        <w:trPr>
          <w:trHeight w:val="25"/>
        </w:trPr>
        <w:tc>
          <w:tcPr>
            <w:tcW w:w="5940" w:type="dxa"/>
            <w:vAlign w:val="bottom"/>
            <w:tcBorders>
              <w:bottom w:val="single" w:sz="8" w:color="183964"/>
            </w:tcBorders>
          </w:tcPr>
          <w:p>
            <w:pPr>
              <w:spacing w:after="0"/>
              <w:rPr>
                <w:sz w:val="2"/>
                <w:szCs w:val="2"/>
                <w:color w:val="auto"/>
              </w:rPr>
            </w:pPr>
          </w:p>
        </w:tc>
        <w:tc>
          <w:tcPr>
            <w:tcW w:w="100" w:type="dxa"/>
            <w:vAlign w:val="bottom"/>
            <w:tcBorders>
              <w:bottom w:val="single" w:sz="8" w:color="183964"/>
            </w:tcBorders>
          </w:tcPr>
          <w:p>
            <w:pPr>
              <w:spacing w:after="0"/>
              <w:rPr>
                <w:sz w:val="2"/>
                <w:szCs w:val="2"/>
                <w:color w:val="auto"/>
              </w:rPr>
            </w:pPr>
          </w:p>
        </w:tc>
        <w:tc>
          <w:tcPr>
            <w:tcW w:w="1300" w:type="dxa"/>
            <w:vAlign w:val="bottom"/>
            <w:tcBorders>
              <w:bottom w:val="single" w:sz="8" w:color="183964"/>
            </w:tcBorders>
          </w:tcPr>
          <w:p>
            <w:pPr>
              <w:spacing w:after="0"/>
              <w:rPr>
                <w:sz w:val="2"/>
                <w:szCs w:val="2"/>
                <w:color w:val="auto"/>
              </w:rPr>
            </w:pPr>
          </w:p>
        </w:tc>
        <w:tc>
          <w:tcPr>
            <w:tcW w:w="1440" w:type="dxa"/>
            <w:vAlign w:val="bottom"/>
            <w:tcBorders>
              <w:bottom w:val="single" w:sz="8" w:color="183964"/>
            </w:tcBorders>
          </w:tcPr>
          <w:p>
            <w:pPr>
              <w:spacing w:after="0"/>
              <w:rPr>
                <w:sz w:val="2"/>
                <w:szCs w:val="2"/>
                <w:color w:val="auto"/>
              </w:rPr>
            </w:pPr>
          </w:p>
        </w:tc>
        <w:tc>
          <w:tcPr>
            <w:tcW w:w="1320" w:type="dxa"/>
            <w:vAlign w:val="bottom"/>
            <w:tcBorders>
              <w:bottom w:val="single" w:sz="8" w:color="183964"/>
            </w:tcBorders>
          </w:tcPr>
          <w:p>
            <w:pPr>
              <w:spacing w:after="0"/>
              <w:rPr>
                <w:sz w:val="2"/>
                <w:szCs w:val="2"/>
                <w:color w:val="auto"/>
              </w:rPr>
            </w:pPr>
          </w:p>
        </w:tc>
        <w:tc>
          <w:tcPr>
            <w:tcW w:w="920" w:type="dxa"/>
            <w:vAlign w:val="bottom"/>
            <w:tcBorders>
              <w:bottom w:val="single" w:sz="8" w:color="183964"/>
            </w:tcBorders>
          </w:tcPr>
          <w:p>
            <w:pPr>
              <w:spacing w:after="0"/>
              <w:rPr>
                <w:sz w:val="2"/>
                <w:szCs w:val="2"/>
                <w:color w:val="auto"/>
              </w:rPr>
            </w:pPr>
          </w:p>
        </w:tc>
        <w:tc>
          <w:tcPr>
            <w:tcW w:w="200" w:type="dxa"/>
            <w:vAlign w:val="bottom"/>
            <w:tcBorders>
              <w:bottom w:val="single" w:sz="8" w:color="183964"/>
            </w:tcBorders>
          </w:tcPr>
          <w:p>
            <w:pPr>
              <w:spacing w:after="0"/>
              <w:rPr>
                <w:sz w:val="2"/>
                <w:szCs w:val="2"/>
                <w:color w:val="auto"/>
              </w:rPr>
            </w:pPr>
          </w:p>
        </w:tc>
      </w:tr>
      <w:tr>
        <w:trPr>
          <w:trHeight w:val="211"/>
        </w:trPr>
        <w:tc>
          <w:tcPr>
            <w:tcW w:w="6040" w:type="dxa"/>
            <w:vAlign w:val="bottom"/>
            <w:gridSpan w:val="2"/>
          </w:tcPr>
          <w:p>
            <w:pPr>
              <w:ind w:left="120"/>
              <w:spacing w:after="0"/>
              <w:rPr>
                <w:sz w:val="20"/>
                <w:szCs w:val="20"/>
                <w:color w:val="auto"/>
              </w:rPr>
            </w:pPr>
            <w:r>
              <w:rPr>
                <w:rFonts w:ascii="Arial" w:cs="Arial" w:eastAsia="Arial" w:hAnsi="Arial"/>
                <w:sz w:val="15"/>
                <w:szCs w:val="15"/>
                <w:color w:val="auto"/>
              </w:rPr>
              <w:t>Consolidated cash, cash equivalents and short-term investments</w:t>
            </w:r>
          </w:p>
        </w:tc>
        <w:tc>
          <w:tcPr>
            <w:tcW w:w="1300" w:type="dxa"/>
            <w:vAlign w:val="bottom"/>
          </w:tcPr>
          <w:p>
            <w:pPr>
              <w:jc w:val="right"/>
              <w:ind w:right="7"/>
              <w:spacing w:after="0"/>
              <w:rPr>
                <w:sz w:val="20"/>
                <w:szCs w:val="20"/>
                <w:color w:val="auto"/>
              </w:rPr>
            </w:pPr>
            <w:r>
              <w:rPr>
                <w:rFonts w:ascii="Arial" w:cs="Arial" w:eastAsia="Arial" w:hAnsi="Arial"/>
                <w:sz w:val="15"/>
                <w:szCs w:val="15"/>
                <w:b w:val="1"/>
                <w:bCs w:val="1"/>
                <w:color w:val="auto"/>
              </w:rPr>
              <w:t>24,781</w:t>
            </w:r>
          </w:p>
        </w:tc>
        <w:tc>
          <w:tcPr>
            <w:tcW w:w="1440" w:type="dxa"/>
            <w:vAlign w:val="bottom"/>
          </w:tcPr>
          <w:p>
            <w:pPr>
              <w:jc w:val="right"/>
              <w:ind w:right="148"/>
              <w:spacing w:after="0"/>
              <w:rPr>
                <w:sz w:val="20"/>
                <w:szCs w:val="20"/>
                <w:color w:val="auto"/>
              </w:rPr>
            </w:pPr>
            <w:r>
              <w:rPr>
                <w:rFonts w:ascii="Arial" w:cs="Arial" w:eastAsia="Arial" w:hAnsi="Arial"/>
                <w:sz w:val="15"/>
                <w:szCs w:val="15"/>
                <w:b w:val="1"/>
                <w:bCs w:val="1"/>
                <w:color w:val="auto"/>
              </w:rPr>
              <w:t>99,359</w:t>
            </w:r>
          </w:p>
        </w:tc>
        <w:tc>
          <w:tcPr>
            <w:tcW w:w="1320" w:type="dxa"/>
            <w:vAlign w:val="bottom"/>
          </w:tcPr>
          <w:p>
            <w:pPr>
              <w:jc w:val="right"/>
              <w:ind w:right="167"/>
              <w:spacing w:after="0"/>
              <w:rPr>
                <w:sz w:val="20"/>
                <w:szCs w:val="20"/>
                <w:color w:val="auto"/>
              </w:rPr>
            </w:pPr>
            <w:r>
              <w:rPr>
                <w:rFonts w:ascii="Arial" w:cs="Arial" w:eastAsia="Arial" w:hAnsi="Arial"/>
                <w:sz w:val="15"/>
                <w:szCs w:val="15"/>
                <w:b w:val="1"/>
                <w:bCs w:val="1"/>
                <w:color w:val="auto"/>
              </w:rPr>
              <w:t>376,276</w:t>
            </w:r>
          </w:p>
        </w:tc>
        <w:tc>
          <w:tcPr>
            <w:tcW w:w="112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500,416</w:t>
            </w:r>
          </w:p>
        </w:tc>
      </w:tr>
      <w:tr>
        <w:trPr>
          <w:trHeight w:val="25"/>
        </w:trPr>
        <w:tc>
          <w:tcPr>
            <w:tcW w:w="5940" w:type="dxa"/>
            <w:vAlign w:val="bottom"/>
            <w:tcBorders>
              <w:bottom w:val="single" w:sz="8" w:color="183964"/>
            </w:tcBorders>
          </w:tcPr>
          <w:p>
            <w:pPr>
              <w:spacing w:after="0"/>
              <w:rPr>
                <w:sz w:val="2"/>
                <w:szCs w:val="2"/>
                <w:color w:val="auto"/>
              </w:rPr>
            </w:pPr>
          </w:p>
        </w:tc>
        <w:tc>
          <w:tcPr>
            <w:tcW w:w="100" w:type="dxa"/>
            <w:vAlign w:val="bottom"/>
            <w:tcBorders>
              <w:bottom w:val="single" w:sz="8" w:color="183964"/>
            </w:tcBorders>
          </w:tcPr>
          <w:p>
            <w:pPr>
              <w:spacing w:after="0"/>
              <w:rPr>
                <w:sz w:val="2"/>
                <w:szCs w:val="2"/>
                <w:color w:val="auto"/>
              </w:rPr>
            </w:pPr>
          </w:p>
        </w:tc>
        <w:tc>
          <w:tcPr>
            <w:tcW w:w="1300" w:type="dxa"/>
            <w:vAlign w:val="bottom"/>
            <w:tcBorders>
              <w:bottom w:val="single" w:sz="8" w:color="183964"/>
            </w:tcBorders>
          </w:tcPr>
          <w:p>
            <w:pPr>
              <w:spacing w:after="0"/>
              <w:rPr>
                <w:sz w:val="2"/>
                <w:szCs w:val="2"/>
                <w:color w:val="auto"/>
              </w:rPr>
            </w:pPr>
          </w:p>
        </w:tc>
        <w:tc>
          <w:tcPr>
            <w:tcW w:w="2760" w:type="dxa"/>
            <w:vAlign w:val="bottom"/>
            <w:tcBorders>
              <w:bottom w:val="single" w:sz="8" w:color="183964"/>
            </w:tcBorders>
            <w:gridSpan w:val="2"/>
          </w:tcPr>
          <w:p>
            <w:pPr>
              <w:spacing w:after="0"/>
              <w:rPr>
                <w:sz w:val="2"/>
                <w:szCs w:val="2"/>
                <w:color w:val="auto"/>
              </w:rPr>
            </w:pPr>
          </w:p>
        </w:tc>
        <w:tc>
          <w:tcPr>
            <w:tcW w:w="920" w:type="dxa"/>
            <w:vAlign w:val="bottom"/>
            <w:tcBorders>
              <w:bottom w:val="single" w:sz="8" w:color="183964"/>
            </w:tcBorders>
          </w:tcPr>
          <w:p>
            <w:pPr>
              <w:spacing w:after="0"/>
              <w:rPr>
                <w:sz w:val="2"/>
                <w:szCs w:val="2"/>
                <w:color w:val="auto"/>
              </w:rPr>
            </w:pPr>
          </w:p>
        </w:tc>
        <w:tc>
          <w:tcPr>
            <w:tcW w:w="200" w:type="dxa"/>
            <w:vAlign w:val="bottom"/>
            <w:tcBorders>
              <w:bottom w:val="single" w:sz="8" w:color="183964"/>
            </w:tcBorders>
          </w:tcPr>
          <w:p>
            <w:pPr>
              <w:spacing w:after="0"/>
              <w:rPr>
                <w:sz w:val="2"/>
                <w:szCs w:val="2"/>
                <w:color w:val="auto"/>
              </w:rPr>
            </w:pPr>
          </w:p>
        </w:tc>
      </w:tr>
      <w:tr>
        <w:trPr>
          <w:trHeight w:val="573"/>
        </w:trPr>
        <w:tc>
          <w:tcPr>
            <w:tcW w:w="5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760" w:type="dxa"/>
            <w:vAlign w:val="bottom"/>
            <w:gridSpan w:val="2"/>
          </w:tcPr>
          <w:p>
            <w:pPr>
              <w:jc w:val="right"/>
              <w:ind w:right="387"/>
              <w:spacing w:after="0"/>
              <w:rPr>
                <w:sz w:val="20"/>
                <w:szCs w:val="20"/>
                <w:color w:val="auto"/>
              </w:rPr>
            </w:pPr>
            <w:r>
              <w:rPr>
                <w:rFonts w:ascii="Arial" w:cs="Arial" w:eastAsia="Arial" w:hAnsi="Arial"/>
                <w:sz w:val="13"/>
                <w:szCs w:val="13"/>
                <w:color w:val="183964"/>
                <w:w w:val="97"/>
              </w:rPr>
              <w:t>For the six months ended June 30, 2023</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8"/>
        </w:trPr>
        <w:tc>
          <w:tcPr>
            <w:tcW w:w="59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151"/>
        </w:trPr>
        <w:tc>
          <w:tcPr>
            <w:tcW w:w="5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20" w:type="dxa"/>
            <w:vAlign w:val="bottom"/>
          </w:tcPr>
          <w:p>
            <w:pPr>
              <w:jc w:val="right"/>
              <w:ind w:right="287"/>
              <w:spacing w:after="0"/>
              <w:rPr>
                <w:sz w:val="20"/>
                <w:szCs w:val="20"/>
                <w:color w:val="auto"/>
              </w:rPr>
            </w:pPr>
            <w:r>
              <w:rPr>
                <w:rFonts w:ascii="Arial" w:cs="Arial" w:eastAsia="Arial" w:hAnsi="Arial"/>
                <w:sz w:val="13"/>
                <w:szCs w:val="13"/>
                <w:color w:val="183964"/>
              </w:rPr>
              <w:t>Parent</w:t>
            </w: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49"/>
        </w:trPr>
        <w:tc>
          <w:tcPr>
            <w:tcW w:w="5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right"/>
              <w:ind w:right="67"/>
              <w:spacing w:after="0"/>
              <w:rPr>
                <w:sz w:val="20"/>
                <w:szCs w:val="20"/>
                <w:color w:val="auto"/>
              </w:rPr>
            </w:pPr>
            <w:r>
              <w:rPr>
                <w:rFonts w:ascii="Arial" w:cs="Arial" w:eastAsia="Arial" w:hAnsi="Arial"/>
                <w:sz w:val="13"/>
                <w:szCs w:val="13"/>
                <w:color w:val="183964"/>
              </w:rPr>
              <w:t>Wholly-Owned</w:t>
            </w:r>
          </w:p>
        </w:tc>
        <w:tc>
          <w:tcPr>
            <w:tcW w:w="1440" w:type="dxa"/>
            <w:vAlign w:val="bottom"/>
          </w:tcPr>
          <w:p>
            <w:pPr>
              <w:jc w:val="right"/>
              <w:ind w:right="248"/>
              <w:spacing w:after="0"/>
              <w:rPr>
                <w:sz w:val="20"/>
                <w:szCs w:val="20"/>
                <w:color w:val="auto"/>
              </w:rPr>
            </w:pPr>
            <w:r>
              <w:rPr>
                <w:rFonts w:ascii="Arial" w:cs="Arial" w:eastAsia="Arial" w:hAnsi="Arial"/>
                <w:sz w:val="13"/>
                <w:szCs w:val="13"/>
                <w:color w:val="183964"/>
                <w:w w:val="96"/>
              </w:rPr>
              <w:t>Controlled Founded</w:t>
            </w:r>
          </w:p>
        </w:tc>
        <w:tc>
          <w:tcPr>
            <w:tcW w:w="1320" w:type="dxa"/>
            <w:vAlign w:val="bottom"/>
          </w:tcPr>
          <w:p>
            <w:pPr>
              <w:jc w:val="right"/>
              <w:ind w:right="287"/>
              <w:spacing w:after="0"/>
              <w:rPr>
                <w:sz w:val="20"/>
                <w:szCs w:val="20"/>
                <w:color w:val="auto"/>
              </w:rPr>
            </w:pPr>
            <w:r>
              <w:rPr>
                <w:rFonts w:ascii="Arial" w:cs="Arial" w:eastAsia="Arial" w:hAnsi="Arial"/>
                <w:sz w:val="13"/>
                <w:szCs w:val="13"/>
                <w:color w:val="183964"/>
              </w:rPr>
              <w:t>Company and</w:t>
            </w: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8"/>
        </w:trPr>
        <w:tc>
          <w:tcPr>
            <w:tcW w:w="5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right"/>
              <w:ind w:right="67"/>
              <w:spacing w:after="0"/>
              <w:rPr>
                <w:sz w:val="20"/>
                <w:szCs w:val="20"/>
                <w:color w:val="auto"/>
              </w:rPr>
            </w:pPr>
            <w:r>
              <w:rPr>
                <w:rFonts w:ascii="Arial" w:cs="Arial" w:eastAsia="Arial" w:hAnsi="Arial"/>
                <w:sz w:val="13"/>
                <w:szCs w:val="13"/>
                <w:color w:val="183964"/>
              </w:rPr>
              <w:t>Programs</w:t>
            </w:r>
          </w:p>
        </w:tc>
        <w:tc>
          <w:tcPr>
            <w:tcW w:w="1440" w:type="dxa"/>
            <w:vAlign w:val="bottom"/>
          </w:tcPr>
          <w:p>
            <w:pPr>
              <w:jc w:val="right"/>
              <w:ind w:right="248"/>
              <w:spacing w:after="0"/>
              <w:rPr>
                <w:sz w:val="20"/>
                <w:szCs w:val="20"/>
                <w:color w:val="auto"/>
              </w:rPr>
            </w:pPr>
            <w:r>
              <w:rPr>
                <w:rFonts w:ascii="Arial" w:cs="Arial" w:eastAsia="Arial" w:hAnsi="Arial"/>
                <w:sz w:val="13"/>
                <w:szCs w:val="13"/>
                <w:color w:val="183964"/>
              </w:rPr>
              <w:t>Entities</w:t>
            </w:r>
          </w:p>
        </w:tc>
        <w:tc>
          <w:tcPr>
            <w:tcW w:w="1320" w:type="dxa"/>
            <w:vAlign w:val="bottom"/>
          </w:tcPr>
          <w:p>
            <w:pPr>
              <w:jc w:val="right"/>
              <w:ind w:right="287"/>
              <w:spacing w:after="0"/>
              <w:rPr>
                <w:sz w:val="20"/>
                <w:szCs w:val="20"/>
                <w:color w:val="auto"/>
              </w:rPr>
            </w:pPr>
            <w:r>
              <w:rPr>
                <w:rFonts w:ascii="Arial" w:cs="Arial" w:eastAsia="Arial" w:hAnsi="Arial"/>
                <w:sz w:val="13"/>
                <w:szCs w:val="13"/>
                <w:color w:val="183964"/>
              </w:rPr>
              <w:t>Other</w:t>
            </w: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183964"/>
              </w:rPr>
              <w:t>Consolidated</w:t>
            </w:r>
          </w:p>
        </w:tc>
      </w:tr>
      <w:tr>
        <w:trPr>
          <w:trHeight w:val="179"/>
        </w:trPr>
        <w:tc>
          <w:tcPr>
            <w:tcW w:w="5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ind w:right="67"/>
              <w:spacing w:after="0"/>
              <w:rPr>
                <w:sz w:val="20"/>
                <w:szCs w:val="20"/>
                <w:color w:val="auto"/>
              </w:rPr>
            </w:pPr>
            <w:r>
              <w:rPr>
                <w:rFonts w:ascii="Arial" w:cs="Arial" w:eastAsia="Arial" w:hAnsi="Arial"/>
                <w:sz w:val="13"/>
                <w:szCs w:val="13"/>
                <w:color w:val="183964"/>
              </w:rPr>
              <w:t>$</w:t>
            </w:r>
          </w:p>
        </w:tc>
        <w:tc>
          <w:tcPr>
            <w:tcW w:w="1440" w:type="dxa"/>
            <w:vAlign w:val="bottom"/>
          </w:tcPr>
          <w:p>
            <w:pPr>
              <w:jc w:val="right"/>
              <w:ind w:right="248"/>
              <w:spacing w:after="0"/>
              <w:rPr>
                <w:sz w:val="20"/>
                <w:szCs w:val="20"/>
                <w:color w:val="auto"/>
              </w:rPr>
            </w:pPr>
            <w:r>
              <w:rPr>
                <w:rFonts w:ascii="Arial" w:cs="Arial" w:eastAsia="Arial" w:hAnsi="Arial"/>
                <w:sz w:val="13"/>
                <w:szCs w:val="13"/>
                <w:color w:val="183964"/>
              </w:rPr>
              <w:t>$</w:t>
            </w:r>
          </w:p>
        </w:tc>
        <w:tc>
          <w:tcPr>
            <w:tcW w:w="1320" w:type="dxa"/>
            <w:vAlign w:val="bottom"/>
          </w:tcPr>
          <w:p>
            <w:pPr>
              <w:jc w:val="right"/>
              <w:ind w:right="287"/>
              <w:spacing w:after="0"/>
              <w:rPr>
                <w:sz w:val="20"/>
                <w:szCs w:val="20"/>
                <w:color w:val="auto"/>
              </w:rPr>
            </w:pPr>
            <w:r>
              <w:rPr>
                <w:rFonts w:ascii="Arial" w:cs="Arial" w:eastAsia="Arial" w:hAnsi="Arial"/>
                <w:sz w:val="13"/>
                <w:szCs w:val="13"/>
                <w:color w:val="183964"/>
              </w:rPr>
              <w:t>$</w:t>
            </w:r>
          </w:p>
        </w:tc>
        <w:tc>
          <w:tcPr>
            <w:tcW w:w="920" w:type="dxa"/>
            <w:vAlign w:val="bottom"/>
          </w:tcPr>
          <w:p>
            <w:pPr>
              <w:jc w:val="right"/>
              <w:spacing w:after="0"/>
              <w:rPr>
                <w:sz w:val="20"/>
                <w:szCs w:val="20"/>
                <w:color w:val="auto"/>
              </w:rPr>
            </w:pPr>
            <w:r>
              <w:rPr>
                <w:rFonts w:ascii="Arial" w:cs="Arial" w:eastAsia="Arial" w:hAnsi="Arial"/>
                <w:sz w:val="13"/>
                <w:szCs w:val="13"/>
                <w:color w:val="183964"/>
              </w:rPr>
              <w:t>$</w:t>
            </w:r>
          </w:p>
        </w:tc>
        <w:tc>
          <w:tcPr>
            <w:tcW w:w="200" w:type="dxa"/>
            <w:vAlign w:val="bottom"/>
          </w:tcPr>
          <w:p>
            <w:pPr>
              <w:spacing w:after="0"/>
              <w:rPr>
                <w:sz w:val="15"/>
                <w:szCs w:val="15"/>
                <w:color w:val="auto"/>
              </w:rPr>
            </w:pPr>
          </w:p>
        </w:tc>
      </w:tr>
      <w:tr>
        <w:trPr>
          <w:trHeight w:val="28"/>
        </w:trPr>
        <w:tc>
          <w:tcPr>
            <w:tcW w:w="5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03"/>
        </w:trPr>
        <w:tc>
          <w:tcPr>
            <w:tcW w:w="6040" w:type="dxa"/>
            <w:vAlign w:val="bottom"/>
            <w:gridSpan w:val="2"/>
          </w:tcPr>
          <w:p>
            <w:pPr>
              <w:ind w:left="20"/>
              <w:spacing w:after="0"/>
              <w:rPr>
                <w:sz w:val="20"/>
                <w:szCs w:val="20"/>
                <w:color w:val="auto"/>
              </w:rPr>
            </w:pPr>
            <w:r>
              <w:rPr>
                <w:rFonts w:ascii="Arial" w:cs="Arial" w:eastAsia="Arial" w:hAnsi="Arial"/>
                <w:sz w:val="15"/>
                <w:szCs w:val="15"/>
                <w:color w:val="auto"/>
              </w:rPr>
              <w:t>Contract revenue</w:t>
            </w:r>
          </w:p>
        </w:tc>
        <w:tc>
          <w:tcPr>
            <w:tcW w:w="1300" w:type="dxa"/>
            <w:vAlign w:val="bottom"/>
          </w:tcPr>
          <w:p>
            <w:pPr>
              <w:jc w:val="right"/>
              <w:ind w:right="127"/>
              <w:spacing w:after="0"/>
              <w:rPr>
                <w:sz w:val="20"/>
                <w:szCs w:val="20"/>
                <w:color w:val="auto"/>
              </w:rPr>
            </w:pPr>
            <w:r>
              <w:rPr>
                <w:rFonts w:ascii="Arial" w:cs="Arial" w:eastAsia="Arial" w:hAnsi="Arial"/>
                <w:sz w:val="15"/>
                <w:szCs w:val="15"/>
                <w:color w:val="183964"/>
              </w:rPr>
              <w:t>—</w:t>
            </w:r>
          </w:p>
        </w:tc>
        <w:tc>
          <w:tcPr>
            <w:tcW w:w="1440" w:type="dxa"/>
            <w:vAlign w:val="bottom"/>
          </w:tcPr>
          <w:p>
            <w:pPr>
              <w:jc w:val="right"/>
              <w:ind w:right="288"/>
              <w:spacing w:after="0"/>
              <w:rPr>
                <w:sz w:val="20"/>
                <w:szCs w:val="20"/>
                <w:color w:val="auto"/>
              </w:rPr>
            </w:pPr>
            <w:r>
              <w:rPr>
                <w:rFonts w:ascii="Arial" w:cs="Arial" w:eastAsia="Arial" w:hAnsi="Arial"/>
                <w:sz w:val="15"/>
                <w:szCs w:val="15"/>
                <w:color w:val="183964"/>
              </w:rPr>
              <w:t>750</w:t>
            </w:r>
          </w:p>
        </w:tc>
        <w:tc>
          <w:tcPr>
            <w:tcW w:w="1320" w:type="dxa"/>
            <w:vAlign w:val="bottom"/>
          </w:tcPr>
          <w:p>
            <w:pPr>
              <w:jc w:val="right"/>
              <w:ind w:right="347"/>
              <w:spacing w:after="0"/>
              <w:rPr>
                <w:sz w:val="20"/>
                <w:szCs w:val="20"/>
                <w:color w:val="auto"/>
              </w:rPr>
            </w:pPr>
            <w:r>
              <w:rPr>
                <w:rFonts w:ascii="Arial" w:cs="Arial" w:eastAsia="Arial" w:hAnsi="Arial"/>
                <w:sz w:val="15"/>
                <w:szCs w:val="15"/>
                <w:color w:val="183964"/>
              </w:rPr>
              <w:t>—</w:t>
            </w:r>
          </w:p>
        </w:tc>
        <w:tc>
          <w:tcPr>
            <w:tcW w:w="920" w:type="dxa"/>
            <w:vAlign w:val="bottom"/>
          </w:tcPr>
          <w:p>
            <w:pPr>
              <w:jc w:val="right"/>
              <w:spacing w:after="0"/>
              <w:rPr>
                <w:sz w:val="20"/>
                <w:szCs w:val="20"/>
                <w:color w:val="auto"/>
              </w:rPr>
            </w:pPr>
            <w:r>
              <w:rPr>
                <w:rFonts w:ascii="Arial" w:cs="Arial" w:eastAsia="Arial" w:hAnsi="Arial"/>
                <w:sz w:val="15"/>
                <w:szCs w:val="15"/>
                <w:color w:val="183964"/>
              </w:rPr>
              <w:t>750</w:t>
            </w:r>
          </w:p>
        </w:tc>
        <w:tc>
          <w:tcPr>
            <w:tcW w:w="200" w:type="dxa"/>
            <w:vAlign w:val="bottom"/>
          </w:tcPr>
          <w:p>
            <w:pPr>
              <w:spacing w:after="0"/>
              <w:rPr>
                <w:sz w:val="17"/>
                <w:szCs w:val="17"/>
                <w:color w:val="auto"/>
              </w:rPr>
            </w:pPr>
          </w:p>
        </w:tc>
      </w:tr>
      <w:tr>
        <w:trPr>
          <w:trHeight w:val="243"/>
        </w:trPr>
        <w:tc>
          <w:tcPr>
            <w:tcW w:w="6040" w:type="dxa"/>
            <w:vAlign w:val="bottom"/>
            <w:gridSpan w:val="2"/>
          </w:tcPr>
          <w:p>
            <w:pPr>
              <w:ind w:left="20"/>
              <w:spacing w:after="0"/>
              <w:rPr>
                <w:sz w:val="20"/>
                <w:szCs w:val="20"/>
                <w:color w:val="auto"/>
              </w:rPr>
            </w:pPr>
            <w:r>
              <w:rPr>
                <w:rFonts w:ascii="Arial" w:cs="Arial" w:eastAsia="Arial" w:hAnsi="Arial"/>
                <w:sz w:val="15"/>
                <w:szCs w:val="15"/>
                <w:color w:val="auto"/>
              </w:rPr>
              <w:t>Grant revenue</w:t>
            </w:r>
          </w:p>
        </w:tc>
        <w:tc>
          <w:tcPr>
            <w:tcW w:w="1300" w:type="dxa"/>
            <w:vAlign w:val="bottom"/>
          </w:tcPr>
          <w:p>
            <w:pPr>
              <w:jc w:val="right"/>
              <w:ind w:right="127"/>
              <w:spacing w:after="0"/>
              <w:rPr>
                <w:sz w:val="20"/>
                <w:szCs w:val="20"/>
                <w:color w:val="auto"/>
              </w:rPr>
            </w:pPr>
            <w:r>
              <w:rPr>
                <w:rFonts w:ascii="Arial" w:cs="Arial" w:eastAsia="Arial" w:hAnsi="Arial"/>
                <w:sz w:val="15"/>
                <w:szCs w:val="15"/>
                <w:color w:val="183964"/>
              </w:rPr>
              <w:t>135</w:t>
            </w:r>
          </w:p>
        </w:tc>
        <w:tc>
          <w:tcPr>
            <w:tcW w:w="1440" w:type="dxa"/>
            <w:vAlign w:val="bottom"/>
          </w:tcPr>
          <w:p>
            <w:pPr>
              <w:jc w:val="right"/>
              <w:ind w:right="288"/>
              <w:spacing w:after="0"/>
              <w:rPr>
                <w:sz w:val="20"/>
                <w:szCs w:val="20"/>
                <w:color w:val="auto"/>
              </w:rPr>
            </w:pPr>
            <w:r>
              <w:rPr>
                <w:rFonts w:ascii="Arial" w:cs="Arial" w:eastAsia="Arial" w:hAnsi="Arial"/>
                <w:sz w:val="15"/>
                <w:szCs w:val="15"/>
                <w:color w:val="183964"/>
              </w:rPr>
              <w:t>—</w:t>
            </w:r>
          </w:p>
        </w:tc>
        <w:tc>
          <w:tcPr>
            <w:tcW w:w="1320" w:type="dxa"/>
            <w:vAlign w:val="bottom"/>
          </w:tcPr>
          <w:p>
            <w:pPr>
              <w:jc w:val="right"/>
              <w:ind w:right="347"/>
              <w:spacing w:after="0"/>
              <w:rPr>
                <w:sz w:val="20"/>
                <w:szCs w:val="20"/>
                <w:color w:val="auto"/>
              </w:rPr>
            </w:pPr>
            <w:r>
              <w:rPr>
                <w:rFonts w:ascii="Arial" w:cs="Arial" w:eastAsia="Arial" w:hAnsi="Arial"/>
                <w:sz w:val="15"/>
                <w:szCs w:val="15"/>
                <w:color w:val="183964"/>
              </w:rPr>
              <w:t>2,265</w:t>
            </w:r>
          </w:p>
        </w:tc>
        <w:tc>
          <w:tcPr>
            <w:tcW w:w="920" w:type="dxa"/>
            <w:vAlign w:val="bottom"/>
          </w:tcPr>
          <w:p>
            <w:pPr>
              <w:jc w:val="right"/>
              <w:spacing w:after="0"/>
              <w:rPr>
                <w:sz w:val="20"/>
                <w:szCs w:val="20"/>
                <w:color w:val="auto"/>
              </w:rPr>
            </w:pPr>
            <w:r>
              <w:rPr>
                <w:rFonts w:ascii="Arial" w:cs="Arial" w:eastAsia="Arial" w:hAnsi="Arial"/>
                <w:sz w:val="15"/>
                <w:szCs w:val="15"/>
                <w:color w:val="183964"/>
              </w:rPr>
              <w:t>2,400</w:t>
            </w:r>
          </w:p>
        </w:tc>
        <w:tc>
          <w:tcPr>
            <w:tcW w:w="200" w:type="dxa"/>
            <w:vAlign w:val="bottom"/>
          </w:tcPr>
          <w:p>
            <w:pPr>
              <w:spacing w:after="0"/>
              <w:rPr>
                <w:sz w:val="21"/>
                <w:szCs w:val="21"/>
                <w:color w:val="auto"/>
              </w:rPr>
            </w:pPr>
          </w:p>
        </w:tc>
      </w:tr>
      <w:tr>
        <w:trPr>
          <w:trHeight w:val="33"/>
        </w:trPr>
        <w:tc>
          <w:tcPr>
            <w:tcW w:w="5940" w:type="dxa"/>
            <w:vAlign w:val="bottom"/>
            <w:tcBorders>
              <w:bottom w:val="single" w:sz="8" w:color="183964"/>
            </w:tcBorders>
          </w:tcPr>
          <w:p>
            <w:pPr>
              <w:spacing w:after="0"/>
              <w:rPr>
                <w:sz w:val="2"/>
                <w:szCs w:val="2"/>
                <w:color w:val="auto"/>
              </w:rPr>
            </w:pPr>
          </w:p>
        </w:tc>
        <w:tc>
          <w:tcPr>
            <w:tcW w:w="100" w:type="dxa"/>
            <w:vAlign w:val="bottom"/>
            <w:tcBorders>
              <w:bottom w:val="single" w:sz="8" w:color="183964"/>
            </w:tcBorders>
          </w:tcPr>
          <w:p>
            <w:pPr>
              <w:spacing w:after="0"/>
              <w:rPr>
                <w:sz w:val="2"/>
                <w:szCs w:val="2"/>
                <w:color w:val="auto"/>
              </w:rPr>
            </w:pPr>
          </w:p>
        </w:tc>
        <w:tc>
          <w:tcPr>
            <w:tcW w:w="1300" w:type="dxa"/>
            <w:vAlign w:val="bottom"/>
            <w:tcBorders>
              <w:bottom w:val="single" w:sz="8" w:color="183964"/>
            </w:tcBorders>
          </w:tcPr>
          <w:p>
            <w:pPr>
              <w:spacing w:after="0"/>
              <w:rPr>
                <w:sz w:val="2"/>
                <w:szCs w:val="2"/>
                <w:color w:val="auto"/>
              </w:rPr>
            </w:pPr>
          </w:p>
        </w:tc>
        <w:tc>
          <w:tcPr>
            <w:tcW w:w="1440" w:type="dxa"/>
            <w:vAlign w:val="bottom"/>
            <w:tcBorders>
              <w:bottom w:val="single" w:sz="8" w:color="183964"/>
            </w:tcBorders>
          </w:tcPr>
          <w:p>
            <w:pPr>
              <w:spacing w:after="0"/>
              <w:rPr>
                <w:sz w:val="2"/>
                <w:szCs w:val="2"/>
                <w:color w:val="auto"/>
              </w:rPr>
            </w:pPr>
          </w:p>
        </w:tc>
        <w:tc>
          <w:tcPr>
            <w:tcW w:w="1320" w:type="dxa"/>
            <w:vAlign w:val="bottom"/>
            <w:tcBorders>
              <w:bottom w:val="single" w:sz="8" w:color="183964"/>
            </w:tcBorders>
          </w:tcPr>
          <w:p>
            <w:pPr>
              <w:spacing w:after="0"/>
              <w:rPr>
                <w:sz w:val="2"/>
                <w:szCs w:val="2"/>
                <w:color w:val="auto"/>
              </w:rPr>
            </w:pPr>
          </w:p>
        </w:tc>
        <w:tc>
          <w:tcPr>
            <w:tcW w:w="920" w:type="dxa"/>
            <w:vAlign w:val="bottom"/>
            <w:tcBorders>
              <w:bottom w:val="single" w:sz="8" w:color="183964"/>
            </w:tcBorders>
          </w:tcPr>
          <w:p>
            <w:pPr>
              <w:spacing w:after="0"/>
              <w:rPr>
                <w:sz w:val="2"/>
                <w:szCs w:val="2"/>
                <w:color w:val="auto"/>
              </w:rPr>
            </w:pPr>
          </w:p>
        </w:tc>
        <w:tc>
          <w:tcPr>
            <w:tcW w:w="200" w:type="dxa"/>
            <w:vAlign w:val="bottom"/>
          </w:tcPr>
          <w:p>
            <w:pPr>
              <w:spacing w:after="0"/>
              <w:rPr>
                <w:sz w:val="2"/>
                <w:szCs w:val="2"/>
                <w:color w:val="auto"/>
              </w:rPr>
            </w:pPr>
          </w:p>
        </w:tc>
      </w:tr>
      <w:tr>
        <w:trPr>
          <w:trHeight w:val="203"/>
        </w:trPr>
        <w:tc>
          <w:tcPr>
            <w:tcW w:w="6040" w:type="dxa"/>
            <w:vAlign w:val="bottom"/>
            <w:gridSpan w:val="2"/>
          </w:tcPr>
          <w:p>
            <w:pPr>
              <w:ind w:left="20"/>
              <w:spacing w:after="0"/>
              <w:rPr>
                <w:sz w:val="20"/>
                <w:szCs w:val="20"/>
                <w:color w:val="auto"/>
              </w:rPr>
            </w:pPr>
            <w:r>
              <w:rPr>
                <w:rFonts w:ascii="Arial" w:cs="Arial" w:eastAsia="Arial" w:hAnsi="Arial"/>
                <w:sz w:val="15"/>
                <w:szCs w:val="15"/>
                <w:color w:val="auto"/>
              </w:rPr>
              <w:t>Total revenue</w:t>
            </w:r>
          </w:p>
        </w:tc>
        <w:tc>
          <w:tcPr>
            <w:tcW w:w="1300" w:type="dxa"/>
            <w:vAlign w:val="bottom"/>
          </w:tcPr>
          <w:p>
            <w:pPr>
              <w:jc w:val="right"/>
              <w:ind w:right="127"/>
              <w:spacing w:after="0"/>
              <w:rPr>
                <w:sz w:val="20"/>
                <w:szCs w:val="20"/>
                <w:color w:val="auto"/>
              </w:rPr>
            </w:pPr>
            <w:r>
              <w:rPr>
                <w:rFonts w:ascii="Arial" w:cs="Arial" w:eastAsia="Arial" w:hAnsi="Arial"/>
                <w:sz w:val="15"/>
                <w:szCs w:val="15"/>
                <w:color w:val="183964"/>
              </w:rPr>
              <w:t>135</w:t>
            </w:r>
          </w:p>
        </w:tc>
        <w:tc>
          <w:tcPr>
            <w:tcW w:w="1440" w:type="dxa"/>
            <w:vAlign w:val="bottom"/>
          </w:tcPr>
          <w:p>
            <w:pPr>
              <w:jc w:val="right"/>
              <w:ind w:right="288"/>
              <w:spacing w:after="0"/>
              <w:rPr>
                <w:sz w:val="20"/>
                <w:szCs w:val="20"/>
                <w:color w:val="auto"/>
              </w:rPr>
            </w:pPr>
            <w:r>
              <w:rPr>
                <w:rFonts w:ascii="Arial" w:cs="Arial" w:eastAsia="Arial" w:hAnsi="Arial"/>
                <w:sz w:val="15"/>
                <w:szCs w:val="15"/>
                <w:color w:val="183964"/>
              </w:rPr>
              <w:t>750</w:t>
            </w:r>
          </w:p>
        </w:tc>
        <w:tc>
          <w:tcPr>
            <w:tcW w:w="1320" w:type="dxa"/>
            <w:vAlign w:val="bottom"/>
          </w:tcPr>
          <w:p>
            <w:pPr>
              <w:jc w:val="right"/>
              <w:ind w:right="347"/>
              <w:spacing w:after="0"/>
              <w:rPr>
                <w:sz w:val="20"/>
                <w:szCs w:val="20"/>
                <w:color w:val="auto"/>
              </w:rPr>
            </w:pPr>
            <w:r>
              <w:rPr>
                <w:rFonts w:ascii="Arial" w:cs="Arial" w:eastAsia="Arial" w:hAnsi="Arial"/>
                <w:sz w:val="15"/>
                <w:szCs w:val="15"/>
                <w:color w:val="183964"/>
              </w:rPr>
              <w:t>2,265</w:t>
            </w:r>
          </w:p>
        </w:tc>
        <w:tc>
          <w:tcPr>
            <w:tcW w:w="920" w:type="dxa"/>
            <w:vAlign w:val="bottom"/>
          </w:tcPr>
          <w:p>
            <w:pPr>
              <w:jc w:val="right"/>
              <w:spacing w:after="0"/>
              <w:rPr>
                <w:sz w:val="20"/>
                <w:szCs w:val="20"/>
                <w:color w:val="auto"/>
              </w:rPr>
            </w:pPr>
            <w:r>
              <w:rPr>
                <w:rFonts w:ascii="Arial" w:cs="Arial" w:eastAsia="Arial" w:hAnsi="Arial"/>
                <w:sz w:val="15"/>
                <w:szCs w:val="15"/>
                <w:color w:val="183964"/>
              </w:rPr>
              <w:t>3,150</w:t>
            </w:r>
          </w:p>
        </w:tc>
        <w:tc>
          <w:tcPr>
            <w:tcW w:w="200" w:type="dxa"/>
            <w:vAlign w:val="bottom"/>
          </w:tcPr>
          <w:p>
            <w:pPr>
              <w:spacing w:after="0"/>
              <w:rPr>
                <w:sz w:val="17"/>
                <w:szCs w:val="17"/>
                <w:color w:val="auto"/>
              </w:rPr>
            </w:pPr>
          </w:p>
        </w:tc>
      </w:tr>
      <w:tr>
        <w:trPr>
          <w:trHeight w:val="33"/>
        </w:trPr>
        <w:tc>
          <w:tcPr>
            <w:tcW w:w="5940" w:type="dxa"/>
            <w:vAlign w:val="bottom"/>
            <w:tcBorders>
              <w:bottom w:val="single" w:sz="8" w:color="183964"/>
            </w:tcBorders>
          </w:tcPr>
          <w:p>
            <w:pPr>
              <w:spacing w:after="0"/>
              <w:rPr>
                <w:sz w:val="2"/>
                <w:szCs w:val="2"/>
                <w:color w:val="auto"/>
              </w:rPr>
            </w:pPr>
          </w:p>
        </w:tc>
        <w:tc>
          <w:tcPr>
            <w:tcW w:w="100" w:type="dxa"/>
            <w:vAlign w:val="bottom"/>
            <w:tcBorders>
              <w:bottom w:val="single" w:sz="8" w:color="183964"/>
            </w:tcBorders>
          </w:tcPr>
          <w:p>
            <w:pPr>
              <w:spacing w:after="0"/>
              <w:rPr>
                <w:sz w:val="2"/>
                <w:szCs w:val="2"/>
                <w:color w:val="auto"/>
              </w:rPr>
            </w:pPr>
          </w:p>
        </w:tc>
        <w:tc>
          <w:tcPr>
            <w:tcW w:w="1300" w:type="dxa"/>
            <w:vAlign w:val="bottom"/>
            <w:tcBorders>
              <w:bottom w:val="single" w:sz="8" w:color="183964"/>
            </w:tcBorders>
          </w:tcPr>
          <w:p>
            <w:pPr>
              <w:spacing w:after="0"/>
              <w:rPr>
                <w:sz w:val="2"/>
                <w:szCs w:val="2"/>
                <w:color w:val="auto"/>
              </w:rPr>
            </w:pPr>
          </w:p>
        </w:tc>
        <w:tc>
          <w:tcPr>
            <w:tcW w:w="1440" w:type="dxa"/>
            <w:vAlign w:val="bottom"/>
            <w:tcBorders>
              <w:bottom w:val="single" w:sz="8" w:color="183964"/>
            </w:tcBorders>
          </w:tcPr>
          <w:p>
            <w:pPr>
              <w:spacing w:after="0"/>
              <w:rPr>
                <w:sz w:val="2"/>
                <w:szCs w:val="2"/>
                <w:color w:val="auto"/>
              </w:rPr>
            </w:pPr>
          </w:p>
        </w:tc>
        <w:tc>
          <w:tcPr>
            <w:tcW w:w="1320" w:type="dxa"/>
            <w:vAlign w:val="bottom"/>
            <w:tcBorders>
              <w:bottom w:val="single" w:sz="8" w:color="183964"/>
            </w:tcBorders>
          </w:tcPr>
          <w:p>
            <w:pPr>
              <w:spacing w:after="0"/>
              <w:rPr>
                <w:sz w:val="2"/>
                <w:szCs w:val="2"/>
                <w:color w:val="auto"/>
              </w:rPr>
            </w:pPr>
          </w:p>
        </w:tc>
        <w:tc>
          <w:tcPr>
            <w:tcW w:w="920" w:type="dxa"/>
            <w:vAlign w:val="bottom"/>
            <w:tcBorders>
              <w:bottom w:val="single" w:sz="8" w:color="183964"/>
            </w:tcBorders>
          </w:tcPr>
          <w:p>
            <w:pPr>
              <w:spacing w:after="0"/>
              <w:rPr>
                <w:sz w:val="2"/>
                <w:szCs w:val="2"/>
                <w:color w:val="auto"/>
              </w:rPr>
            </w:pPr>
          </w:p>
        </w:tc>
        <w:tc>
          <w:tcPr>
            <w:tcW w:w="200" w:type="dxa"/>
            <w:vAlign w:val="bottom"/>
          </w:tcPr>
          <w:p>
            <w:pPr>
              <w:spacing w:after="0"/>
              <w:rPr>
                <w:sz w:val="2"/>
                <w:szCs w:val="2"/>
                <w:color w:val="auto"/>
              </w:rPr>
            </w:pPr>
          </w:p>
        </w:tc>
      </w:tr>
      <w:tr>
        <w:trPr>
          <w:trHeight w:val="203"/>
        </w:trPr>
        <w:tc>
          <w:tcPr>
            <w:tcW w:w="6040" w:type="dxa"/>
            <w:vAlign w:val="bottom"/>
            <w:gridSpan w:val="2"/>
          </w:tcPr>
          <w:p>
            <w:pPr>
              <w:ind w:left="20"/>
              <w:spacing w:after="0"/>
              <w:rPr>
                <w:sz w:val="20"/>
                <w:szCs w:val="20"/>
                <w:color w:val="auto"/>
              </w:rPr>
            </w:pPr>
            <w:r>
              <w:rPr>
                <w:rFonts w:ascii="Arial" w:cs="Arial" w:eastAsia="Arial" w:hAnsi="Arial"/>
                <w:sz w:val="15"/>
                <w:szCs w:val="15"/>
                <w:color w:val="auto"/>
              </w:rPr>
              <w:t>General and administrative expenses</w:t>
            </w:r>
          </w:p>
        </w:tc>
        <w:tc>
          <w:tcPr>
            <w:tcW w:w="1300" w:type="dxa"/>
            <w:vAlign w:val="bottom"/>
          </w:tcPr>
          <w:p>
            <w:pPr>
              <w:jc w:val="right"/>
              <w:ind w:right="67"/>
              <w:spacing w:after="0"/>
              <w:rPr>
                <w:sz w:val="20"/>
                <w:szCs w:val="20"/>
                <w:color w:val="auto"/>
              </w:rPr>
            </w:pPr>
            <w:r>
              <w:rPr>
                <w:rFonts w:ascii="Arial" w:cs="Arial" w:eastAsia="Arial" w:hAnsi="Arial"/>
                <w:sz w:val="15"/>
                <w:szCs w:val="15"/>
                <w:color w:val="183964"/>
              </w:rPr>
              <w:t>(6,981)</w:t>
            </w:r>
          </w:p>
        </w:tc>
        <w:tc>
          <w:tcPr>
            <w:tcW w:w="1440" w:type="dxa"/>
            <w:vAlign w:val="bottom"/>
          </w:tcPr>
          <w:p>
            <w:pPr>
              <w:jc w:val="right"/>
              <w:ind w:right="248"/>
              <w:spacing w:after="0"/>
              <w:rPr>
                <w:sz w:val="20"/>
                <w:szCs w:val="20"/>
                <w:color w:val="auto"/>
              </w:rPr>
            </w:pPr>
            <w:r>
              <w:rPr>
                <w:rFonts w:ascii="Arial" w:cs="Arial" w:eastAsia="Arial" w:hAnsi="Arial"/>
                <w:sz w:val="15"/>
                <w:szCs w:val="15"/>
                <w:color w:val="183964"/>
              </w:rPr>
              <w:t>(237)</w:t>
            </w:r>
          </w:p>
        </w:tc>
        <w:tc>
          <w:tcPr>
            <w:tcW w:w="1320" w:type="dxa"/>
            <w:vAlign w:val="bottom"/>
          </w:tcPr>
          <w:p>
            <w:pPr>
              <w:jc w:val="right"/>
              <w:ind w:right="307"/>
              <w:spacing w:after="0"/>
              <w:rPr>
                <w:sz w:val="20"/>
                <w:szCs w:val="20"/>
                <w:color w:val="auto"/>
              </w:rPr>
            </w:pPr>
            <w:r>
              <w:rPr>
                <w:rFonts w:ascii="Arial" w:cs="Arial" w:eastAsia="Arial" w:hAnsi="Arial"/>
                <w:sz w:val="15"/>
                <w:szCs w:val="15"/>
                <w:color w:val="183964"/>
              </w:rPr>
              <w:t>(18,947)</w:t>
            </w:r>
          </w:p>
        </w:tc>
        <w:tc>
          <w:tcPr>
            <w:tcW w:w="920" w:type="dxa"/>
            <w:vAlign w:val="bottom"/>
          </w:tcPr>
          <w:p>
            <w:pPr>
              <w:jc w:val="right"/>
              <w:spacing w:after="0"/>
              <w:rPr>
                <w:sz w:val="20"/>
                <w:szCs w:val="20"/>
                <w:color w:val="auto"/>
              </w:rPr>
            </w:pPr>
            <w:r>
              <w:rPr>
                <w:rFonts w:ascii="Arial" w:cs="Arial" w:eastAsia="Arial" w:hAnsi="Arial"/>
                <w:sz w:val="15"/>
                <w:szCs w:val="15"/>
                <w:color w:val="183964"/>
              </w:rPr>
              <w:t>(26,166)</w:t>
            </w:r>
          </w:p>
        </w:tc>
        <w:tc>
          <w:tcPr>
            <w:tcW w:w="200" w:type="dxa"/>
            <w:vAlign w:val="bottom"/>
          </w:tcPr>
          <w:p>
            <w:pPr>
              <w:spacing w:after="0"/>
              <w:rPr>
                <w:sz w:val="17"/>
                <w:szCs w:val="17"/>
                <w:color w:val="auto"/>
              </w:rPr>
            </w:pPr>
          </w:p>
        </w:tc>
      </w:tr>
      <w:tr>
        <w:trPr>
          <w:trHeight w:val="243"/>
        </w:trPr>
        <w:tc>
          <w:tcPr>
            <w:tcW w:w="6040" w:type="dxa"/>
            <w:vAlign w:val="bottom"/>
            <w:gridSpan w:val="2"/>
          </w:tcPr>
          <w:p>
            <w:pPr>
              <w:ind w:left="20"/>
              <w:spacing w:after="0"/>
              <w:rPr>
                <w:sz w:val="20"/>
                <w:szCs w:val="20"/>
                <w:color w:val="auto"/>
              </w:rPr>
            </w:pPr>
            <w:r>
              <w:rPr>
                <w:rFonts w:ascii="Arial" w:cs="Arial" w:eastAsia="Arial" w:hAnsi="Arial"/>
                <w:sz w:val="15"/>
                <w:szCs w:val="15"/>
                <w:color w:val="auto"/>
              </w:rPr>
              <w:t>Research and development expenses</w:t>
            </w:r>
          </w:p>
        </w:tc>
        <w:tc>
          <w:tcPr>
            <w:tcW w:w="1300" w:type="dxa"/>
            <w:vAlign w:val="bottom"/>
          </w:tcPr>
          <w:p>
            <w:pPr>
              <w:jc w:val="right"/>
              <w:ind w:right="67"/>
              <w:spacing w:after="0"/>
              <w:rPr>
                <w:sz w:val="20"/>
                <w:szCs w:val="20"/>
                <w:color w:val="auto"/>
              </w:rPr>
            </w:pPr>
            <w:r>
              <w:rPr>
                <w:rFonts w:ascii="Arial" w:cs="Arial" w:eastAsia="Arial" w:hAnsi="Arial"/>
                <w:sz w:val="15"/>
                <w:szCs w:val="15"/>
                <w:color w:val="183964"/>
              </w:rPr>
              <w:t>(45,139)</w:t>
            </w:r>
          </w:p>
        </w:tc>
        <w:tc>
          <w:tcPr>
            <w:tcW w:w="1440" w:type="dxa"/>
            <w:vAlign w:val="bottom"/>
          </w:tcPr>
          <w:p>
            <w:pPr>
              <w:jc w:val="right"/>
              <w:ind w:right="248"/>
              <w:spacing w:after="0"/>
              <w:rPr>
                <w:sz w:val="20"/>
                <w:szCs w:val="20"/>
                <w:color w:val="auto"/>
              </w:rPr>
            </w:pPr>
            <w:r>
              <w:rPr>
                <w:rFonts w:ascii="Arial" w:cs="Arial" w:eastAsia="Arial" w:hAnsi="Arial"/>
                <w:sz w:val="15"/>
                <w:szCs w:val="15"/>
                <w:color w:val="183964"/>
              </w:rPr>
              <w:t>(368)</w:t>
            </w:r>
          </w:p>
        </w:tc>
        <w:tc>
          <w:tcPr>
            <w:tcW w:w="1320" w:type="dxa"/>
            <w:vAlign w:val="bottom"/>
          </w:tcPr>
          <w:p>
            <w:pPr>
              <w:jc w:val="right"/>
              <w:ind w:right="307"/>
              <w:spacing w:after="0"/>
              <w:rPr>
                <w:sz w:val="20"/>
                <w:szCs w:val="20"/>
                <w:color w:val="auto"/>
              </w:rPr>
            </w:pPr>
            <w:r>
              <w:rPr>
                <w:rFonts w:ascii="Arial" w:cs="Arial" w:eastAsia="Arial" w:hAnsi="Arial"/>
                <w:sz w:val="15"/>
                <w:szCs w:val="15"/>
                <w:color w:val="183964"/>
              </w:rPr>
              <w:t>(7,640)</w:t>
            </w:r>
          </w:p>
        </w:tc>
        <w:tc>
          <w:tcPr>
            <w:tcW w:w="920" w:type="dxa"/>
            <w:vAlign w:val="bottom"/>
          </w:tcPr>
          <w:p>
            <w:pPr>
              <w:jc w:val="right"/>
              <w:spacing w:after="0"/>
              <w:rPr>
                <w:sz w:val="20"/>
                <w:szCs w:val="20"/>
                <w:color w:val="auto"/>
              </w:rPr>
            </w:pPr>
            <w:r>
              <w:rPr>
                <w:rFonts w:ascii="Arial" w:cs="Arial" w:eastAsia="Arial" w:hAnsi="Arial"/>
                <w:sz w:val="15"/>
                <w:szCs w:val="15"/>
                <w:color w:val="183964"/>
              </w:rPr>
              <w:t>(53,146)</w:t>
            </w:r>
          </w:p>
        </w:tc>
        <w:tc>
          <w:tcPr>
            <w:tcW w:w="200" w:type="dxa"/>
            <w:vAlign w:val="bottom"/>
          </w:tcPr>
          <w:p>
            <w:pPr>
              <w:spacing w:after="0"/>
              <w:rPr>
                <w:sz w:val="21"/>
                <w:szCs w:val="21"/>
                <w:color w:val="auto"/>
              </w:rPr>
            </w:pPr>
          </w:p>
        </w:tc>
      </w:tr>
      <w:tr>
        <w:trPr>
          <w:trHeight w:val="33"/>
        </w:trPr>
        <w:tc>
          <w:tcPr>
            <w:tcW w:w="5940" w:type="dxa"/>
            <w:vAlign w:val="bottom"/>
            <w:tcBorders>
              <w:bottom w:val="single" w:sz="8" w:color="183964"/>
            </w:tcBorders>
          </w:tcPr>
          <w:p>
            <w:pPr>
              <w:spacing w:after="0"/>
              <w:rPr>
                <w:sz w:val="2"/>
                <w:szCs w:val="2"/>
                <w:color w:val="auto"/>
              </w:rPr>
            </w:pPr>
          </w:p>
        </w:tc>
        <w:tc>
          <w:tcPr>
            <w:tcW w:w="100" w:type="dxa"/>
            <w:vAlign w:val="bottom"/>
            <w:tcBorders>
              <w:bottom w:val="single" w:sz="8" w:color="183964"/>
            </w:tcBorders>
          </w:tcPr>
          <w:p>
            <w:pPr>
              <w:spacing w:after="0"/>
              <w:rPr>
                <w:sz w:val="2"/>
                <w:szCs w:val="2"/>
                <w:color w:val="auto"/>
              </w:rPr>
            </w:pPr>
          </w:p>
        </w:tc>
        <w:tc>
          <w:tcPr>
            <w:tcW w:w="1300" w:type="dxa"/>
            <w:vAlign w:val="bottom"/>
            <w:tcBorders>
              <w:bottom w:val="single" w:sz="8" w:color="183964"/>
            </w:tcBorders>
          </w:tcPr>
          <w:p>
            <w:pPr>
              <w:spacing w:after="0"/>
              <w:rPr>
                <w:sz w:val="2"/>
                <w:szCs w:val="2"/>
                <w:color w:val="auto"/>
              </w:rPr>
            </w:pPr>
          </w:p>
        </w:tc>
        <w:tc>
          <w:tcPr>
            <w:tcW w:w="1440" w:type="dxa"/>
            <w:vAlign w:val="bottom"/>
            <w:tcBorders>
              <w:bottom w:val="single" w:sz="8" w:color="183964"/>
            </w:tcBorders>
          </w:tcPr>
          <w:p>
            <w:pPr>
              <w:spacing w:after="0"/>
              <w:rPr>
                <w:sz w:val="2"/>
                <w:szCs w:val="2"/>
                <w:color w:val="auto"/>
              </w:rPr>
            </w:pPr>
          </w:p>
        </w:tc>
        <w:tc>
          <w:tcPr>
            <w:tcW w:w="1320" w:type="dxa"/>
            <w:vAlign w:val="bottom"/>
            <w:tcBorders>
              <w:bottom w:val="single" w:sz="8" w:color="183964"/>
            </w:tcBorders>
          </w:tcPr>
          <w:p>
            <w:pPr>
              <w:spacing w:after="0"/>
              <w:rPr>
                <w:sz w:val="2"/>
                <w:szCs w:val="2"/>
                <w:color w:val="auto"/>
              </w:rPr>
            </w:pPr>
          </w:p>
        </w:tc>
        <w:tc>
          <w:tcPr>
            <w:tcW w:w="920" w:type="dxa"/>
            <w:vAlign w:val="bottom"/>
            <w:tcBorders>
              <w:bottom w:val="single" w:sz="8" w:color="183964"/>
            </w:tcBorders>
          </w:tcPr>
          <w:p>
            <w:pPr>
              <w:spacing w:after="0"/>
              <w:rPr>
                <w:sz w:val="2"/>
                <w:szCs w:val="2"/>
                <w:color w:val="auto"/>
              </w:rPr>
            </w:pPr>
          </w:p>
        </w:tc>
        <w:tc>
          <w:tcPr>
            <w:tcW w:w="200" w:type="dxa"/>
            <w:vAlign w:val="bottom"/>
          </w:tcPr>
          <w:p>
            <w:pPr>
              <w:spacing w:after="0"/>
              <w:rPr>
                <w:sz w:val="2"/>
                <w:szCs w:val="2"/>
                <w:color w:val="auto"/>
              </w:rPr>
            </w:pPr>
          </w:p>
        </w:tc>
      </w:tr>
      <w:tr>
        <w:trPr>
          <w:trHeight w:val="203"/>
        </w:trPr>
        <w:tc>
          <w:tcPr>
            <w:tcW w:w="6040" w:type="dxa"/>
            <w:vAlign w:val="bottom"/>
            <w:gridSpan w:val="2"/>
          </w:tcPr>
          <w:p>
            <w:pPr>
              <w:ind w:left="20"/>
              <w:spacing w:after="0"/>
              <w:rPr>
                <w:sz w:val="20"/>
                <w:szCs w:val="20"/>
                <w:color w:val="auto"/>
              </w:rPr>
            </w:pPr>
            <w:r>
              <w:rPr>
                <w:rFonts w:ascii="Arial" w:cs="Arial" w:eastAsia="Arial" w:hAnsi="Arial"/>
                <w:sz w:val="15"/>
                <w:szCs w:val="15"/>
                <w:color w:val="auto"/>
              </w:rPr>
              <w:t>Total Operating expenses</w:t>
            </w:r>
          </w:p>
        </w:tc>
        <w:tc>
          <w:tcPr>
            <w:tcW w:w="1300" w:type="dxa"/>
            <w:vAlign w:val="bottom"/>
          </w:tcPr>
          <w:p>
            <w:pPr>
              <w:jc w:val="right"/>
              <w:ind w:right="67"/>
              <w:spacing w:after="0"/>
              <w:rPr>
                <w:sz w:val="20"/>
                <w:szCs w:val="20"/>
                <w:color w:val="auto"/>
              </w:rPr>
            </w:pPr>
            <w:r>
              <w:rPr>
                <w:rFonts w:ascii="Arial" w:cs="Arial" w:eastAsia="Arial" w:hAnsi="Arial"/>
                <w:sz w:val="15"/>
                <w:szCs w:val="15"/>
                <w:color w:val="183964"/>
              </w:rPr>
              <w:t>(52,120)</w:t>
            </w:r>
          </w:p>
        </w:tc>
        <w:tc>
          <w:tcPr>
            <w:tcW w:w="1440" w:type="dxa"/>
            <w:vAlign w:val="bottom"/>
          </w:tcPr>
          <w:p>
            <w:pPr>
              <w:jc w:val="right"/>
              <w:ind w:right="248"/>
              <w:spacing w:after="0"/>
              <w:rPr>
                <w:sz w:val="20"/>
                <w:szCs w:val="20"/>
                <w:color w:val="auto"/>
              </w:rPr>
            </w:pPr>
            <w:r>
              <w:rPr>
                <w:rFonts w:ascii="Arial" w:cs="Arial" w:eastAsia="Arial" w:hAnsi="Arial"/>
                <w:sz w:val="15"/>
                <w:szCs w:val="15"/>
                <w:color w:val="183964"/>
              </w:rPr>
              <w:t>(605)</w:t>
            </w:r>
          </w:p>
        </w:tc>
        <w:tc>
          <w:tcPr>
            <w:tcW w:w="1320" w:type="dxa"/>
            <w:vAlign w:val="bottom"/>
          </w:tcPr>
          <w:p>
            <w:pPr>
              <w:jc w:val="right"/>
              <w:ind w:right="307"/>
              <w:spacing w:after="0"/>
              <w:rPr>
                <w:sz w:val="20"/>
                <w:szCs w:val="20"/>
                <w:color w:val="auto"/>
              </w:rPr>
            </w:pPr>
            <w:r>
              <w:rPr>
                <w:rFonts w:ascii="Arial" w:cs="Arial" w:eastAsia="Arial" w:hAnsi="Arial"/>
                <w:sz w:val="15"/>
                <w:szCs w:val="15"/>
                <w:color w:val="183964"/>
              </w:rPr>
              <w:t>(26,588)</w:t>
            </w:r>
          </w:p>
        </w:tc>
        <w:tc>
          <w:tcPr>
            <w:tcW w:w="920" w:type="dxa"/>
            <w:vAlign w:val="bottom"/>
          </w:tcPr>
          <w:p>
            <w:pPr>
              <w:jc w:val="right"/>
              <w:spacing w:after="0"/>
              <w:rPr>
                <w:sz w:val="20"/>
                <w:szCs w:val="20"/>
                <w:color w:val="auto"/>
              </w:rPr>
            </w:pPr>
            <w:r>
              <w:rPr>
                <w:rFonts w:ascii="Arial" w:cs="Arial" w:eastAsia="Arial" w:hAnsi="Arial"/>
                <w:sz w:val="15"/>
                <w:szCs w:val="15"/>
                <w:color w:val="183964"/>
              </w:rPr>
              <w:t>(79,312)</w:t>
            </w:r>
          </w:p>
        </w:tc>
        <w:tc>
          <w:tcPr>
            <w:tcW w:w="200" w:type="dxa"/>
            <w:vAlign w:val="bottom"/>
          </w:tcPr>
          <w:p>
            <w:pPr>
              <w:spacing w:after="0"/>
              <w:rPr>
                <w:sz w:val="17"/>
                <w:szCs w:val="17"/>
                <w:color w:val="auto"/>
              </w:rPr>
            </w:pPr>
          </w:p>
        </w:tc>
      </w:tr>
      <w:tr>
        <w:trPr>
          <w:trHeight w:val="33"/>
        </w:trPr>
        <w:tc>
          <w:tcPr>
            <w:tcW w:w="5940" w:type="dxa"/>
            <w:vAlign w:val="bottom"/>
            <w:tcBorders>
              <w:bottom w:val="single" w:sz="8" w:color="183964"/>
            </w:tcBorders>
          </w:tcPr>
          <w:p>
            <w:pPr>
              <w:spacing w:after="0"/>
              <w:rPr>
                <w:sz w:val="2"/>
                <w:szCs w:val="2"/>
                <w:color w:val="auto"/>
              </w:rPr>
            </w:pPr>
          </w:p>
        </w:tc>
        <w:tc>
          <w:tcPr>
            <w:tcW w:w="100" w:type="dxa"/>
            <w:vAlign w:val="bottom"/>
            <w:tcBorders>
              <w:bottom w:val="single" w:sz="8" w:color="183964"/>
            </w:tcBorders>
          </w:tcPr>
          <w:p>
            <w:pPr>
              <w:spacing w:after="0"/>
              <w:rPr>
                <w:sz w:val="2"/>
                <w:szCs w:val="2"/>
                <w:color w:val="auto"/>
              </w:rPr>
            </w:pPr>
          </w:p>
        </w:tc>
        <w:tc>
          <w:tcPr>
            <w:tcW w:w="1300" w:type="dxa"/>
            <w:vAlign w:val="bottom"/>
            <w:tcBorders>
              <w:bottom w:val="single" w:sz="8" w:color="183964"/>
            </w:tcBorders>
          </w:tcPr>
          <w:p>
            <w:pPr>
              <w:spacing w:after="0"/>
              <w:rPr>
                <w:sz w:val="2"/>
                <w:szCs w:val="2"/>
                <w:color w:val="auto"/>
              </w:rPr>
            </w:pPr>
          </w:p>
        </w:tc>
        <w:tc>
          <w:tcPr>
            <w:tcW w:w="1440" w:type="dxa"/>
            <w:vAlign w:val="bottom"/>
            <w:tcBorders>
              <w:bottom w:val="single" w:sz="8" w:color="183964"/>
            </w:tcBorders>
          </w:tcPr>
          <w:p>
            <w:pPr>
              <w:spacing w:after="0"/>
              <w:rPr>
                <w:sz w:val="2"/>
                <w:szCs w:val="2"/>
                <w:color w:val="auto"/>
              </w:rPr>
            </w:pPr>
          </w:p>
        </w:tc>
        <w:tc>
          <w:tcPr>
            <w:tcW w:w="1320" w:type="dxa"/>
            <w:vAlign w:val="bottom"/>
            <w:tcBorders>
              <w:bottom w:val="single" w:sz="8" w:color="183964"/>
            </w:tcBorders>
          </w:tcPr>
          <w:p>
            <w:pPr>
              <w:spacing w:after="0"/>
              <w:rPr>
                <w:sz w:val="2"/>
                <w:szCs w:val="2"/>
                <w:color w:val="auto"/>
              </w:rPr>
            </w:pPr>
          </w:p>
        </w:tc>
        <w:tc>
          <w:tcPr>
            <w:tcW w:w="920" w:type="dxa"/>
            <w:vAlign w:val="bottom"/>
            <w:tcBorders>
              <w:bottom w:val="single" w:sz="8" w:color="183964"/>
            </w:tcBorders>
          </w:tcPr>
          <w:p>
            <w:pPr>
              <w:spacing w:after="0"/>
              <w:rPr>
                <w:sz w:val="2"/>
                <w:szCs w:val="2"/>
                <w:color w:val="auto"/>
              </w:rPr>
            </w:pPr>
          </w:p>
        </w:tc>
        <w:tc>
          <w:tcPr>
            <w:tcW w:w="200" w:type="dxa"/>
            <w:vAlign w:val="bottom"/>
          </w:tcPr>
          <w:p>
            <w:pPr>
              <w:spacing w:after="0"/>
              <w:rPr>
                <w:sz w:val="2"/>
                <w:szCs w:val="2"/>
                <w:color w:val="auto"/>
              </w:rPr>
            </w:pPr>
          </w:p>
        </w:tc>
      </w:tr>
      <w:tr>
        <w:trPr>
          <w:trHeight w:val="203"/>
        </w:trPr>
        <w:tc>
          <w:tcPr>
            <w:tcW w:w="6040" w:type="dxa"/>
            <w:vAlign w:val="bottom"/>
            <w:gridSpan w:val="2"/>
          </w:tcPr>
          <w:p>
            <w:pPr>
              <w:ind w:left="20"/>
              <w:spacing w:after="0"/>
              <w:rPr>
                <w:sz w:val="20"/>
                <w:szCs w:val="20"/>
                <w:color w:val="auto"/>
              </w:rPr>
            </w:pPr>
            <w:r>
              <w:rPr>
                <w:rFonts w:ascii="Arial" w:cs="Arial" w:eastAsia="Arial" w:hAnsi="Arial"/>
                <w:sz w:val="15"/>
                <w:szCs w:val="15"/>
                <w:color w:val="auto"/>
              </w:rPr>
              <w:t>Operating income/(loss)</w:t>
            </w:r>
          </w:p>
        </w:tc>
        <w:tc>
          <w:tcPr>
            <w:tcW w:w="1300" w:type="dxa"/>
            <w:vAlign w:val="bottom"/>
          </w:tcPr>
          <w:p>
            <w:pPr>
              <w:jc w:val="right"/>
              <w:ind w:right="67"/>
              <w:spacing w:after="0"/>
              <w:rPr>
                <w:sz w:val="20"/>
                <w:szCs w:val="20"/>
                <w:color w:val="auto"/>
              </w:rPr>
            </w:pPr>
            <w:r>
              <w:rPr>
                <w:rFonts w:ascii="Arial" w:cs="Arial" w:eastAsia="Arial" w:hAnsi="Arial"/>
                <w:sz w:val="15"/>
                <w:szCs w:val="15"/>
                <w:color w:val="183964"/>
              </w:rPr>
              <w:t>(51,985)</w:t>
            </w:r>
          </w:p>
        </w:tc>
        <w:tc>
          <w:tcPr>
            <w:tcW w:w="1440" w:type="dxa"/>
            <w:vAlign w:val="bottom"/>
          </w:tcPr>
          <w:p>
            <w:pPr>
              <w:jc w:val="right"/>
              <w:ind w:right="288"/>
              <w:spacing w:after="0"/>
              <w:rPr>
                <w:sz w:val="20"/>
                <w:szCs w:val="20"/>
                <w:color w:val="auto"/>
              </w:rPr>
            </w:pPr>
            <w:r>
              <w:rPr>
                <w:rFonts w:ascii="Arial" w:cs="Arial" w:eastAsia="Arial" w:hAnsi="Arial"/>
                <w:sz w:val="15"/>
                <w:szCs w:val="15"/>
                <w:color w:val="183964"/>
              </w:rPr>
              <w:t>145</w:t>
            </w:r>
          </w:p>
        </w:tc>
        <w:tc>
          <w:tcPr>
            <w:tcW w:w="1320" w:type="dxa"/>
            <w:vAlign w:val="bottom"/>
          </w:tcPr>
          <w:p>
            <w:pPr>
              <w:jc w:val="right"/>
              <w:ind w:right="307"/>
              <w:spacing w:after="0"/>
              <w:rPr>
                <w:sz w:val="20"/>
                <w:szCs w:val="20"/>
                <w:color w:val="auto"/>
              </w:rPr>
            </w:pPr>
            <w:r>
              <w:rPr>
                <w:rFonts w:ascii="Arial" w:cs="Arial" w:eastAsia="Arial" w:hAnsi="Arial"/>
                <w:sz w:val="15"/>
                <w:szCs w:val="15"/>
                <w:color w:val="183964"/>
              </w:rPr>
              <w:t>(24,323)</w:t>
            </w:r>
          </w:p>
        </w:tc>
        <w:tc>
          <w:tcPr>
            <w:tcW w:w="920" w:type="dxa"/>
            <w:vAlign w:val="bottom"/>
          </w:tcPr>
          <w:p>
            <w:pPr>
              <w:jc w:val="right"/>
              <w:spacing w:after="0"/>
              <w:rPr>
                <w:sz w:val="20"/>
                <w:szCs w:val="20"/>
                <w:color w:val="auto"/>
              </w:rPr>
            </w:pPr>
            <w:r>
              <w:rPr>
                <w:rFonts w:ascii="Arial" w:cs="Arial" w:eastAsia="Arial" w:hAnsi="Arial"/>
                <w:sz w:val="15"/>
                <w:szCs w:val="15"/>
                <w:color w:val="183964"/>
              </w:rPr>
              <w:t>(76,163)</w:t>
            </w:r>
          </w:p>
        </w:tc>
        <w:tc>
          <w:tcPr>
            <w:tcW w:w="200" w:type="dxa"/>
            <w:vAlign w:val="bottom"/>
          </w:tcPr>
          <w:p>
            <w:pPr>
              <w:spacing w:after="0"/>
              <w:rPr>
                <w:sz w:val="17"/>
                <w:szCs w:val="17"/>
                <w:color w:val="auto"/>
              </w:rPr>
            </w:pPr>
          </w:p>
        </w:tc>
      </w:tr>
      <w:tr>
        <w:trPr>
          <w:trHeight w:val="33"/>
        </w:trPr>
        <w:tc>
          <w:tcPr>
            <w:tcW w:w="5940" w:type="dxa"/>
            <w:vAlign w:val="bottom"/>
            <w:tcBorders>
              <w:bottom w:val="single" w:sz="8" w:color="183964"/>
            </w:tcBorders>
          </w:tcPr>
          <w:p>
            <w:pPr>
              <w:spacing w:after="0"/>
              <w:rPr>
                <w:sz w:val="2"/>
                <w:szCs w:val="2"/>
                <w:color w:val="auto"/>
              </w:rPr>
            </w:pPr>
          </w:p>
        </w:tc>
        <w:tc>
          <w:tcPr>
            <w:tcW w:w="100" w:type="dxa"/>
            <w:vAlign w:val="bottom"/>
            <w:tcBorders>
              <w:bottom w:val="single" w:sz="8" w:color="183964"/>
            </w:tcBorders>
          </w:tcPr>
          <w:p>
            <w:pPr>
              <w:spacing w:after="0"/>
              <w:rPr>
                <w:sz w:val="2"/>
                <w:szCs w:val="2"/>
                <w:color w:val="auto"/>
              </w:rPr>
            </w:pPr>
          </w:p>
        </w:tc>
        <w:tc>
          <w:tcPr>
            <w:tcW w:w="1300" w:type="dxa"/>
            <w:vAlign w:val="bottom"/>
            <w:tcBorders>
              <w:bottom w:val="single" w:sz="8" w:color="183964"/>
            </w:tcBorders>
          </w:tcPr>
          <w:p>
            <w:pPr>
              <w:spacing w:after="0"/>
              <w:rPr>
                <w:sz w:val="2"/>
                <w:szCs w:val="2"/>
                <w:color w:val="auto"/>
              </w:rPr>
            </w:pPr>
          </w:p>
        </w:tc>
        <w:tc>
          <w:tcPr>
            <w:tcW w:w="1440" w:type="dxa"/>
            <w:vAlign w:val="bottom"/>
            <w:tcBorders>
              <w:bottom w:val="single" w:sz="8" w:color="183964"/>
            </w:tcBorders>
          </w:tcPr>
          <w:p>
            <w:pPr>
              <w:spacing w:after="0"/>
              <w:rPr>
                <w:sz w:val="2"/>
                <w:szCs w:val="2"/>
                <w:color w:val="auto"/>
              </w:rPr>
            </w:pPr>
          </w:p>
        </w:tc>
        <w:tc>
          <w:tcPr>
            <w:tcW w:w="1320" w:type="dxa"/>
            <w:vAlign w:val="bottom"/>
            <w:tcBorders>
              <w:bottom w:val="single" w:sz="8" w:color="183964"/>
            </w:tcBorders>
          </w:tcPr>
          <w:p>
            <w:pPr>
              <w:spacing w:after="0"/>
              <w:rPr>
                <w:sz w:val="2"/>
                <w:szCs w:val="2"/>
                <w:color w:val="auto"/>
              </w:rPr>
            </w:pPr>
          </w:p>
        </w:tc>
        <w:tc>
          <w:tcPr>
            <w:tcW w:w="920" w:type="dxa"/>
            <w:vAlign w:val="bottom"/>
            <w:tcBorders>
              <w:bottom w:val="single" w:sz="8" w:color="183964"/>
            </w:tcBorders>
          </w:tcPr>
          <w:p>
            <w:pPr>
              <w:spacing w:after="0"/>
              <w:rPr>
                <w:sz w:val="2"/>
                <w:szCs w:val="2"/>
                <w:color w:val="auto"/>
              </w:rPr>
            </w:pPr>
          </w:p>
        </w:tc>
        <w:tc>
          <w:tcPr>
            <w:tcW w:w="200" w:type="dxa"/>
            <w:vAlign w:val="bottom"/>
          </w:tcPr>
          <w:p>
            <w:pPr>
              <w:spacing w:after="0"/>
              <w:rPr>
                <w:sz w:val="2"/>
                <w:szCs w:val="2"/>
                <w:color w:val="auto"/>
              </w:rPr>
            </w:pPr>
          </w:p>
        </w:tc>
      </w:tr>
      <w:tr>
        <w:trPr>
          <w:trHeight w:val="204"/>
        </w:trPr>
        <w:tc>
          <w:tcPr>
            <w:tcW w:w="6040" w:type="dxa"/>
            <w:vAlign w:val="bottom"/>
            <w:gridSpan w:val="2"/>
          </w:tcPr>
          <w:p>
            <w:pPr>
              <w:ind w:left="20"/>
              <w:spacing w:after="0"/>
              <w:rPr>
                <w:sz w:val="20"/>
                <w:szCs w:val="20"/>
                <w:color w:val="auto"/>
              </w:rPr>
            </w:pPr>
            <w:r>
              <w:rPr>
                <w:rFonts w:ascii="Arial" w:cs="Arial" w:eastAsia="Arial" w:hAnsi="Arial"/>
                <w:sz w:val="15"/>
                <w:szCs w:val="15"/>
                <w:color w:val="auto"/>
              </w:rPr>
              <w:t>Income/expenses not allocated to segments</w:t>
            </w:r>
          </w:p>
        </w:tc>
        <w:tc>
          <w:tcPr>
            <w:tcW w:w="1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43"/>
        </w:trPr>
        <w:tc>
          <w:tcPr>
            <w:tcW w:w="6040" w:type="dxa"/>
            <w:vAlign w:val="bottom"/>
            <w:gridSpan w:val="2"/>
          </w:tcPr>
          <w:p>
            <w:pPr>
              <w:ind w:left="120"/>
              <w:spacing w:after="0"/>
              <w:rPr>
                <w:sz w:val="20"/>
                <w:szCs w:val="20"/>
                <w:color w:val="auto"/>
              </w:rPr>
            </w:pPr>
            <w:r>
              <w:rPr>
                <w:rFonts w:ascii="Arial" w:cs="Arial" w:eastAsia="Arial" w:hAnsi="Arial"/>
                <w:sz w:val="15"/>
                <w:szCs w:val="15"/>
                <w:color w:val="auto"/>
              </w:rPr>
              <w:t>Other income/(expense):</w:t>
            </w:r>
          </w:p>
        </w:tc>
        <w:tc>
          <w:tcPr>
            <w:tcW w:w="1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43"/>
        </w:trPr>
        <w:tc>
          <w:tcPr>
            <w:tcW w:w="6040" w:type="dxa"/>
            <w:vAlign w:val="bottom"/>
            <w:gridSpan w:val="2"/>
          </w:tcPr>
          <w:p>
            <w:pPr>
              <w:ind w:left="240"/>
              <w:spacing w:after="0"/>
              <w:rPr>
                <w:sz w:val="20"/>
                <w:szCs w:val="20"/>
                <w:color w:val="auto"/>
              </w:rPr>
            </w:pPr>
            <w:r>
              <w:rPr>
                <w:rFonts w:ascii="Arial" w:cs="Arial" w:eastAsia="Arial" w:hAnsi="Arial"/>
                <w:sz w:val="15"/>
                <w:szCs w:val="15"/>
                <w:color w:val="auto"/>
              </w:rPr>
              <w:t>Gain on deconsolidation</w:t>
            </w:r>
          </w:p>
        </w:tc>
        <w:tc>
          <w:tcPr>
            <w:tcW w:w="1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183964"/>
              </w:rPr>
              <w:t>61,787</w:t>
            </w:r>
          </w:p>
        </w:tc>
        <w:tc>
          <w:tcPr>
            <w:tcW w:w="200" w:type="dxa"/>
            <w:vAlign w:val="bottom"/>
          </w:tcPr>
          <w:p>
            <w:pPr>
              <w:spacing w:after="0"/>
              <w:rPr>
                <w:sz w:val="21"/>
                <w:szCs w:val="21"/>
                <w:color w:val="auto"/>
              </w:rPr>
            </w:pPr>
          </w:p>
        </w:tc>
      </w:tr>
      <w:tr>
        <w:trPr>
          <w:trHeight w:val="243"/>
        </w:trPr>
        <w:tc>
          <w:tcPr>
            <w:tcW w:w="6040" w:type="dxa"/>
            <w:vAlign w:val="bottom"/>
            <w:gridSpan w:val="2"/>
          </w:tcPr>
          <w:p>
            <w:pPr>
              <w:ind w:left="240"/>
              <w:spacing w:after="0"/>
              <w:rPr>
                <w:sz w:val="20"/>
                <w:szCs w:val="20"/>
                <w:color w:val="auto"/>
              </w:rPr>
            </w:pPr>
            <w:r>
              <w:rPr>
                <w:rFonts w:ascii="Arial" w:cs="Arial" w:eastAsia="Arial" w:hAnsi="Arial"/>
                <w:sz w:val="15"/>
                <w:szCs w:val="15"/>
                <w:color w:val="auto"/>
              </w:rPr>
              <w:t>Gain/(loss) on investment held at fair value</w:t>
            </w:r>
          </w:p>
        </w:tc>
        <w:tc>
          <w:tcPr>
            <w:tcW w:w="1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183964"/>
              </w:rPr>
              <w:t>7,818</w:t>
            </w:r>
          </w:p>
        </w:tc>
        <w:tc>
          <w:tcPr>
            <w:tcW w:w="200" w:type="dxa"/>
            <w:vAlign w:val="bottom"/>
          </w:tcPr>
          <w:p>
            <w:pPr>
              <w:spacing w:after="0"/>
              <w:rPr>
                <w:sz w:val="21"/>
                <w:szCs w:val="21"/>
                <w:color w:val="auto"/>
              </w:rPr>
            </w:pPr>
          </w:p>
        </w:tc>
      </w:tr>
      <w:tr>
        <w:trPr>
          <w:trHeight w:val="243"/>
        </w:trPr>
        <w:tc>
          <w:tcPr>
            <w:tcW w:w="6040" w:type="dxa"/>
            <w:vAlign w:val="bottom"/>
            <w:gridSpan w:val="2"/>
          </w:tcPr>
          <w:p>
            <w:pPr>
              <w:ind w:left="240"/>
              <w:spacing w:after="0"/>
              <w:rPr>
                <w:sz w:val="20"/>
                <w:szCs w:val="20"/>
                <w:color w:val="auto"/>
              </w:rPr>
            </w:pPr>
            <w:r>
              <w:rPr>
                <w:rFonts w:ascii="Arial" w:cs="Arial" w:eastAsia="Arial" w:hAnsi="Arial"/>
                <w:sz w:val="15"/>
                <w:szCs w:val="15"/>
                <w:color w:val="auto"/>
              </w:rPr>
              <w:t>Gain/(loss) on investment in notes from associates</w:t>
            </w:r>
          </w:p>
        </w:tc>
        <w:tc>
          <w:tcPr>
            <w:tcW w:w="1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183964"/>
              </w:rPr>
              <w:t>(6,045)</w:t>
            </w:r>
          </w:p>
        </w:tc>
        <w:tc>
          <w:tcPr>
            <w:tcW w:w="200" w:type="dxa"/>
            <w:vAlign w:val="bottom"/>
          </w:tcPr>
          <w:p>
            <w:pPr>
              <w:spacing w:after="0"/>
              <w:rPr>
                <w:sz w:val="21"/>
                <w:szCs w:val="21"/>
                <w:color w:val="auto"/>
              </w:rPr>
            </w:pPr>
          </w:p>
        </w:tc>
      </w:tr>
      <w:tr>
        <w:trPr>
          <w:trHeight w:val="243"/>
        </w:trPr>
        <w:tc>
          <w:tcPr>
            <w:tcW w:w="6040" w:type="dxa"/>
            <w:vAlign w:val="bottom"/>
            <w:gridSpan w:val="2"/>
          </w:tcPr>
          <w:p>
            <w:pPr>
              <w:ind w:left="240"/>
              <w:spacing w:after="0"/>
              <w:rPr>
                <w:sz w:val="20"/>
                <w:szCs w:val="20"/>
                <w:color w:val="auto"/>
              </w:rPr>
            </w:pPr>
            <w:r>
              <w:rPr>
                <w:rFonts w:ascii="Arial" w:cs="Arial" w:eastAsia="Arial" w:hAnsi="Arial"/>
                <w:sz w:val="15"/>
                <w:szCs w:val="15"/>
                <w:color w:val="auto"/>
              </w:rPr>
              <w:t>Other income/(expense)</w:t>
            </w:r>
          </w:p>
        </w:tc>
        <w:tc>
          <w:tcPr>
            <w:tcW w:w="1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183964"/>
              </w:rPr>
              <w:t>(1,134)</w:t>
            </w:r>
          </w:p>
        </w:tc>
        <w:tc>
          <w:tcPr>
            <w:tcW w:w="200" w:type="dxa"/>
            <w:vAlign w:val="bottom"/>
          </w:tcPr>
          <w:p>
            <w:pPr>
              <w:spacing w:after="0"/>
              <w:rPr>
                <w:sz w:val="21"/>
                <w:szCs w:val="21"/>
                <w:color w:val="auto"/>
              </w:rPr>
            </w:pPr>
          </w:p>
        </w:tc>
      </w:tr>
      <w:tr>
        <w:trPr>
          <w:trHeight w:val="33"/>
        </w:trPr>
        <w:tc>
          <w:tcPr>
            <w:tcW w:w="5940" w:type="dxa"/>
            <w:vAlign w:val="bottom"/>
            <w:tcBorders>
              <w:bottom w:val="single" w:sz="8" w:color="183964"/>
            </w:tcBorders>
          </w:tcPr>
          <w:p>
            <w:pPr>
              <w:spacing w:after="0"/>
              <w:rPr>
                <w:sz w:val="2"/>
                <w:szCs w:val="2"/>
                <w:color w:val="auto"/>
              </w:rPr>
            </w:pPr>
          </w:p>
        </w:tc>
        <w:tc>
          <w:tcPr>
            <w:tcW w:w="100" w:type="dxa"/>
            <w:vAlign w:val="bottom"/>
            <w:tcBorders>
              <w:bottom w:val="single" w:sz="8" w:color="183964"/>
            </w:tcBorders>
          </w:tcPr>
          <w:p>
            <w:pPr>
              <w:spacing w:after="0"/>
              <w:rPr>
                <w:sz w:val="2"/>
                <w:szCs w:val="2"/>
                <w:color w:val="auto"/>
              </w:rPr>
            </w:pPr>
          </w:p>
        </w:tc>
        <w:tc>
          <w:tcPr>
            <w:tcW w:w="1300" w:type="dxa"/>
            <w:vAlign w:val="bottom"/>
            <w:tcBorders>
              <w:bottom w:val="single" w:sz="8" w:color="183964"/>
            </w:tcBorders>
          </w:tcPr>
          <w:p>
            <w:pPr>
              <w:spacing w:after="0"/>
              <w:rPr>
                <w:sz w:val="2"/>
                <w:szCs w:val="2"/>
                <w:color w:val="auto"/>
              </w:rPr>
            </w:pPr>
          </w:p>
        </w:tc>
        <w:tc>
          <w:tcPr>
            <w:tcW w:w="1440" w:type="dxa"/>
            <w:vAlign w:val="bottom"/>
            <w:tcBorders>
              <w:bottom w:val="single" w:sz="8" w:color="183964"/>
            </w:tcBorders>
          </w:tcPr>
          <w:p>
            <w:pPr>
              <w:spacing w:after="0"/>
              <w:rPr>
                <w:sz w:val="2"/>
                <w:szCs w:val="2"/>
                <w:color w:val="auto"/>
              </w:rPr>
            </w:pPr>
          </w:p>
        </w:tc>
        <w:tc>
          <w:tcPr>
            <w:tcW w:w="1320" w:type="dxa"/>
            <w:vAlign w:val="bottom"/>
            <w:tcBorders>
              <w:bottom w:val="single" w:sz="8" w:color="183964"/>
            </w:tcBorders>
          </w:tcPr>
          <w:p>
            <w:pPr>
              <w:spacing w:after="0"/>
              <w:rPr>
                <w:sz w:val="2"/>
                <w:szCs w:val="2"/>
                <w:color w:val="auto"/>
              </w:rPr>
            </w:pPr>
          </w:p>
        </w:tc>
        <w:tc>
          <w:tcPr>
            <w:tcW w:w="920" w:type="dxa"/>
            <w:vAlign w:val="bottom"/>
            <w:tcBorders>
              <w:bottom w:val="single" w:sz="8" w:color="183964"/>
            </w:tcBorders>
          </w:tcPr>
          <w:p>
            <w:pPr>
              <w:spacing w:after="0"/>
              <w:rPr>
                <w:sz w:val="2"/>
                <w:szCs w:val="2"/>
                <w:color w:val="auto"/>
              </w:rPr>
            </w:pPr>
          </w:p>
        </w:tc>
        <w:tc>
          <w:tcPr>
            <w:tcW w:w="200" w:type="dxa"/>
            <w:vAlign w:val="bottom"/>
          </w:tcPr>
          <w:p>
            <w:pPr>
              <w:spacing w:after="0"/>
              <w:rPr>
                <w:sz w:val="2"/>
                <w:szCs w:val="2"/>
                <w:color w:val="auto"/>
              </w:rPr>
            </w:pPr>
          </w:p>
        </w:tc>
      </w:tr>
      <w:tr>
        <w:trPr>
          <w:trHeight w:val="204"/>
        </w:trPr>
        <w:tc>
          <w:tcPr>
            <w:tcW w:w="6040" w:type="dxa"/>
            <w:vAlign w:val="bottom"/>
            <w:gridSpan w:val="2"/>
          </w:tcPr>
          <w:p>
            <w:pPr>
              <w:ind w:left="20"/>
              <w:spacing w:after="0"/>
              <w:rPr>
                <w:sz w:val="20"/>
                <w:szCs w:val="20"/>
                <w:color w:val="auto"/>
              </w:rPr>
            </w:pPr>
            <w:r>
              <w:rPr>
                <w:rFonts w:ascii="Arial" w:cs="Arial" w:eastAsia="Arial" w:hAnsi="Arial"/>
                <w:sz w:val="15"/>
                <w:szCs w:val="15"/>
                <w:color w:val="auto"/>
              </w:rPr>
              <w:t>Total other income/(expense)</w:t>
            </w:r>
          </w:p>
        </w:tc>
        <w:tc>
          <w:tcPr>
            <w:tcW w:w="1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183964"/>
              </w:rPr>
              <w:t>62,426</w:t>
            </w:r>
          </w:p>
        </w:tc>
        <w:tc>
          <w:tcPr>
            <w:tcW w:w="200" w:type="dxa"/>
            <w:vAlign w:val="bottom"/>
          </w:tcPr>
          <w:p>
            <w:pPr>
              <w:spacing w:after="0"/>
              <w:rPr>
                <w:sz w:val="17"/>
                <w:szCs w:val="17"/>
                <w:color w:val="auto"/>
              </w:rPr>
            </w:pPr>
          </w:p>
        </w:tc>
      </w:tr>
      <w:tr>
        <w:trPr>
          <w:trHeight w:val="243"/>
        </w:trPr>
        <w:tc>
          <w:tcPr>
            <w:tcW w:w="6040" w:type="dxa"/>
            <w:vAlign w:val="bottom"/>
            <w:gridSpan w:val="2"/>
          </w:tcPr>
          <w:p>
            <w:pPr>
              <w:ind w:left="20"/>
              <w:spacing w:after="0"/>
              <w:rPr>
                <w:sz w:val="20"/>
                <w:szCs w:val="20"/>
                <w:color w:val="auto"/>
              </w:rPr>
            </w:pPr>
            <w:r>
              <w:rPr>
                <w:rFonts w:ascii="Arial" w:cs="Arial" w:eastAsia="Arial" w:hAnsi="Arial"/>
                <w:sz w:val="15"/>
                <w:szCs w:val="15"/>
                <w:color w:val="auto"/>
              </w:rPr>
              <w:t>Net finance income/(costs)</w:t>
            </w:r>
          </w:p>
        </w:tc>
        <w:tc>
          <w:tcPr>
            <w:tcW w:w="1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183964"/>
              </w:rPr>
              <w:t>5,316</w:t>
            </w:r>
          </w:p>
        </w:tc>
        <w:tc>
          <w:tcPr>
            <w:tcW w:w="200" w:type="dxa"/>
            <w:vAlign w:val="bottom"/>
          </w:tcPr>
          <w:p>
            <w:pPr>
              <w:spacing w:after="0"/>
              <w:rPr>
                <w:sz w:val="21"/>
                <w:szCs w:val="21"/>
                <w:color w:val="auto"/>
              </w:rPr>
            </w:pPr>
          </w:p>
        </w:tc>
      </w:tr>
      <w:tr>
        <w:trPr>
          <w:trHeight w:val="243"/>
        </w:trPr>
        <w:tc>
          <w:tcPr>
            <w:tcW w:w="6040" w:type="dxa"/>
            <w:vAlign w:val="bottom"/>
            <w:gridSpan w:val="2"/>
          </w:tcPr>
          <w:p>
            <w:pPr>
              <w:ind w:left="20"/>
              <w:spacing w:after="0"/>
              <w:rPr>
                <w:sz w:val="20"/>
                <w:szCs w:val="20"/>
                <w:color w:val="auto"/>
              </w:rPr>
            </w:pPr>
            <w:r>
              <w:rPr>
                <w:rFonts w:ascii="Arial" w:cs="Arial" w:eastAsia="Arial" w:hAnsi="Arial"/>
                <w:sz w:val="15"/>
                <w:szCs w:val="15"/>
                <w:color w:val="auto"/>
              </w:rPr>
              <w:t>Share of net income/(loss) of associate accounted for using the equity method</w:t>
            </w:r>
          </w:p>
        </w:tc>
        <w:tc>
          <w:tcPr>
            <w:tcW w:w="1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183964"/>
              </w:rPr>
              <w:t>(5,324)</w:t>
            </w:r>
          </w:p>
        </w:tc>
        <w:tc>
          <w:tcPr>
            <w:tcW w:w="200" w:type="dxa"/>
            <w:vAlign w:val="bottom"/>
          </w:tcPr>
          <w:p>
            <w:pPr>
              <w:spacing w:after="0"/>
              <w:rPr>
                <w:sz w:val="21"/>
                <w:szCs w:val="21"/>
                <w:color w:val="auto"/>
              </w:rPr>
            </w:pPr>
          </w:p>
        </w:tc>
      </w:tr>
      <w:tr>
        <w:trPr>
          <w:trHeight w:val="243"/>
        </w:trPr>
        <w:tc>
          <w:tcPr>
            <w:tcW w:w="6040" w:type="dxa"/>
            <w:vAlign w:val="bottom"/>
            <w:gridSpan w:val="2"/>
          </w:tcPr>
          <w:p>
            <w:pPr>
              <w:ind w:left="20"/>
              <w:spacing w:after="0"/>
              <w:rPr>
                <w:sz w:val="20"/>
                <w:szCs w:val="20"/>
                <w:color w:val="auto"/>
              </w:rPr>
            </w:pPr>
            <w:r>
              <w:rPr>
                <w:rFonts w:ascii="Arial" w:cs="Arial" w:eastAsia="Arial" w:hAnsi="Arial"/>
                <w:sz w:val="15"/>
                <w:szCs w:val="15"/>
                <w:color w:val="auto"/>
              </w:rPr>
              <w:t>Income/(loss) before taxes</w:t>
            </w:r>
          </w:p>
        </w:tc>
        <w:tc>
          <w:tcPr>
            <w:tcW w:w="1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183964"/>
              </w:rPr>
              <w:t>(13,744)</w:t>
            </w:r>
          </w:p>
        </w:tc>
        <w:tc>
          <w:tcPr>
            <w:tcW w:w="200" w:type="dxa"/>
            <w:vAlign w:val="bottom"/>
          </w:tcPr>
          <w:p>
            <w:pPr>
              <w:spacing w:after="0"/>
              <w:rPr>
                <w:sz w:val="21"/>
                <w:szCs w:val="21"/>
                <w:color w:val="auto"/>
              </w:rPr>
            </w:pPr>
          </w:p>
        </w:tc>
      </w:tr>
      <w:tr>
        <w:trPr>
          <w:trHeight w:val="33"/>
        </w:trPr>
        <w:tc>
          <w:tcPr>
            <w:tcW w:w="5940" w:type="dxa"/>
            <w:vAlign w:val="bottom"/>
            <w:tcBorders>
              <w:bottom w:val="single" w:sz="8" w:color="183964"/>
            </w:tcBorders>
          </w:tcPr>
          <w:p>
            <w:pPr>
              <w:spacing w:after="0"/>
              <w:rPr>
                <w:sz w:val="2"/>
                <w:szCs w:val="2"/>
                <w:color w:val="auto"/>
              </w:rPr>
            </w:pPr>
          </w:p>
        </w:tc>
        <w:tc>
          <w:tcPr>
            <w:tcW w:w="100" w:type="dxa"/>
            <w:vAlign w:val="bottom"/>
            <w:tcBorders>
              <w:bottom w:val="single" w:sz="8" w:color="183964"/>
            </w:tcBorders>
          </w:tcPr>
          <w:p>
            <w:pPr>
              <w:spacing w:after="0"/>
              <w:rPr>
                <w:sz w:val="2"/>
                <w:szCs w:val="2"/>
                <w:color w:val="auto"/>
              </w:rPr>
            </w:pPr>
          </w:p>
        </w:tc>
        <w:tc>
          <w:tcPr>
            <w:tcW w:w="1300" w:type="dxa"/>
            <w:vAlign w:val="bottom"/>
            <w:tcBorders>
              <w:bottom w:val="single" w:sz="8" w:color="183964"/>
            </w:tcBorders>
          </w:tcPr>
          <w:p>
            <w:pPr>
              <w:spacing w:after="0"/>
              <w:rPr>
                <w:sz w:val="2"/>
                <w:szCs w:val="2"/>
                <w:color w:val="auto"/>
              </w:rPr>
            </w:pPr>
          </w:p>
        </w:tc>
        <w:tc>
          <w:tcPr>
            <w:tcW w:w="2760" w:type="dxa"/>
            <w:vAlign w:val="bottom"/>
            <w:tcBorders>
              <w:bottom w:val="single" w:sz="8" w:color="183964"/>
            </w:tcBorders>
            <w:gridSpan w:val="2"/>
          </w:tcPr>
          <w:p>
            <w:pPr>
              <w:spacing w:after="0"/>
              <w:rPr>
                <w:sz w:val="2"/>
                <w:szCs w:val="2"/>
                <w:color w:val="auto"/>
              </w:rPr>
            </w:pPr>
          </w:p>
        </w:tc>
        <w:tc>
          <w:tcPr>
            <w:tcW w:w="920" w:type="dxa"/>
            <w:vAlign w:val="bottom"/>
            <w:tcBorders>
              <w:bottom w:val="single" w:sz="8" w:color="183964"/>
            </w:tcBorders>
          </w:tcPr>
          <w:p>
            <w:pPr>
              <w:spacing w:after="0"/>
              <w:rPr>
                <w:sz w:val="2"/>
                <w:szCs w:val="2"/>
                <w:color w:val="auto"/>
              </w:rPr>
            </w:pPr>
          </w:p>
        </w:tc>
        <w:tc>
          <w:tcPr>
            <w:tcW w:w="200" w:type="dxa"/>
            <w:vAlign w:val="bottom"/>
          </w:tcPr>
          <w:p>
            <w:pPr>
              <w:spacing w:after="0"/>
              <w:rPr>
                <w:sz w:val="2"/>
                <w:szCs w:val="2"/>
                <w:color w:val="auto"/>
              </w:rPr>
            </w:pPr>
          </w:p>
        </w:tc>
      </w:tr>
      <w:tr>
        <w:trPr>
          <w:trHeight w:val="168"/>
        </w:trPr>
        <w:tc>
          <w:tcPr>
            <w:tcW w:w="5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760" w:type="dxa"/>
            <w:vAlign w:val="bottom"/>
            <w:gridSpan w:val="2"/>
          </w:tcPr>
          <w:p>
            <w:pPr>
              <w:jc w:val="right"/>
              <w:ind w:right="827"/>
              <w:spacing w:after="0"/>
              <w:rPr>
                <w:sz w:val="20"/>
                <w:szCs w:val="20"/>
                <w:color w:val="auto"/>
              </w:rPr>
            </w:pPr>
            <w:r>
              <w:rPr>
                <w:rFonts w:ascii="Arial" w:cs="Arial" w:eastAsia="Arial" w:hAnsi="Arial"/>
                <w:sz w:val="13"/>
                <w:szCs w:val="13"/>
                <w:color w:val="183964"/>
              </w:rPr>
              <w:t>As of December 31, 2023</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8"/>
        </w:trPr>
        <w:tc>
          <w:tcPr>
            <w:tcW w:w="5940" w:type="dxa"/>
            <w:vAlign w:val="bottom"/>
            <w:tcBorders>
              <w:bottom w:val="single" w:sz="8" w:color="001544"/>
            </w:tcBorders>
          </w:tcPr>
          <w:p>
            <w:pPr>
              <w:spacing w:after="0"/>
              <w:rPr>
                <w:sz w:val="2"/>
                <w:szCs w:val="2"/>
                <w:color w:val="auto"/>
              </w:rPr>
            </w:pPr>
          </w:p>
        </w:tc>
        <w:tc>
          <w:tcPr>
            <w:tcW w:w="100" w:type="dxa"/>
            <w:vAlign w:val="bottom"/>
            <w:tcBorders>
              <w:bottom w:val="single" w:sz="8" w:color="001544"/>
            </w:tcBorders>
          </w:tcPr>
          <w:p>
            <w:pPr>
              <w:spacing w:after="0"/>
              <w:rPr>
                <w:sz w:val="2"/>
                <w:szCs w:val="2"/>
                <w:color w:val="auto"/>
              </w:rPr>
            </w:pPr>
          </w:p>
        </w:tc>
        <w:tc>
          <w:tcPr>
            <w:tcW w:w="1300" w:type="dxa"/>
            <w:vAlign w:val="bottom"/>
            <w:tcBorders>
              <w:bottom w:val="single" w:sz="8" w:color="001544"/>
            </w:tcBorders>
          </w:tcPr>
          <w:p>
            <w:pPr>
              <w:spacing w:after="0"/>
              <w:rPr>
                <w:sz w:val="2"/>
                <w:szCs w:val="2"/>
                <w:color w:val="auto"/>
              </w:rPr>
            </w:pPr>
          </w:p>
        </w:tc>
        <w:tc>
          <w:tcPr>
            <w:tcW w:w="1440" w:type="dxa"/>
            <w:vAlign w:val="bottom"/>
            <w:tcBorders>
              <w:bottom w:val="single" w:sz="8" w:color="001544"/>
            </w:tcBorders>
          </w:tcPr>
          <w:p>
            <w:pPr>
              <w:spacing w:after="0"/>
              <w:rPr>
                <w:sz w:val="2"/>
                <w:szCs w:val="2"/>
                <w:color w:val="auto"/>
              </w:rPr>
            </w:pPr>
          </w:p>
        </w:tc>
        <w:tc>
          <w:tcPr>
            <w:tcW w:w="1320" w:type="dxa"/>
            <w:vAlign w:val="bottom"/>
            <w:tcBorders>
              <w:bottom w:val="single" w:sz="8" w:color="001544"/>
            </w:tcBorders>
          </w:tcPr>
          <w:p>
            <w:pPr>
              <w:spacing w:after="0"/>
              <w:rPr>
                <w:sz w:val="2"/>
                <w:szCs w:val="2"/>
                <w:color w:val="auto"/>
              </w:rPr>
            </w:pPr>
          </w:p>
        </w:tc>
        <w:tc>
          <w:tcPr>
            <w:tcW w:w="920" w:type="dxa"/>
            <w:vAlign w:val="bottom"/>
            <w:tcBorders>
              <w:bottom w:val="single" w:sz="8" w:color="001544"/>
            </w:tcBorders>
          </w:tcPr>
          <w:p>
            <w:pPr>
              <w:spacing w:after="0"/>
              <w:rPr>
                <w:sz w:val="2"/>
                <w:szCs w:val="2"/>
                <w:color w:val="auto"/>
              </w:rPr>
            </w:pPr>
          </w:p>
        </w:tc>
        <w:tc>
          <w:tcPr>
            <w:tcW w:w="200" w:type="dxa"/>
            <w:vAlign w:val="bottom"/>
          </w:tcPr>
          <w:p>
            <w:pPr>
              <w:spacing w:after="0"/>
              <w:rPr>
                <w:sz w:val="2"/>
                <w:szCs w:val="2"/>
                <w:color w:val="auto"/>
              </w:rPr>
            </w:pPr>
          </w:p>
        </w:tc>
      </w:tr>
      <w:tr>
        <w:trPr>
          <w:trHeight w:val="204"/>
        </w:trPr>
        <w:tc>
          <w:tcPr>
            <w:tcW w:w="6040" w:type="dxa"/>
            <w:vAlign w:val="bottom"/>
            <w:gridSpan w:val="2"/>
          </w:tcPr>
          <w:p>
            <w:pPr>
              <w:ind w:left="20"/>
              <w:spacing w:after="0"/>
              <w:rPr>
                <w:sz w:val="20"/>
                <w:szCs w:val="20"/>
                <w:color w:val="auto"/>
              </w:rPr>
            </w:pPr>
            <w:r>
              <w:rPr>
                <w:rFonts w:ascii="Arial" w:cs="Arial" w:eastAsia="Arial" w:hAnsi="Arial"/>
                <w:sz w:val="15"/>
                <w:szCs w:val="15"/>
                <w:color w:val="auto"/>
              </w:rPr>
              <w:t>Available Funds</w:t>
            </w:r>
          </w:p>
        </w:tc>
        <w:tc>
          <w:tcPr>
            <w:tcW w:w="1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33"/>
        </w:trPr>
        <w:tc>
          <w:tcPr>
            <w:tcW w:w="5940" w:type="dxa"/>
            <w:vAlign w:val="bottom"/>
            <w:tcBorders>
              <w:bottom w:val="single" w:sz="8" w:color="183964"/>
            </w:tcBorders>
          </w:tcPr>
          <w:p>
            <w:pPr>
              <w:spacing w:after="0"/>
              <w:rPr>
                <w:sz w:val="2"/>
                <w:szCs w:val="2"/>
                <w:color w:val="auto"/>
              </w:rPr>
            </w:pPr>
          </w:p>
        </w:tc>
        <w:tc>
          <w:tcPr>
            <w:tcW w:w="100" w:type="dxa"/>
            <w:vAlign w:val="bottom"/>
            <w:tcBorders>
              <w:bottom w:val="single" w:sz="8" w:color="183964"/>
            </w:tcBorders>
          </w:tcPr>
          <w:p>
            <w:pPr>
              <w:spacing w:after="0"/>
              <w:rPr>
                <w:sz w:val="2"/>
                <w:szCs w:val="2"/>
                <w:color w:val="auto"/>
              </w:rPr>
            </w:pPr>
          </w:p>
        </w:tc>
        <w:tc>
          <w:tcPr>
            <w:tcW w:w="1300" w:type="dxa"/>
            <w:vAlign w:val="bottom"/>
            <w:tcBorders>
              <w:bottom w:val="single" w:sz="8" w:color="183964"/>
            </w:tcBorders>
          </w:tcPr>
          <w:p>
            <w:pPr>
              <w:spacing w:after="0"/>
              <w:rPr>
                <w:sz w:val="2"/>
                <w:szCs w:val="2"/>
                <w:color w:val="auto"/>
              </w:rPr>
            </w:pPr>
          </w:p>
        </w:tc>
        <w:tc>
          <w:tcPr>
            <w:tcW w:w="1440" w:type="dxa"/>
            <w:vAlign w:val="bottom"/>
            <w:tcBorders>
              <w:bottom w:val="single" w:sz="8" w:color="183964"/>
            </w:tcBorders>
          </w:tcPr>
          <w:p>
            <w:pPr>
              <w:spacing w:after="0"/>
              <w:rPr>
                <w:sz w:val="2"/>
                <w:szCs w:val="2"/>
                <w:color w:val="auto"/>
              </w:rPr>
            </w:pPr>
          </w:p>
        </w:tc>
        <w:tc>
          <w:tcPr>
            <w:tcW w:w="1320" w:type="dxa"/>
            <w:vAlign w:val="bottom"/>
            <w:tcBorders>
              <w:bottom w:val="single" w:sz="8" w:color="183964"/>
            </w:tcBorders>
          </w:tcPr>
          <w:p>
            <w:pPr>
              <w:spacing w:after="0"/>
              <w:rPr>
                <w:sz w:val="2"/>
                <w:szCs w:val="2"/>
                <w:color w:val="auto"/>
              </w:rPr>
            </w:pPr>
          </w:p>
        </w:tc>
        <w:tc>
          <w:tcPr>
            <w:tcW w:w="920" w:type="dxa"/>
            <w:vAlign w:val="bottom"/>
            <w:tcBorders>
              <w:bottom w:val="single" w:sz="8" w:color="183964"/>
            </w:tcBorders>
          </w:tcPr>
          <w:p>
            <w:pPr>
              <w:spacing w:after="0"/>
              <w:rPr>
                <w:sz w:val="2"/>
                <w:szCs w:val="2"/>
                <w:color w:val="auto"/>
              </w:rPr>
            </w:pPr>
          </w:p>
        </w:tc>
        <w:tc>
          <w:tcPr>
            <w:tcW w:w="200" w:type="dxa"/>
            <w:vAlign w:val="bottom"/>
          </w:tcPr>
          <w:p>
            <w:pPr>
              <w:spacing w:after="0"/>
              <w:rPr>
                <w:sz w:val="2"/>
                <w:szCs w:val="2"/>
                <w:color w:val="auto"/>
              </w:rPr>
            </w:pPr>
          </w:p>
        </w:tc>
      </w:tr>
      <w:tr>
        <w:trPr>
          <w:trHeight w:val="204"/>
        </w:trPr>
        <w:tc>
          <w:tcPr>
            <w:tcW w:w="6040" w:type="dxa"/>
            <w:vAlign w:val="bottom"/>
            <w:gridSpan w:val="2"/>
          </w:tcPr>
          <w:p>
            <w:pPr>
              <w:ind w:left="120"/>
              <w:spacing w:after="0"/>
              <w:rPr>
                <w:sz w:val="20"/>
                <w:szCs w:val="20"/>
                <w:color w:val="auto"/>
              </w:rPr>
            </w:pPr>
            <w:r>
              <w:rPr>
                <w:rFonts w:ascii="Arial" w:cs="Arial" w:eastAsia="Arial" w:hAnsi="Arial"/>
                <w:sz w:val="15"/>
                <w:szCs w:val="15"/>
                <w:color w:val="auto"/>
              </w:rPr>
              <w:t>Cash and cash equivalents</w:t>
            </w:r>
          </w:p>
        </w:tc>
        <w:tc>
          <w:tcPr>
            <w:tcW w:w="1300" w:type="dxa"/>
            <w:vAlign w:val="bottom"/>
          </w:tcPr>
          <w:p>
            <w:pPr>
              <w:jc w:val="right"/>
              <w:ind w:right="127"/>
              <w:spacing w:after="0"/>
              <w:rPr>
                <w:sz w:val="20"/>
                <w:szCs w:val="20"/>
                <w:color w:val="auto"/>
              </w:rPr>
            </w:pPr>
            <w:r>
              <w:rPr>
                <w:rFonts w:ascii="Arial" w:cs="Arial" w:eastAsia="Arial" w:hAnsi="Arial"/>
                <w:sz w:val="15"/>
                <w:szCs w:val="15"/>
                <w:color w:val="183964"/>
              </w:rPr>
              <w:t>1,895</w:t>
            </w:r>
          </w:p>
        </w:tc>
        <w:tc>
          <w:tcPr>
            <w:tcW w:w="1440" w:type="dxa"/>
            <w:vAlign w:val="bottom"/>
          </w:tcPr>
          <w:p>
            <w:pPr>
              <w:jc w:val="right"/>
              <w:ind w:right="288"/>
              <w:spacing w:after="0"/>
              <w:rPr>
                <w:sz w:val="20"/>
                <w:szCs w:val="20"/>
                <w:color w:val="auto"/>
              </w:rPr>
            </w:pPr>
            <w:r>
              <w:rPr>
                <w:rFonts w:ascii="Arial" w:cs="Arial" w:eastAsia="Arial" w:hAnsi="Arial"/>
                <w:sz w:val="15"/>
                <w:szCs w:val="15"/>
                <w:color w:val="183964"/>
              </w:rPr>
              <w:t>675</w:t>
            </w:r>
          </w:p>
        </w:tc>
        <w:tc>
          <w:tcPr>
            <w:tcW w:w="1320" w:type="dxa"/>
            <w:vAlign w:val="bottom"/>
          </w:tcPr>
          <w:p>
            <w:pPr>
              <w:jc w:val="right"/>
              <w:ind w:right="347"/>
              <w:spacing w:after="0"/>
              <w:rPr>
                <w:sz w:val="20"/>
                <w:szCs w:val="20"/>
                <w:color w:val="auto"/>
              </w:rPr>
            </w:pPr>
            <w:r>
              <w:rPr>
                <w:rFonts w:ascii="Arial" w:cs="Arial" w:eastAsia="Arial" w:hAnsi="Arial"/>
                <w:sz w:val="15"/>
                <w:szCs w:val="15"/>
                <w:color w:val="183964"/>
              </w:rPr>
              <w:t>188,511</w:t>
            </w:r>
          </w:p>
        </w:tc>
        <w:tc>
          <w:tcPr>
            <w:tcW w:w="920" w:type="dxa"/>
            <w:vAlign w:val="bottom"/>
          </w:tcPr>
          <w:p>
            <w:pPr>
              <w:jc w:val="right"/>
              <w:spacing w:after="0"/>
              <w:rPr>
                <w:sz w:val="20"/>
                <w:szCs w:val="20"/>
                <w:color w:val="auto"/>
              </w:rPr>
            </w:pPr>
            <w:r>
              <w:rPr>
                <w:rFonts w:ascii="Arial" w:cs="Arial" w:eastAsia="Arial" w:hAnsi="Arial"/>
                <w:sz w:val="15"/>
                <w:szCs w:val="15"/>
                <w:color w:val="183964"/>
              </w:rPr>
              <w:t>191,081</w:t>
            </w:r>
          </w:p>
        </w:tc>
        <w:tc>
          <w:tcPr>
            <w:tcW w:w="200" w:type="dxa"/>
            <w:vAlign w:val="bottom"/>
          </w:tcPr>
          <w:p>
            <w:pPr>
              <w:spacing w:after="0"/>
              <w:rPr>
                <w:sz w:val="17"/>
                <w:szCs w:val="17"/>
                <w:color w:val="auto"/>
              </w:rPr>
            </w:pPr>
          </w:p>
        </w:tc>
      </w:tr>
      <w:tr>
        <w:trPr>
          <w:trHeight w:val="243"/>
        </w:trPr>
        <w:tc>
          <w:tcPr>
            <w:tcW w:w="6040" w:type="dxa"/>
            <w:vAlign w:val="bottom"/>
            <w:gridSpan w:val="2"/>
          </w:tcPr>
          <w:p>
            <w:pPr>
              <w:ind w:left="120"/>
              <w:spacing w:after="0"/>
              <w:rPr>
                <w:sz w:val="20"/>
                <w:szCs w:val="20"/>
                <w:color w:val="auto"/>
              </w:rPr>
            </w:pPr>
            <w:r>
              <w:rPr>
                <w:rFonts w:ascii="Arial" w:cs="Arial" w:eastAsia="Arial" w:hAnsi="Arial"/>
                <w:sz w:val="15"/>
                <w:szCs w:val="15"/>
                <w:color w:val="auto"/>
              </w:rPr>
              <w:t>Short-term Investments</w:t>
            </w:r>
          </w:p>
        </w:tc>
        <w:tc>
          <w:tcPr>
            <w:tcW w:w="1300" w:type="dxa"/>
            <w:vAlign w:val="bottom"/>
          </w:tcPr>
          <w:p>
            <w:pPr>
              <w:jc w:val="right"/>
              <w:ind w:right="127"/>
              <w:spacing w:after="0"/>
              <w:rPr>
                <w:sz w:val="20"/>
                <w:szCs w:val="20"/>
                <w:color w:val="auto"/>
              </w:rPr>
            </w:pPr>
            <w:r>
              <w:rPr>
                <w:rFonts w:ascii="Arial" w:cs="Arial" w:eastAsia="Arial" w:hAnsi="Arial"/>
                <w:sz w:val="15"/>
                <w:szCs w:val="15"/>
                <w:color w:val="183964"/>
              </w:rPr>
              <w:t>—</w:t>
            </w:r>
          </w:p>
        </w:tc>
        <w:tc>
          <w:tcPr>
            <w:tcW w:w="1440" w:type="dxa"/>
            <w:vAlign w:val="bottom"/>
          </w:tcPr>
          <w:p>
            <w:pPr>
              <w:jc w:val="right"/>
              <w:ind w:right="288"/>
              <w:spacing w:after="0"/>
              <w:rPr>
                <w:sz w:val="20"/>
                <w:szCs w:val="20"/>
                <w:color w:val="auto"/>
              </w:rPr>
            </w:pPr>
            <w:r>
              <w:rPr>
                <w:rFonts w:ascii="Arial" w:cs="Arial" w:eastAsia="Arial" w:hAnsi="Arial"/>
                <w:sz w:val="15"/>
                <w:szCs w:val="15"/>
                <w:color w:val="183964"/>
              </w:rPr>
              <w:t>—</w:t>
            </w:r>
          </w:p>
        </w:tc>
        <w:tc>
          <w:tcPr>
            <w:tcW w:w="1320" w:type="dxa"/>
            <w:vAlign w:val="bottom"/>
          </w:tcPr>
          <w:p>
            <w:pPr>
              <w:jc w:val="right"/>
              <w:ind w:right="347"/>
              <w:spacing w:after="0"/>
              <w:rPr>
                <w:sz w:val="20"/>
                <w:szCs w:val="20"/>
                <w:color w:val="auto"/>
              </w:rPr>
            </w:pPr>
            <w:r>
              <w:rPr>
                <w:rFonts w:ascii="Arial" w:cs="Arial" w:eastAsia="Arial" w:hAnsi="Arial"/>
                <w:sz w:val="15"/>
                <w:szCs w:val="15"/>
                <w:color w:val="183964"/>
              </w:rPr>
              <w:t>136,062</w:t>
            </w:r>
          </w:p>
        </w:tc>
        <w:tc>
          <w:tcPr>
            <w:tcW w:w="920" w:type="dxa"/>
            <w:vAlign w:val="bottom"/>
          </w:tcPr>
          <w:p>
            <w:pPr>
              <w:jc w:val="right"/>
              <w:spacing w:after="0"/>
              <w:rPr>
                <w:sz w:val="20"/>
                <w:szCs w:val="20"/>
                <w:color w:val="auto"/>
              </w:rPr>
            </w:pPr>
            <w:r>
              <w:rPr>
                <w:rFonts w:ascii="Arial" w:cs="Arial" w:eastAsia="Arial" w:hAnsi="Arial"/>
                <w:sz w:val="15"/>
                <w:szCs w:val="15"/>
                <w:color w:val="183964"/>
              </w:rPr>
              <w:t>136,062</w:t>
            </w:r>
          </w:p>
        </w:tc>
        <w:tc>
          <w:tcPr>
            <w:tcW w:w="200" w:type="dxa"/>
            <w:vAlign w:val="bottom"/>
          </w:tcPr>
          <w:p>
            <w:pPr>
              <w:spacing w:after="0"/>
              <w:rPr>
                <w:sz w:val="21"/>
                <w:szCs w:val="21"/>
                <w:color w:val="auto"/>
              </w:rPr>
            </w:pPr>
          </w:p>
        </w:tc>
      </w:tr>
      <w:tr>
        <w:trPr>
          <w:trHeight w:val="33"/>
        </w:trPr>
        <w:tc>
          <w:tcPr>
            <w:tcW w:w="5940" w:type="dxa"/>
            <w:vAlign w:val="bottom"/>
            <w:tcBorders>
              <w:bottom w:val="single" w:sz="8" w:color="183964"/>
            </w:tcBorders>
          </w:tcPr>
          <w:p>
            <w:pPr>
              <w:spacing w:after="0"/>
              <w:rPr>
                <w:sz w:val="2"/>
                <w:szCs w:val="2"/>
                <w:color w:val="auto"/>
              </w:rPr>
            </w:pPr>
          </w:p>
        </w:tc>
        <w:tc>
          <w:tcPr>
            <w:tcW w:w="100" w:type="dxa"/>
            <w:vAlign w:val="bottom"/>
            <w:tcBorders>
              <w:bottom w:val="single" w:sz="8" w:color="183964"/>
            </w:tcBorders>
          </w:tcPr>
          <w:p>
            <w:pPr>
              <w:spacing w:after="0"/>
              <w:rPr>
                <w:sz w:val="2"/>
                <w:szCs w:val="2"/>
                <w:color w:val="auto"/>
              </w:rPr>
            </w:pPr>
          </w:p>
        </w:tc>
        <w:tc>
          <w:tcPr>
            <w:tcW w:w="1300" w:type="dxa"/>
            <w:vAlign w:val="bottom"/>
            <w:tcBorders>
              <w:bottom w:val="single" w:sz="8" w:color="183964"/>
            </w:tcBorders>
          </w:tcPr>
          <w:p>
            <w:pPr>
              <w:spacing w:after="0"/>
              <w:rPr>
                <w:sz w:val="2"/>
                <w:szCs w:val="2"/>
                <w:color w:val="auto"/>
              </w:rPr>
            </w:pPr>
          </w:p>
        </w:tc>
        <w:tc>
          <w:tcPr>
            <w:tcW w:w="1440" w:type="dxa"/>
            <w:vAlign w:val="bottom"/>
            <w:tcBorders>
              <w:bottom w:val="single" w:sz="8" w:color="183964"/>
            </w:tcBorders>
          </w:tcPr>
          <w:p>
            <w:pPr>
              <w:spacing w:after="0"/>
              <w:rPr>
                <w:sz w:val="2"/>
                <w:szCs w:val="2"/>
                <w:color w:val="auto"/>
              </w:rPr>
            </w:pPr>
          </w:p>
        </w:tc>
        <w:tc>
          <w:tcPr>
            <w:tcW w:w="1320" w:type="dxa"/>
            <w:vAlign w:val="bottom"/>
            <w:tcBorders>
              <w:bottom w:val="single" w:sz="8" w:color="183964"/>
            </w:tcBorders>
          </w:tcPr>
          <w:p>
            <w:pPr>
              <w:spacing w:after="0"/>
              <w:rPr>
                <w:sz w:val="2"/>
                <w:szCs w:val="2"/>
                <w:color w:val="auto"/>
              </w:rPr>
            </w:pPr>
          </w:p>
        </w:tc>
        <w:tc>
          <w:tcPr>
            <w:tcW w:w="920" w:type="dxa"/>
            <w:vAlign w:val="bottom"/>
            <w:tcBorders>
              <w:bottom w:val="single" w:sz="8" w:color="183964"/>
            </w:tcBorders>
          </w:tcPr>
          <w:p>
            <w:pPr>
              <w:spacing w:after="0"/>
              <w:rPr>
                <w:sz w:val="2"/>
                <w:szCs w:val="2"/>
                <w:color w:val="auto"/>
              </w:rPr>
            </w:pPr>
          </w:p>
        </w:tc>
        <w:tc>
          <w:tcPr>
            <w:tcW w:w="200" w:type="dxa"/>
            <w:vAlign w:val="bottom"/>
          </w:tcPr>
          <w:p>
            <w:pPr>
              <w:spacing w:after="0"/>
              <w:rPr>
                <w:sz w:val="2"/>
                <w:szCs w:val="2"/>
                <w:color w:val="auto"/>
              </w:rPr>
            </w:pPr>
          </w:p>
        </w:tc>
      </w:tr>
      <w:tr>
        <w:trPr>
          <w:trHeight w:val="204"/>
        </w:trPr>
        <w:tc>
          <w:tcPr>
            <w:tcW w:w="6040" w:type="dxa"/>
            <w:vAlign w:val="bottom"/>
            <w:gridSpan w:val="2"/>
          </w:tcPr>
          <w:p>
            <w:pPr>
              <w:ind w:left="120"/>
              <w:spacing w:after="0"/>
              <w:rPr>
                <w:sz w:val="20"/>
                <w:szCs w:val="20"/>
                <w:color w:val="auto"/>
              </w:rPr>
            </w:pPr>
            <w:r>
              <w:rPr>
                <w:rFonts w:ascii="Arial" w:cs="Arial" w:eastAsia="Arial" w:hAnsi="Arial"/>
                <w:sz w:val="15"/>
                <w:szCs w:val="15"/>
                <w:color w:val="auto"/>
              </w:rPr>
              <w:t>Consolidated cash, cash equivalents and short-term investments</w:t>
            </w:r>
          </w:p>
        </w:tc>
        <w:tc>
          <w:tcPr>
            <w:tcW w:w="1300" w:type="dxa"/>
            <w:vAlign w:val="bottom"/>
          </w:tcPr>
          <w:p>
            <w:pPr>
              <w:jc w:val="right"/>
              <w:ind w:right="127"/>
              <w:spacing w:after="0"/>
              <w:rPr>
                <w:sz w:val="20"/>
                <w:szCs w:val="20"/>
                <w:color w:val="auto"/>
              </w:rPr>
            </w:pPr>
            <w:r>
              <w:rPr>
                <w:rFonts w:ascii="Arial" w:cs="Arial" w:eastAsia="Arial" w:hAnsi="Arial"/>
                <w:sz w:val="15"/>
                <w:szCs w:val="15"/>
                <w:color w:val="183964"/>
              </w:rPr>
              <w:t>1,895</w:t>
            </w:r>
          </w:p>
        </w:tc>
        <w:tc>
          <w:tcPr>
            <w:tcW w:w="1440" w:type="dxa"/>
            <w:vAlign w:val="bottom"/>
          </w:tcPr>
          <w:p>
            <w:pPr>
              <w:jc w:val="right"/>
              <w:ind w:right="288"/>
              <w:spacing w:after="0"/>
              <w:rPr>
                <w:sz w:val="20"/>
                <w:szCs w:val="20"/>
                <w:color w:val="auto"/>
              </w:rPr>
            </w:pPr>
            <w:r>
              <w:rPr>
                <w:rFonts w:ascii="Arial" w:cs="Arial" w:eastAsia="Arial" w:hAnsi="Arial"/>
                <w:sz w:val="15"/>
                <w:szCs w:val="15"/>
                <w:color w:val="183964"/>
              </w:rPr>
              <w:t>675</w:t>
            </w:r>
          </w:p>
        </w:tc>
        <w:tc>
          <w:tcPr>
            <w:tcW w:w="1320" w:type="dxa"/>
            <w:vAlign w:val="bottom"/>
          </w:tcPr>
          <w:p>
            <w:pPr>
              <w:jc w:val="right"/>
              <w:ind w:right="347"/>
              <w:spacing w:after="0"/>
              <w:rPr>
                <w:sz w:val="20"/>
                <w:szCs w:val="20"/>
                <w:color w:val="auto"/>
              </w:rPr>
            </w:pPr>
            <w:r>
              <w:rPr>
                <w:rFonts w:ascii="Arial" w:cs="Arial" w:eastAsia="Arial" w:hAnsi="Arial"/>
                <w:sz w:val="15"/>
                <w:szCs w:val="15"/>
                <w:color w:val="183964"/>
              </w:rPr>
              <w:t>324,573</w:t>
            </w:r>
          </w:p>
        </w:tc>
        <w:tc>
          <w:tcPr>
            <w:tcW w:w="920" w:type="dxa"/>
            <w:vAlign w:val="bottom"/>
          </w:tcPr>
          <w:p>
            <w:pPr>
              <w:jc w:val="right"/>
              <w:spacing w:after="0"/>
              <w:rPr>
                <w:sz w:val="20"/>
                <w:szCs w:val="20"/>
                <w:color w:val="auto"/>
              </w:rPr>
            </w:pPr>
            <w:r>
              <w:rPr>
                <w:rFonts w:ascii="Arial" w:cs="Arial" w:eastAsia="Arial" w:hAnsi="Arial"/>
                <w:sz w:val="15"/>
                <w:szCs w:val="15"/>
                <w:color w:val="183964"/>
              </w:rPr>
              <w:t>327,143</w:t>
            </w:r>
          </w:p>
        </w:tc>
        <w:tc>
          <w:tcPr>
            <w:tcW w:w="200" w:type="dxa"/>
            <w:vAlign w:val="bottom"/>
          </w:tcPr>
          <w:p>
            <w:pPr>
              <w:spacing w:after="0"/>
              <w:rPr>
                <w:sz w:val="17"/>
                <w:szCs w:val="17"/>
                <w:color w:val="auto"/>
              </w:rPr>
            </w:pPr>
          </w:p>
        </w:tc>
      </w:tr>
      <w:tr>
        <w:trPr>
          <w:trHeight w:val="33"/>
        </w:trPr>
        <w:tc>
          <w:tcPr>
            <w:tcW w:w="5940" w:type="dxa"/>
            <w:vAlign w:val="bottom"/>
            <w:tcBorders>
              <w:bottom w:val="single" w:sz="8" w:color="183964"/>
            </w:tcBorders>
          </w:tcPr>
          <w:p>
            <w:pPr>
              <w:spacing w:after="0"/>
              <w:rPr>
                <w:sz w:val="2"/>
                <w:szCs w:val="2"/>
                <w:color w:val="auto"/>
              </w:rPr>
            </w:pPr>
          </w:p>
        </w:tc>
        <w:tc>
          <w:tcPr>
            <w:tcW w:w="100" w:type="dxa"/>
            <w:vAlign w:val="bottom"/>
            <w:tcBorders>
              <w:bottom w:val="single" w:sz="8" w:color="183964"/>
            </w:tcBorders>
          </w:tcPr>
          <w:p>
            <w:pPr>
              <w:spacing w:after="0"/>
              <w:rPr>
                <w:sz w:val="2"/>
                <w:szCs w:val="2"/>
                <w:color w:val="auto"/>
              </w:rPr>
            </w:pPr>
          </w:p>
        </w:tc>
        <w:tc>
          <w:tcPr>
            <w:tcW w:w="1300" w:type="dxa"/>
            <w:vAlign w:val="bottom"/>
            <w:tcBorders>
              <w:bottom w:val="single" w:sz="8" w:color="183964"/>
            </w:tcBorders>
          </w:tcPr>
          <w:p>
            <w:pPr>
              <w:spacing w:after="0"/>
              <w:rPr>
                <w:sz w:val="2"/>
                <w:szCs w:val="2"/>
                <w:color w:val="auto"/>
              </w:rPr>
            </w:pPr>
          </w:p>
        </w:tc>
        <w:tc>
          <w:tcPr>
            <w:tcW w:w="1440" w:type="dxa"/>
            <w:vAlign w:val="bottom"/>
            <w:tcBorders>
              <w:bottom w:val="single" w:sz="8" w:color="183964"/>
            </w:tcBorders>
          </w:tcPr>
          <w:p>
            <w:pPr>
              <w:spacing w:after="0"/>
              <w:rPr>
                <w:sz w:val="2"/>
                <w:szCs w:val="2"/>
                <w:color w:val="auto"/>
              </w:rPr>
            </w:pPr>
          </w:p>
        </w:tc>
        <w:tc>
          <w:tcPr>
            <w:tcW w:w="1320" w:type="dxa"/>
            <w:vAlign w:val="bottom"/>
            <w:tcBorders>
              <w:bottom w:val="single" w:sz="8" w:color="183964"/>
            </w:tcBorders>
          </w:tcPr>
          <w:p>
            <w:pPr>
              <w:spacing w:after="0"/>
              <w:rPr>
                <w:sz w:val="2"/>
                <w:szCs w:val="2"/>
                <w:color w:val="auto"/>
              </w:rPr>
            </w:pPr>
          </w:p>
        </w:tc>
        <w:tc>
          <w:tcPr>
            <w:tcW w:w="920" w:type="dxa"/>
            <w:vAlign w:val="bottom"/>
            <w:tcBorders>
              <w:bottom w:val="single" w:sz="8" w:color="183964"/>
            </w:tcBorders>
          </w:tcPr>
          <w:p>
            <w:pPr>
              <w:spacing w:after="0"/>
              <w:rPr>
                <w:sz w:val="2"/>
                <w:szCs w:val="2"/>
                <w:color w:val="auto"/>
              </w:rPr>
            </w:pPr>
          </w:p>
        </w:tc>
        <w:tc>
          <w:tcPr>
            <w:tcW w:w="2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784225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3" w:right="359" w:bottom="1440" w:gutter="0" w:footer="0" w:header="0"/>
        </w:sectPr>
      </w:pPr>
    </w:p>
    <w:bookmarkStart w:id="27" w:name="page28"/>
    <w:bookmarkEnd w:id="27"/>
    <w:p>
      <w:pPr>
        <w:ind w:left="340" w:hanging="332"/>
        <w:spacing w:after="0"/>
        <w:tabs>
          <w:tab w:leader="none" w:pos="340" w:val="left"/>
        </w:tabs>
        <w:numPr>
          <w:ilvl w:val="0"/>
          <w:numId w:val="17"/>
        </w:numPr>
        <w:rPr>
          <w:rFonts w:ascii="Arial" w:cs="Arial" w:eastAsia="Arial" w:hAnsi="Arial"/>
          <w:sz w:val="15"/>
          <w:szCs w:val="15"/>
          <w:b w:val="1"/>
          <w:bCs w:val="1"/>
          <w:color w:val="183964"/>
        </w:rPr>
      </w:pPr>
      <w:r>
        <w:rPr>
          <w:rFonts w:ascii="Arial" w:cs="Arial" w:eastAsia="Arial" w:hAnsi="Arial"/>
          <w:sz w:val="15"/>
          <w:szCs w:val="15"/>
          <w:b w:val="1"/>
          <w:bCs w:val="1"/>
          <w:color w:val="183964"/>
        </w:rPr>
        <w:t>Investments Held at Fair Value</w:t>
      </w:r>
    </w:p>
    <w:p>
      <w:pPr>
        <w:spacing w:after="0" w:line="100" w:lineRule="exact"/>
        <w:rPr>
          <w:sz w:val="20"/>
          <w:szCs w:val="20"/>
          <w:color w:val="auto"/>
        </w:rPr>
      </w:pPr>
    </w:p>
    <w:p>
      <w:pPr>
        <w:ind w:right="120"/>
        <w:spacing w:after="0" w:line="269" w:lineRule="auto"/>
        <w:rPr>
          <w:sz w:val="20"/>
          <w:szCs w:val="20"/>
          <w:color w:val="auto"/>
        </w:rPr>
      </w:pPr>
      <w:r>
        <w:rPr>
          <w:rFonts w:ascii="Arial" w:cs="Arial" w:eastAsia="Arial" w:hAnsi="Arial"/>
          <w:sz w:val="15"/>
          <w:szCs w:val="15"/>
          <w:color w:val="auto"/>
        </w:rPr>
        <w:t>Investments held at fair value include both unlisted and listed securities held by the Group. These investments, which include interests in Akili, Vor, Sonde, Vedanta and other insignificant investments, are initially measured at fair value and are subsequently re-measured at fair value at each reporting date with changes in the fair value recorded through profit and loss. See Note 13. Financial Instruments for information regarding the valuation of these instruments. Activities related to such investments during the periods are shown below:</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9920" w:type="dxa"/>
            <w:vAlign w:val="bottom"/>
          </w:tcPr>
          <w:p>
            <w:pPr>
              <w:ind w:left="20"/>
              <w:spacing w:after="0"/>
              <w:rPr>
                <w:sz w:val="20"/>
                <w:szCs w:val="20"/>
                <w:color w:val="auto"/>
              </w:rPr>
            </w:pPr>
            <w:r>
              <w:rPr>
                <w:rFonts w:ascii="Arial" w:cs="Arial" w:eastAsia="Arial" w:hAnsi="Arial"/>
                <w:sz w:val="13"/>
                <w:szCs w:val="13"/>
                <w:color w:val="auto"/>
              </w:rPr>
              <w:t>Investments held at fair value</w:t>
            </w:r>
          </w:p>
        </w:tc>
        <w:tc>
          <w:tcPr>
            <w:tcW w:w="1300" w:type="dxa"/>
            <w:vAlign w:val="bottom"/>
          </w:tcPr>
          <w:p>
            <w:pPr>
              <w:jc w:val="right"/>
              <w:spacing w:after="0"/>
              <w:rPr>
                <w:sz w:val="20"/>
                <w:szCs w:val="20"/>
                <w:color w:val="auto"/>
              </w:rPr>
            </w:pPr>
            <w:r>
              <w:rPr>
                <w:rFonts w:ascii="Arial" w:cs="Arial" w:eastAsia="Arial" w:hAnsi="Arial"/>
                <w:sz w:val="13"/>
                <w:szCs w:val="13"/>
                <w:color w:val="183964"/>
              </w:rPr>
              <w:t>$</w:t>
            </w:r>
          </w:p>
        </w:tc>
      </w:tr>
      <w:tr>
        <w:trPr>
          <w:trHeight w:val="28"/>
        </w:trPr>
        <w:tc>
          <w:tcPr>
            <w:tcW w:w="99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3"/>
        </w:trPr>
        <w:tc>
          <w:tcPr>
            <w:tcW w:w="9920" w:type="dxa"/>
            <w:vAlign w:val="bottom"/>
          </w:tcPr>
          <w:p>
            <w:pPr>
              <w:ind w:left="20"/>
              <w:spacing w:after="0"/>
              <w:rPr>
                <w:sz w:val="20"/>
                <w:szCs w:val="20"/>
                <w:color w:val="auto"/>
              </w:rPr>
            </w:pPr>
            <w:r>
              <w:rPr>
                <w:rFonts w:ascii="Arial" w:cs="Arial" w:eastAsia="Arial" w:hAnsi="Arial"/>
                <w:sz w:val="15"/>
                <w:szCs w:val="15"/>
                <w:color w:val="auto"/>
              </w:rPr>
              <w:t>Balance as of December 31, 2023 and January 1, 2024</w:t>
            </w:r>
          </w:p>
        </w:tc>
        <w:tc>
          <w:tcPr>
            <w:tcW w:w="1300" w:type="dxa"/>
            <w:vAlign w:val="bottom"/>
          </w:tcPr>
          <w:p>
            <w:pPr>
              <w:jc w:val="right"/>
              <w:ind w:right="5"/>
              <w:spacing w:after="0"/>
              <w:rPr>
                <w:sz w:val="20"/>
                <w:szCs w:val="20"/>
                <w:color w:val="auto"/>
              </w:rPr>
            </w:pPr>
            <w:r>
              <w:rPr>
                <w:rFonts w:ascii="Arial" w:cs="Arial" w:eastAsia="Arial" w:hAnsi="Arial"/>
                <w:sz w:val="15"/>
                <w:szCs w:val="15"/>
                <w:color w:val="183964"/>
              </w:rPr>
              <w:t>317,841</w:t>
            </w:r>
          </w:p>
        </w:tc>
      </w:tr>
      <w:tr>
        <w:trPr>
          <w:trHeight w:val="33"/>
        </w:trPr>
        <w:tc>
          <w:tcPr>
            <w:tcW w:w="9920" w:type="dxa"/>
            <w:vAlign w:val="bottom"/>
            <w:tcBorders>
              <w:bottom w:val="single" w:sz="8" w:color="auto"/>
            </w:tcBorders>
          </w:tcPr>
          <w:p>
            <w:pPr>
              <w:spacing w:after="0"/>
              <w:rPr>
                <w:sz w:val="2"/>
                <w:szCs w:val="2"/>
                <w:color w:val="auto"/>
              </w:rPr>
            </w:pPr>
          </w:p>
        </w:tc>
        <w:tc>
          <w:tcPr>
            <w:tcW w:w="1300" w:type="dxa"/>
            <w:vAlign w:val="bottom"/>
            <w:tcBorders>
              <w:bottom w:val="single" w:sz="8" w:color="183964"/>
            </w:tcBorders>
          </w:tcPr>
          <w:p>
            <w:pPr>
              <w:spacing w:after="0"/>
              <w:rPr>
                <w:sz w:val="2"/>
                <w:szCs w:val="2"/>
                <w:color w:val="auto"/>
              </w:rPr>
            </w:pPr>
          </w:p>
        </w:tc>
      </w:tr>
      <w:tr>
        <w:trPr>
          <w:trHeight w:val="203"/>
        </w:trPr>
        <w:tc>
          <w:tcPr>
            <w:tcW w:w="9920" w:type="dxa"/>
            <w:vAlign w:val="bottom"/>
          </w:tcPr>
          <w:p>
            <w:pPr>
              <w:ind w:left="20"/>
              <w:spacing w:after="0"/>
              <w:rPr>
                <w:sz w:val="20"/>
                <w:szCs w:val="20"/>
                <w:color w:val="auto"/>
              </w:rPr>
            </w:pPr>
            <w:r>
              <w:rPr>
                <w:rFonts w:ascii="Arial" w:cs="Arial" w:eastAsia="Arial" w:hAnsi="Arial"/>
                <w:sz w:val="15"/>
                <w:szCs w:val="15"/>
                <w:color w:val="auto"/>
              </w:rPr>
              <w:t>Sale of Karuna shares</w:t>
            </w:r>
          </w:p>
        </w:tc>
        <w:tc>
          <w:tcPr>
            <w:tcW w:w="1300" w:type="dxa"/>
            <w:vAlign w:val="bottom"/>
          </w:tcPr>
          <w:p>
            <w:pPr>
              <w:jc w:val="right"/>
              <w:spacing w:after="0"/>
              <w:rPr>
                <w:sz w:val="20"/>
                <w:szCs w:val="20"/>
                <w:color w:val="auto"/>
              </w:rPr>
            </w:pPr>
            <w:r>
              <w:rPr>
                <w:rFonts w:ascii="Arial" w:cs="Arial" w:eastAsia="Arial" w:hAnsi="Arial"/>
                <w:sz w:val="15"/>
                <w:szCs w:val="15"/>
                <w:color w:val="183964"/>
              </w:rPr>
              <w:t>(292,672)</w:t>
            </w:r>
          </w:p>
        </w:tc>
      </w:tr>
      <w:tr>
        <w:trPr>
          <w:trHeight w:val="243"/>
        </w:trPr>
        <w:tc>
          <w:tcPr>
            <w:tcW w:w="9920" w:type="dxa"/>
            <w:vAlign w:val="bottom"/>
          </w:tcPr>
          <w:p>
            <w:pPr>
              <w:ind w:left="20"/>
              <w:spacing w:after="0"/>
              <w:rPr>
                <w:sz w:val="20"/>
                <w:szCs w:val="20"/>
                <w:color w:val="auto"/>
              </w:rPr>
            </w:pPr>
            <w:r>
              <w:rPr>
                <w:rFonts w:ascii="Arial" w:cs="Arial" w:eastAsia="Arial" w:hAnsi="Arial"/>
                <w:sz w:val="15"/>
                <w:szCs w:val="15"/>
                <w:color w:val="auto"/>
              </w:rPr>
              <w:t>Gain realised on sale of investments</w:t>
            </w:r>
          </w:p>
        </w:tc>
        <w:tc>
          <w:tcPr>
            <w:tcW w:w="1300" w:type="dxa"/>
            <w:vAlign w:val="bottom"/>
          </w:tcPr>
          <w:p>
            <w:pPr>
              <w:jc w:val="right"/>
              <w:ind w:right="5"/>
              <w:spacing w:after="0"/>
              <w:rPr>
                <w:sz w:val="20"/>
                <w:szCs w:val="20"/>
                <w:color w:val="auto"/>
              </w:rPr>
            </w:pPr>
            <w:r>
              <w:rPr>
                <w:rFonts w:ascii="Arial" w:cs="Arial" w:eastAsia="Arial" w:hAnsi="Arial"/>
                <w:sz w:val="15"/>
                <w:szCs w:val="15"/>
                <w:color w:val="183964"/>
              </w:rPr>
              <w:t>151</w:t>
            </w:r>
          </w:p>
        </w:tc>
      </w:tr>
      <w:tr>
        <w:trPr>
          <w:trHeight w:val="243"/>
        </w:trPr>
        <w:tc>
          <w:tcPr>
            <w:tcW w:w="9920" w:type="dxa"/>
            <w:vAlign w:val="bottom"/>
          </w:tcPr>
          <w:p>
            <w:pPr>
              <w:ind w:left="20"/>
              <w:spacing w:after="0"/>
              <w:rPr>
                <w:sz w:val="20"/>
                <w:szCs w:val="20"/>
                <w:color w:val="auto"/>
              </w:rPr>
            </w:pPr>
            <w:r>
              <w:rPr>
                <w:rFonts w:ascii="Arial" w:cs="Arial" w:eastAsia="Arial" w:hAnsi="Arial"/>
                <w:sz w:val="15"/>
                <w:szCs w:val="15"/>
                <w:color w:val="auto"/>
              </w:rPr>
              <w:t>Gain – change in fair value through profit and loss</w:t>
            </w:r>
          </w:p>
        </w:tc>
        <w:tc>
          <w:tcPr>
            <w:tcW w:w="1300" w:type="dxa"/>
            <w:vAlign w:val="bottom"/>
          </w:tcPr>
          <w:p>
            <w:pPr>
              <w:jc w:val="right"/>
              <w:ind w:right="5"/>
              <w:spacing w:after="0"/>
              <w:rPr>
                <w:sz w:val="20"/>
                <w:szCs w:val="20"/>
                <w:color w:val="auto"/>
              </w:rPr>
            </w:pPr>
            <w:r>
              <w:rPr>
                <w:rFonts w:ascii="Arial" w:cs="Arial" w:eastAsia="Arial" w:hAnsi="Arial"/>
                <w:sz w:val="15"/>
                <w:szCs w:val="15"/>
                <w:color w:val="183964"/>
              </w:rPr>
              <w:t>3,882</w:t>
            </w:r>
          </w:p>
        </w:tc>
      </w:tr>
      <w:tr>
        <w:trPr>
          <w:trHeight w:val="33"/>
        </w:trPr>
        <w:tc>
          <w:tcPr>
            <w:tcW w:w="9920" w:type="dxa"/>
            <w:vAlign w:val="bottom"/>
            <w:tcBorders>
              <w:bottom w:val="single" w:sz="8" w:color="183964"/>
            </w:tcBorders>
          </w:tcPr>
          <w:p>
            <w:pPr>
              <w:spacing w:after="0"/>
              <w:rPr>
                <w:sz w:val="2"/>
                <w:szCs w:val="2"/>
                <w:color w:val="auto"/>
              </w:rPr>
            </w:pPr>
          </w:p>
        </w:tc>
        <w:tc>
          <w:tcPr>
            <w:tcW w:w="1300" w:type="dxa"/>
            <w:vAlign w:val="bottom"/>
            <w:tcBorders>
              <w:bottom w:val="single" w:sz="8" w:color="183964"/>
            </w:tcBorders>
          </w:tcPr>
          <w:p>
            <w:pPr>
              <w:spacing w:after="0"/>
              <w:rPr>
                <w:sz w:val="2"/>
                <w:szCs w:val="2"/>
                <w:color w:val="auto"/>
              </w:rPr>
            </w:pPr>
          </w:p>
        </w:tc>
      </w:tr>
      <w:tr>
        <w:trPr>
          <w:trHeight w:val="211"/>
        </w:trPr>
        <w:tc>
          <w:tcPr>
            <w:tcW w:w="9920" w:type="dxa"/>
            <w:vAlign w:val="bottom"/>
          </w:tcPr>
          <w:p>
            <w:pPr>
              <w:ind w:left="20"/>
              <w:spacing w:after="0"/>
              <w:rPr>
                <w:sz w:val="20"/>
                <w:szCs w:val="20"/>
                <w:color w:val="auto"/>
              </w:rPr>
            </w:pPr>
            <w:r>
              <w:rPr>
                <w:rFonts w:ascii="Arial" w:cs="Arial" w:eastAsia="Arial" w:hAnsi="Arial"/>
                <w:sz w:val="15"/>
                <w:szCs w:val="15"/>
                <w:b w:val="1"/>
                <w:bCs w:val="1"/>
                <w:color w:val="auto"/>
              </w:rPr>
              <w:t>Balance as of June 30, 2024 before allocation of equity method loss to long-term interest ("LTI")</w:t>
            </w:r>
          </w:p>
        </w:tc>
        <w:tc>
          <w:tcPr>
            <w:tcW w:w="1300" w:type="dxa"/>
            <w:vAlign w:val="bottom"/>
          </w:tcPr>
          <w:p>
            <w:pPr>
              <w:jc w:val="right"/>
              <w:ind w:right="5"/>
              <w:spacing w:after="0"/>
              <w:rPr>
                <w:sz w:val="20"/>
                <w:szCs w:val="20"/>
                <w:color w:val="auto"/>
              </w:rPr>
            </w:pPr>
            <w:r>
              <w:rPr>
                <w:rFonts w:ascii="Arial" w:cs="Arial" w:eastAsia="Arial" w:hAnsi="Arial"/>
                <w:sz w:val="15"/>
                <w:szCs w:val="15"/>
                <w:b w:val="1"/>
                <w:bCs w:val="1"/>
                <w:color w:val="auto"/>
              </w:rPr>
              <w:t>29,202</w:t>
            </w:r>
          </w:p>
        </w:tc>
      </w:tr>
      <w:tr>
        <w:trPr>
          <w:trHeight w:val="25"/>
        </w:trPr>
        <w:tc>
          <w:tcPr>
            <w:tcW w:w="9920" w:type="dxa"/>
            <w:vAlign w:val="bottom"/>
            <w:tcBorders>
              <w:bottom w:val="single" w:sz="8" w:color="929292"/>
            </w:tcBorders>
          </w:tcPr>
          <w:p>
            <w:pPr>
              <w:spacing w:after="0"/>
              <w:rPr>
                <w:sz w:val="2"/>
                <w:szCs w:val="2"/>
                <w:color w:val="auto"/>
              </w:rPr>
            </w:pPr>
          </w:p>
        </w:tc>
        <w:tc>
          <w:tcPr>
            <w:tcW w:w="1300" w:type="dxa"/>
            <w:vAlign w:val="bottom"/>
            <w:tcBorders>
              <w:bottom w:val="single" w:sz="8" w:color="929292"/>
            </w:tcBorders>
          </w:tcPr>
          <w:p>
            <w:pPr>
              <w:spacing w:after="0"/>
              <w:rPr>
                <w:sz w:val="2"/>
                <w:szCs w:val="2"/>
                <w:color w:val="auto"/>
              </w:rPr>
            </w:pPr>
          </w:p>
        </w:tc>
      </w:tr>
      <w:tr>
        <w:trPr>
          <w:trHeight w:val="221"/>
        </w:trPr>
        <w:tc>
          <w:tcPr>
            <w:tcW w:w="9920" w:type="dxa"/>
            <w:vAlign w:val="bottom"/>
          </w:tcPr>
          <w:p>
            <w:pPr>
              <w:ind w:left="20"/>
              <w:spacing w:after="0"/>
              <w:rPr>
                <w:sz w:val="20"/>
                <w:szCs w:val="20"/>
                <w:color w:val="auto"/>
              </w:rPr>
            </w:pPr>
            <w:r>
              <w:rPr>
                <w:rFonts w:ascii="Arial" w:cs="Arial" w:eastAsia="Arial" w:hAnsi="Arial"/>
                <w:sz w:val="15"/>
                <w:szCs w:val="15"/>
                <w:color w:val="auto"/>
              </w:rPr>
              <w:t>Equity method loss recorded against LTI</w:t>
            </w:r>
          </w:p>
        </w:tc>
        <w:tc>
          <w:tcPr>
            <w:tcW w:w="1300" w:type="dxa"/>
            <w:vAlign w:val="bottom"/>
          </w:tcPr>
          <w:p>
            <w:pPr>
              <w:jc w:val="right"/>
              <w:spacing w:after="0"/>
              <w:rPr>
                <w:sz w:val="20"/>
                <w:szCs w:val="20"/>
                <w:color w:val="auto"/>
              </w:rPr>
            </w:pPr>
            <w:r>
              <w:rPr>
                <w:rFonts w:ascii="Arial" w:cs="Arial" w:eastAsia="Arial" w:hAnsi="Arial"/>
                <w:sz w:val="16"/>
                <w:szCs w:val="16"/>
                <w:color w:val="auto"/>
              </w:rPr>
              <w:t>(172)</w:t>
            </w:r>
          </w:p>
        </w:tc>
      </w:tr>
      <w:tr>
        <w:trPr>
          <w:trHeight w:val="234"/>
        </w:trPr>
        <w:tc>
          <w:tcPr>
            <w:tcW w:w="9920" w:type="dxa"/>
            <w:vAlign w:val="bottom"/>
          </w:tcPr>
          <w:p>
            <w:pPr>
              <w:ind w:left="20"/>
              <w:spacing w:after="0"/>
              <w:rPr>
                <w:sz w:val="20"/>
                <w:szCs w:val="20"/>
                <w:color w:val="auto"/>
              </w:rPr>
            </w:pPr>
            <w:r>
              <w:rPr>
                <w:rFonts w:ascii="Arial" w:cs="Arial" w:eastAsia="Arial" w:hAnsi="Arial"/>
                <w:sz w:val="15"/>
                <w:szCs w:val="15"/>
                <w:b w:val="1"/>
                <w:bCs w:val="1"/>
                <w:color w:val="auto"/>
              </w:rPr>
              <w:t>Balance as of June 30, 2024 after allocation of equity method loss to LTI</w:t>
            </w:r>
          </w:p>
        </w:tc>
        <w:tc>
          <w:tcPr>
            <w:tcW w:w="1300" w:type="dxa"/>
            <w:vAlign w:val="bottom"/>
          </w:tcPr>
          <w:p>
            <w:pPr>
              <w:jc w:val="right"/>
              <w:ind w:right="5"/>
              <w:spacing w:after="0"/>
              <w:rPr>
                <w:sz w:val="20"/>
                <w:szCs w:val="20"/>
                <w:color w:val="auto"/>
              </w:rPr>
            </w:pPr>
            <w:r>
              <w:rPr>
                <w:rFonts w:ascii="Arial" w:cs="Arial" w:eastAsia="Arial" w:hAnsi="Arial"/>
                <w:sz w:val="15"/>
                <w:szCs w:val="15"/>
                <w:b w:val="1"/>
                <w:bCs w:val="1"/>
                <w:color w:val="auto"/>
              </w:rPr>
              <w:t>29,030</w:t>
            </w:r>
          </w:p>
        </w:tc>
      </w:tr>
      <w:tr>
        <w:trPr>
          <w:trHeight w:val="25"/>
        </w:trPr>
        <w:tc>
          <w:tcPr>
            <w:tcW w:w="9920" w:type="dxa"/>
            <w:vAlign w:val="bottom"/>
            <w:tcBorders>
              <w:bottom w:val="single" w:sz="8" w:color="929292"/>
            </w:tcBorders>
          </w:tcPr>
          <w:p>
            <w:pPr>
              <w:spacing w:after="0"/>
              <w:rPr>
                <w:sz w:val="2"/>
                <w:szCs w:val="2"/>
                <w:color w:val="auto"/>
              </w:rPr>
            </w:pPr>
          </w:p>
        </w:tc>
        <w:tc>
          <w:tcPr>
            <w:tcW w:w="1300" w:type="dxa"/>
            <w:vAlign w:val="bottom"/>
            <w:tcBorders>
              <w:bottom w:val="single" w:sz="8" w:color="929292"/>
            </w:tcBorders>
          </w:tcPr>
          <w:p>
            <w:pPr>
              <w:spacing w:after="0"/>
              <w:rPr>
                <w:sz w:val="2"/>
                <w:szCs w:val="2"/>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5"/>
          <w:szCs w:val="15"/>
          <w:color w:val="183964"/>
        </w:rPr>
        <w:t>Vedanta</w:t>
      </w:r>
    </w:p>
    <w:p>
      <w:pPr>
        <w:spacing w:after="0" w:line="17" w:lineRule="exact"/>
        <w:rPr>
          <w:sz w:val="20"/>
          <w:szCs w:val="20"/>
          <w:color w:val="auto"/>
        </w:rPr>
      </w:pPr>
    </w:p>
    <w:p>
      <w:pPr>
        <w:ind w:right="120"/>
        <w:spacing w:after="0" w:line="263" w:lineRule="auto"/>
        <w:rPr>
          <w:sz w:val="20"/>
          <w:szCs w:val="20"/>
          <w:color w:val="auto"/>
        </w:rPr>
      </w:pPr>
      <w:r>
        <w:rPr>
          <w:rFonts w:ascii="Arial" w:cs="Arial" w:eastAsia="Arial" w:hAnsi="Arial"/>
          <w:sz w:val="15"/>
          <w:szCs w:val="15"/>
          <w:color w:val="auto"/>
        </w:rPr>
        <w:t>On March 1, 2023 Vedanta issued convertible debt to a syndicate of investors. The Group did not participate in this round of financing. As part of the issuance of the debt, the convertible debt holders were granted representation on Vedanta's Board of Directors and the Group lost control over the Vedanta's Board of Directors and the power to direct the relevant Vedanta activities. Consequently, Vedanta was deconsolidated on March 1, 2023 and its results of operations were included in the Condensed Consolidated Financial Statements through the date of deconsolidation.</w:t>
      </w:r>
    </w:p>
    <w:p>
      <w:pPr>
        <w:spacing w:after="0" w:line="53" w:lineRule="exact"/>
        <w:rPr>
          <w:sz w:val="20"/>
          <w:szCs w:val="20"/>
          <w:color w:val="auto"/>
        </w:rPr>
      </w:pPr>
    </w:p>
    <w:p>
      <w:pPr>
        <w:ind w:right="100"/>
        <w:spacing w:after="0" w:line="268" w:lineRule="auto"/>
        <w:rPr>
          <w:sz w:val="20"/>
          <w:szCs w:val="20"/>
          <w:color w:val="auto"/>
        </w:rPr>
      </w:pPr>
      <w:r>
        <w:rPr>
          <w:rFonts w:ascii="Arial" w:cs="Arial" w:eastAsia="Arial" w:hAnsi="Arial"/>
          <w:sz w:val="15"/>
          <w:szCs w:val="15"/>
          <w:color w:val="auto"/>
        </w:rPr>
        <w:t>Following deconsolidation, the Group still has significant influence over Vedanta through its voting interest in Vedanta and its remaining representation on Vedanta's Board of Directors. However, the Group only holds convertible preferred shares in Vedanta that do not provide their holders with access to returns associated with a residual equity interest, and as such, are accounted for under IFRS 9, as investments held at fair value with changes in fair value recorded in profit and loss. Under IFRS 9, the preferred share investments are categorized as debt instruments that are presented at fair value through profit and loss because the amounts receivable do not represent solely payments of principal and interest.</w:t>
      </w:r>
    </w:p>
    <w:p>
      <w:pPr>
        <w:spacing w:after="0" w:line="49" w:lineRule="exact"/>
        <w:rPr>
          <w:sz w:val="20"/>
          <w:szCs w:val="20"/>
          <w:color w:val="auto"/>
        </w:rPr>
      </w:pPr>
    </w:p>
    <w:p>
      <w:pPr>
        <w:ind w:right="120"/>
        <w:spacing w:after="0" w:line="301" w:lineRule="auto"/>
        <w:rPr>
          <w:sz w:val="20"/>
          <w:szCs w:val="20"/>
          <w:color w:val="auto"/>
        </w:rPr>
      </w:pPr>
      <w:r>
        <w:rPr>
          <w:rFonts w:ascii="Arial" w:cs="Arial" w:eastAsia="Arial" w:hAnsi="Arial"/>
          <w:sz w:val="15"/>
          <w:szCs w:val="15"/>
          <w:color w:val="auto"/>
        </w:rPr>
        <w:t>Upon deconsolidation, the Group derecognized its assets, liabilities and non-controlling interest in respect of Vedanta and recorded its aforementioned investment in Vedanta at fair value. The deconsolidation resulted in a gain of $61,787.</w:t>
      </w:r>
    </w:p>
    <w:p>
      <w:pPr>
        <w:spacing w:after="0" w:line="26" w:lineRule="exact"/>
        <w:rPr>
          <w:sz w:val="20"/>
          <w:szCs w:val="20"/>
          <w:color w:val="auto"/>
        </w:rPr>
      </w:pPr>
    </w:p>
    <w:p>
      <w:pPr>
        <w:ind w:right="220"/>
        <w:spacing w:after="0" w:line="273" w:lineRule="auto"/>
        <w:rPr>
          <w:sz w:val="20"/>
          <w:szCs w:val="20"/>
          <w:color w:val="auto"/>
        </w:rPr>
      </w:pPr>
      <w:r>
        <w:rPr>
          <w:rFonts w:ascii="Arial" w:cs="Arial" w:eastAsia="Arial" w:hAnsi="Arial"/>
          <w:sz w:val="15"/>
          <w:szCs w:val="15"/>
          <w:color w:val="auto"/>
        </w:rPr>
        <w:t>During the six months ended June 30, 2024 and June 30, 2023, the Group recognized a loss of $3,648 and $2,171, respectively for the changes in the fair value of the investment in Vedanta that was included in gain/(loss) on investments held at fair value within the Condensed Consolidated Statement of Comprehensive Income/(Loss). The fair value of the Group’s investment in Vedanta was $10,505 and $14,153 as of June 30, 2024 and December 31, 2023,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183964"/>
        </w:rPr>
        <w:t>Karuna</w:t>
      </w:r>
    </w:p>
    <w:p>
      <w:pPr>
        <w:spacing w:after="0" w:line="28" w:lineRule="exact"/>
        <w:rPr>
          <w:sz w:val="20"/>
          <w:szCs w:val="20"/>
          <w:color w:val="auto"/>
        </w:rPr>
      </w:pPr>
    </w:p>
    <w:p>
      <w:pPr>
        <w:ind w:right="180"/>
        <w:spacing w:after="0" w:line="264" w:lineRule="auto"/>
        <w:rPr>
          <w:sz w:val="20"/>
          <w:szCs w:val="20"/>
          <w:color w:val="auto"/>
        </w:rPr>
      </w:pPr>
      <w:r>
        <w:rPr>
          <w:rFonts w:ascii="Arial" w:cs="Arial" w:eastAsia="Arial" w:hAnsi="Arial"/>
          <w:sz w:val="15"/>
          <w:szCs w:val="15"/>
          <w:color w:val="auto"/>
        </w:rPr>
        <w:t>As of December 31, 2023, the Group held 886,885 shares or 2.3 percent of total outstanding Karuna common stock with fair value of $280,708. In March 2024, Karuna common shares were acquired by Bristol Myers Squibb ("BMS") for $330 per share in accordance with the terms of a definitive merger agreement signed in December 2023. As a result of this transaction, the Group received total proceeds of $292,672 before income tax in exchange for its holding of 886,885 shares of Karuna common stock.</w:t>
      </w:r>
    </w:p>
    <w:p>
      <w:pPr>
        <w:spacing w:after="0" w:line="53" w:lineRule="exact"/>
        <w:rPr>
          <w:sz w:val="20"/>
          <w:szCs w:val="20"/>
          <w:color w:val="auto"/>
        </w:rPr>
      </w:pPr>
    </w:p>
    <w:p>
      <w:pPr>
        <w:ind w:right="440"/>
        <w:spacing w:after="0" w:line="273" w:lineRule="auto"/>
        <w:rPr>
          <w:sz w:val="20"/>
          <w:szCs w:val="20"/>
          <w:color w:val="auto"/>
        </w:rPr>
      </w:pPr>
      <w:r>
        <w:rPr>
          <w:rFonts w:ascii="Arial" w:cs="Arial" w:eastAsia="Arial" w:hAnsi="Arial"/>
          <w:sz w:val="15"/>
          <w:szCs w:val="15"/>
          <w:color w:val="auto"/>
        </w:rPr>
        <w:t>During the six months ended June 30, 2024 and 2023, the Group recognized a gain of $11,813 and $21,458, respectively, for the changes in the fair value of its investment in Karuna that was included in gain/(loss) on investments held at fair value within the Condensed Consolidated Statement of Comprehensive Income/(Loss).</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183964"/>
        </w:rPr>
        <w:t>Sonde</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On May 25, 2022, Sonde completed a Series B preferred share financing, which resulted in the Group losing control over Sonde and the deconsolidation of Sonde.</w:t>
      </w:r>
    </w:p>
    <w:p>
      <w:pPr>
        <w:spacing w:after="0" w:line="86" w:lineRule="exact"/>
        <w:rPr>
          <w:sz w:val="20"/>
          <w:szCs w:val="20"/>
          <w:color w:val="auto"/>
        </w:rPr>
      </w:pPr>
    </w:p>
    <w:p>
      <w:pPr>
        <w:ind w:right="60"/>
        <w:spacing w:after="0" w:line="263" w:lineRule="auto"/>
        <w:rPr>
          <w:sz w:val="20"/>
          <w:szCs w:val="20"/>
          <w:color w:val="auto"/>
        </w:rPr>
      </w:pPr>
      <w:r>
        <w:rPr>
          <w:rFonts w:ascii="Arial" w:cs="Arial" w:eastAsia="Arial" w:hAnsi="Arial"/>
          <w:sz w:val="15"/>
          <w:szCs w:val="15"/>
          <w:color w:val="auto"/>
        </w:rPr>
        <w:t>Following deconsolidation, the Group still had significant influence in Sonde through its voting interest in Sonde and its remaining representation on Sonde's Board of Directors. The Group holds Preferred A-1, A-2 and B shares. The Preferred A-1 shares have the same terms as common stock, and provide their shareholders with access to returns associated with a residual equity ownership in Sonde. Consequently, the investment in Preferred A-1 shares is accounted for under the equity method. See Note 5. Investments in Associates. The convertible Preferred A-2 and B shares, however, do not provide their shareholders with access to returns associated with a residual equity interest, and as such, are accounted for under IFRS 9, as investments held at fair value with changes in fair value recorded in profit and loss. Under IFRS 9, the A-2 and B preferred share investments are categorized as debt instruments that are presented at fair value through profit and loss because the amounts receivable do not represent solely payments of principal and interest.</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color w:val="auto"/>
        </w:rPr>
        <w:t>During the six months ended June 30, 2024 and 2023, the Group recognized a gain of $163, and a loss of $167, respectively, for the change in the fair value of its</w:t>
      </w:r>
    </w:p>
    <w:p>
      <w:pPr>
        <w:spacing w:after="0" w:line="17" w:lineRule="exact"/>
        <w:rPr>
          <w:sz w:val="20"/>
          <w:szCs w:val="20"/>
          <w:color w:val="auto"/>
        </w:rPr>
      </w:pPr>
    </w:p>
    <w:p>
      <w:pPr>
        <w:ind w:right="540"/>
        <w:spacing w:after="0" w:line="234" w:lineRule="auto"/>
        <w:rPr>
          <w:sz w:val="20"/>
          <w:szCs w:val="20"/>
          <w:color w:val="auto"/>
        </w:rPr>
      </w:pPr>
      <w:r>
        <w:rPr>
          <w:rFonts w:ascii="Arial" w:cs="Arial" w:eastAsia="Arial" w:hAnsi="Arial"/>
          <w:sz w:val="15"/>
          <w:szCs w:val="15"/>
          <w:color w:val="auto"/>
        </w:rPr>
        <w:t>investment in Sonde that were included in gain/(loss) on investments held at fair value within the Condensed Consolidated Statement of Comprehensive Income/(Loss). The fair value of the Group’s investment in Sonde was $10,571 and $10,408 as of June 30, 2024 and December 31, 2023, respectively. As the</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Group’s investment in</w:t>
      </w:r>
    </w:p>
    <w:p>
      <w:pPr>
        <w:spacing w:after="0" w:line="3"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color w:val="auto"/>
        </w:rPr>
        <w:t>Sonde is considered to be a long term interest, a loss of $172 from Sonde’s equity method of accounting was applied to the investment balance, reducing the balance to $10,399.</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color w:val="183964"/>
        </w:rPr>
        <w:t>Vor</w:t>
      </w:r>
    </w:p>
    <w:p>
      <w:pPr>
        <w:spacing w:after="0" w:line="17" w:lineRule="exact"/>
        <w:rPr>
          <w:sz w:val="20"/>
          <w:szCs w:val="20"/>
          <w:color w:val="auto"/>
        </w:rPr>
      </w:pPr>
    </w:p>
    <w:p>
      <w:pPr>
        <w:ind w:right="140"/>
        <w:spacing w:after="0" w:line="263" w:lineRule="auto"/>
        <w:rPr>
          <w:sz w:val="20"/>
          <w:szCs w:val="20"/>
          <w:color w:val="auto"/>
        </w:rPr>
      </w:pPr>
      <w:r>
        <w:rPr>
          <w:rFonts w:ascii="Arial" w:cs="Arial" w:eastAsia="Arial" w:hAnsi="Arial"/>
          <w:sz w:val="15"/>
          <w:szCs w:val="15"/>
          <w:color w:val="auto"/>
        </w:rPr>
        <w:t>During the six months ended June 30, 2024 and 2023, the Group recognized a loss of $3,340 and $9,512, respectively, for the change in the fair value of its investment in Vor that was included in gain/(loss) on investments held at fair value within the Condensed Consolidated Statement of Comprehensive Income/(Loss). The fair value of the Group’s investment in Vor was $2,672 and $6,012 as of June 30, 2024 and December 31,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752475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1" w:right="359" w:bottom="1440" w:gutter="0" w:footer="0" w:header="0"/>
        </w:sectPr>
      </w:pPr>
    </w:p>
    <w:bookmarkStart w:id="28" w:name="page29"/>
    <w:bookmarkEnd w:id="28"/>
    <w:p>
      <w:pPr>
        <w:spacing w:after="0"/>
        <w:rPr>
          <w:sz w:val="20"/>
          <w:szCs w:val="20"/>
          <w:color w:val="auto"/>
        </w:rPr>
      </w:pPr>
      <w:r>
        <w:rPr>
          <w:rFonts w:ascii="Arial" w:cs="Arial" w:eastAsia="Arial" w:hAnsi="Arial"/>
          <w:sz w:val="15"/>
          <w:szCs w:val="15"/>
          <w:color w:val="183964"/>
        </w:rPr>
        <w:t>Akili</w:t>
      </w:r>
    </w:p>
    <w:p>
      <w:pPr>
        <w:spacing w:after="0" w:line="17" w:lineRule="exact"/>
        <w:rPr>
          <w:sz w:val="20"/>
          <w:szCs w:val="20"/>
          <w:color w:val="auto"/>
        </w:rPr>
      </w:pPr>
    </w:p>
    <w:p>
      <w:pPr>
        <w:ind w:right="60"/>
        <w:spacing w:after="0" w:line="263" w:lineRule="auto"/>
        <w:rPr>
          <w:sz w:val="20"/>
          <w:szCs w:val="20"/>
          <w:color w:val="auto"/>
        </w:rPr>
      </w:pPr>
      <w:r>
        <w:rPr>
          <w:rFonts w:ascii="Arial" w:cs="Arial" w:eastAsia="Arial" w:hAnsi="Arial"/>
          <w:sz w:val="15"/>
          <w:szCs w:val="15"/>
          <w:color w:val="auto"/>
        </w:rPr>
        <w:t>During the six months ended June 30, 2024 and 2023, the Group recognized a loss of $985 and $354, respectively, for the changes in the fair value of its investment in Akili that were included in gain/(loss) on investments held at fair value within the Condensed Consolidated Statement of Comprehensive Income/(Loss). The fair value of the Group’s investment in Akilli was $5,437 and $6,422 as of June 30, 2024 and December 31, 2023, respectively.</w:t>
      </w:r>
    </w:p>
    <w:p>
      <w:pPr>
        <w:spacing w:after="0" w:line="67" w:lineRule="exact"/>
        <w:rPr>
          <w:sz w:val="20"/>
          <w:szCs w:val="20"/>
          <w:color w:val="auto"/>
        </w:rPr>
      </w:pPr>
    </w:p>
    <w:p>
      <w:pPr>
        <w:ind w:right="480"/>
        <w:spacing w:after="0" w:line="283" w:lineRule="auto"/>
        <w:rPr>
          <w:sz w:val="20"/>
          <w:szCs w:val="20"/>
          <w:color w:val="auto"/>
        </w:rPr>
      </w:pPr>
      <w:r>
        <w:rPr>
          <w:rFonts w:ascii="Arial" w:cs="Arial" w:eastAsia="Arial" w:hAnsi="Arial"/>
          <w:sz w:val="15"/>
          <w:szCs w:val="15"/>
          <w:color w:val="auto"/>
        </w:rPr>
        <w:t>On July 2, 2024, Akili was acquired by Virtual Therapeutics. As a result of this transaction, the Group received total proceeds of $5,437 before income taxes in exchange for its holding of 12,527,476 shares of Akili common stock.</w:t>
      </w:r>
    </w:p>
    <w:p>
      <w:pPr>
        <w:spacing w:after="0" w:line="131"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5"/>
          <w:szCs w:val="15"/>
          <w:b w:val="1"/>
          <w:bCs w:val="1"/>
          <w:color w:val="183964"/>
        </w:rPr>
      </w:pPr>
      <w:r>
        <w:rPr>
          <w:rFonts w:ascii="Arial" w:cs="Arial" w:eastAsia="Arial" w:hAnsi="Arial"/>
          <w:sz w:val="15"/>
          <w:szCs w:val="15"/>
          <w:b w:val="1"/>
          <w:bCs w:val="1"/>
          <w:color w:val="183964"/>
        </w:rPr>
        <w:t>Investments in Associates</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color w:val="183964"/>
        </w:rPr>
        <w:t>Gelesis</w:t>
      </w:r>
    </w:p>
    <w:p>
      <w:pPr>
        <w:spacing w:after="0" w:line="28" w:lineRule="exact"/>
        <w:rPr>
          <w:sz w:val="20"/>
          <w:szCs w:val="20"/>
          <w:color w:val="auto"/>
        </w:rPr>
      </w:pPr>
    </w:p>
    <w:p>
      <w:pPr>
        <w:ind w:right="240"/>
        <w:spacing w:after="0" w:line="264" w:lineRule="auto"/>
        <w:rPr>
          <w:sz w:val="20"/>
          <w:szCs w:val="20"/>
          <w:color w:val="auto"/>
        </w:rPr>
      </w:pPr>
      <w:r>
        <w:rPr>
          <w:rFonts w:ascii="Arial" w:cs="Arial" w:eastAsia="Arial" w:hAnsi="Arial"/>
          <w:sz w:val="15"/>
          <w:szCs w:val="15"/>
          <w:color w:val="auto"/>
        </w:rPr>
        <w:t xml:space="preserve">Gelesis was founded by the Group and raised funding through preferred shares financings as well as issuances of warrants and loans. As of July 1, 2019, Gelesis was deconsolidated from the Group’s financial statements. Upon deconsolidation, the preferred shares and warrants held by the Group fell under the guidance of IFRS 9 </w:t>
      </w:r>
      <w:r>
        <w:rPr>
          <w:rFonts w:ascii="Arial" w:cs="Arial" w:eastAsia="Arial" w:hAnsi="Arial"/>
          <w:sz w:val="15"/>
          <w:szCs w:val="15"/>
          <w:i w:val="1"/>
          <w:iCs w:val="1"/>
          <w:color w:val="auto"/>
        </w:rPr>
        <w:t>Financial Instruments</w:t>
      </w:r>
      <w:r>
        <w:rPr>
          <w:rFonts w:ascii="Arial" w:cs="Arial" w:eastAsia="Arial" w:hAnsi="Arial"/>
          <w:sz w:val="15"/>
          <w:szCs w:val="15"/>
          <w:color w:val="auto"/>
        </w:rPr>
        <w:t xml:space="preserve"> and were treated as financial assets held at fair value and the investment in common shares of Gelesis was subject to IAS 28 </w:t>
      </w:r>
      <w:r>
        <w:rPr>
          <w:rFonts w:ascii="Arial" w:cs="Arial" w:eastAsia="Arial" w:hAnsi="Arial"/>
          <w:sz w:val="15"/>
          <w:szCs w:val="15"/>
          <w:i w:val="1"/>
          <w:iCs w:val="1"/>
          <w:color w:val="auto"/>
        </w:rPr>
        <w:t xml:space="preserve">Investment in Associates </w:t>
      </w:r>
      <w:r>
        <w:rPr>
          <w:rFonts w:ascii="Arial" w:cs="Arial" w:eastAsia="Arial" w:hAnsi="Arial"/>
          <w:sz w:val="15"/>
          <w:szCs w:val="15"/>
          <w:color w:val="auto"/>
        </w:rPr>
        <w:t>as the Group had significant influence over Gelesis.</w:t>
      </w:r>
    </w:p>
    <w:p>
      <w:pPr>
        <w:spacing w:after="0" w:line="53" w:lineRule="exact"/>
        <w:rPr>
          <w:sz w:val="20"/>
          <w:szCs w:val="20"/>
          <w:color w:val="auto"/>
        </w:rPr>
      </w:pPr>
    </w:p>
    <w:p>
      <w:pPr>
        <w:ind w:right="140"/>
        <w:spacing w:after="0" w:line="263" w:lineRule="auto"/>
        <w:rPr>
          <w:sz w:val="20"/>
          <w:szCs w:val="20"/>
          <w:color w:val="auto"/>
        </w:rPr>
      </w:pPr>
      <w:r>
        <w:rPr>
          <w:rFonts w:ascii="Arial" w:cs="Arial" w:eastAsia="Arial" w:hAnsi="Arial"/>
          <w:sz w:val="15"/>
          <w:szCs w:val="15"/>
          <w:color w:val="auto"/>
        </w:rPr>
        <w:t>During the year ended December 31, 2023, the Group entered into agreements with Gelesis to purchase senior secured convertible promissory notes and warrants for shares of Gelesis common stock (see Note 6. Investment in Notes from Associates). The warrants to purchase shares of Gelesis common stock represented potential voting rights to the Group and it is therefore necessary to consider whether they were substantive. If these potential voting rights were substantive and the Group had the practical ability to exercise the rights and take control of greater than 50% of Gelesis common stock, the Group would be required to consolidate Gelesis under the accounting standards.</w:t>
      </w:r>
    </w:p>
    <w:p>
      <w:pPr>
        <w:spacing w:after="0" w:line="67" w:lineRule="exact"/>
        <w:rPr>
          <w:sz w:val="20"/>
          <w:szCs w:val="20"/>
          <w:color w:val="auto"/>
        </w:rPr>
      </w:pPr>
    </w:p>
    <w:p>
      <w:pPr>
        <w:jc w:val="both"/>
        <w:ind w:right="180"/>
        <w:spacing w:after="0" w:line="263" w:lineRule="auto"/>
        <w:rPr>
          <w:sz w:val="20"/>
          <w:szCs w:val="20"/>
          <w:color w:val="auto"/>
        </w:rPr>
      </w:pPr>
      <w:r>
        <w:rPr>
          <w:rFonts w:ascii="Arial" w:cs="Arial" w:eastAsia="Arial" w:hAnsi="Arial"/>
          <w:sz w:val="15"/>
          <w:szCs w:val="15"/>
          <w:color w:val="auto"/>
        </w:rPr>
        <w:t>In February 2023, the Group obtained warrants to purchase 23,688,047 shares of Gelesis common stock (the “February Warrants”) at an exercise price of $0.2744 per share. The exercise of the February Warrants was subject to the approval of the Gelesis stockholders until May 1, 2023. On May 1, 2023, stockholder approval was no longer required for the Group to exercise the February Warrants. The potential voting rights associated with the February Warrants were not substantive as the exercise price of the February Warrants was at a significant premium to the fair value of the Gelesis common stock.</w:t>
      </w:r>
    </w:p>
    <w:p>
      <w:pPr>
        <w:spacing w:after="0" w:line="67" w:lineRule="exact"/>
        <w:rPr>
          <w:sz w:val="20"/>
          <w:szCs w:val="20"/>
          <w:color w:val="auto"/>
        </w:rPr>
      </w:pPr>
    </w:p>
    <w:p>
      <w:pPr>
        <w:ind w:right="180"/>
        <w:spacing w:after="0" w:line="263" w:lineRule="auto"/>
        <w:rPr>
          <w:sz w:val="20"/>
          <w:szCs w:val="20"/>
          <w:color w:val="auto"/>
        </w:rPr>
      </w:pPr>
      <w:r>
        <w:rPr>
          <w:rFonts w:ascii="Arial" w:cs="Arial" w:eastAsia="Arial" w:hAnsi="Arial"/>
          <w:sz w:val="15"/>
          <w:szCs w:val="15"/>
          <w:color w:val="auto"/>
        </w:rPr>
        <w:t>In May 2023, the Group obtained warrants to purchase 235,441,495 shares of Gelesis common stock (the “May Warrants”). The May Warrants were exercisable at the option of the Group and had an exercise price of either $0.0182 or $0.0142. The May Warrants were substantive as the Group would have benefited from exercising such warrants since their exercise price was at the money or at an insignificant premium over the fair value of the Gelesis common stock. However, that benefit from exercising the May Warrants only existed for a short period of time because in June 2023, the potential voting rights associated with the May Warrants were impacted by the terms and conditions of a merger agreement that the Group signed with Gelesis on June 12, 2023 (the "Merger Agreement") and were no longer substantive.</w:t>
      </w:r>
    </w:p>
    <w:p>
      <w:pPr>
        <w:spacing w:after="0" w:line="54" w:lineRule="exact"/>
        <w:rPr>
          <w:sz w:val="20"/>
          <w:szCs w:val="20"/>
          <w:color w:val="auto"/>
        </w:rPr>
      </w:pPr>
    </w:p>
    <w:p>
      <w:pPr>
        <w:ind w:right="40"/>
        <w:spacing w:after="0" w:line="263" w:lineRule="auto"/>
        <w:rPr>
          <w:sz w:val="20"/>
          <w:szCs w:val="20"/>
          <w:color w:val="auto"/>
        </w:rPr>
      </w:pPr>
      <w:r>
        <w:rPr>
          <w:rFonts w:ascii="Arial" w:cs="Arial" w:eastAsia="Arial" w:hAnsi="Arial"/>
          <w:sz w:val="15"/>
          <w:szCs w:val="15"/>
          <w:color w:val="auto"/>
        </w:rPr>
        <w:t>On October 12, 2023, the Group terminated the Merger Agreement with Gelesis as certain closing conditions were not satisfied . In October 2023, Gelesis ceased operations and filed a voluntary petition for relief under the provisions of Chapter 7 of Title 11 of the United States Bankruptcy Code. A Chapter 7 trustee has been appointed by the Bankruptcy Court who has control over the assets and liabilities of Gelesis, effectively eliminating the authority and powers of the Board of Directors of Gelesis and its executive officers to act on behalf of Gelesis. The assets of Gelesis are in liquidation and Gelesis no longer has any officers or employees. The Group ceased accounting for Gelesis as an equity method investment as it no longer has significant influence in Gelesis.</w:t>
      </w:r>
    </w:p>
    <w:p>
      <w:pPr>
        <w:spacing w:after="0" w:line="67" w:lineRule="exact"/>
        <w:rPr>
          <w:sz w:val="20"/>
          <w:szCs w:val="20"/>
          <w:color w:val="auto"/>
        </w:rPr>
      </w:pPr>
    </w:p>
    <w:p>
      <w:pPr>
        <w:ind w:right="40"/>
        <w:spacing w:after="0" w:line="283" w:lineRule="auto"/>
        <w:rPr>
          <w:sz w:val="20"/>
          <w:szCs w:val="20"/>
          <w:color w:val="auto"/>
        </w:rPr>
      </w:pPr>
      <w:r>
        <w:rPr>
          <w:rFonts w:ascii="Arial" w:cs="Arial" w:eastAsia="Arial" w:hAnsi="Arial"/>
          <w:sz w:val="15"/>
          <w:szCs w:val="15"/>
          <w:color w:val="auto"/>
        </w:rPr>
        <w:t>During the year ended December 31, 2023, the Group recorded $4,910 as its share in the losses of Gelesis with $3,787 recorded in the first six months. The Group’s balance in this equity method investment was $— as of June 30, 2024 and December 31, 2023.</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183964"/>
        </w:rPr>
        <w:t>Sonde</w:t>
      </w:r>
    </w:p>
    <w:p>
      <w:pPr>
        <w:spacing w:after="0" w:line="28" w:lineRule="exact"/>
        <w:rPr>
          <w:sz w:val="20"/>
          <w:szCs w:val="20"/>
          <w:color w:val="auto"/>
        </w:rPr>
      </w:pPr>
    </w:p>
    <w:p>
      <w:pPr>
        <w:ind w:right="60"/>
        <w:spacing w:after="0" w:line="259" w:lineRule="auto"/>
        <w:rPr>
          <w:sz w:val="20"/>
          <w:szCs w:val="20"/>
          <w:color w:val="auto"/>
        </w:rPr>
      </w:pPr>
      <w:r>
        <w:rPr>
          <w:rFonts w:ascii="Arial" w:cs="Arial" w:eastAsia="Arial" w:hAnsi="Arial"/>
          <w:sz w:val="15"/>
          <w:szCs w:val="15"/>
          <w:color w:val="auto"/>
        </w:rPr>
        <w:t>Following deconsolidation of Sonde on May 25 2022, the Group has significant influence in Sonde through its voting interest in Sonde and its remaining representation on Sonde's Board of Directors. The Group holds Preferred A-1, A-2 and B shares. The Preferred A-1 shares, in substance, have the same terms as common stock and as such, provide their shareholders with access to returns associated with a residual equity ownership in Sonde. Consequently, the investment in Preferred A-1 shares is accounted for under the equity method of accounting. The Preferred A-2 and B shares, however, do not provide their shareholders with access to returns associated with a residual equity interest, and as such, are accounted for under IFRS 9, as investments held at fair value.</w:t>
      </w:r>
    </w:p>
    <w:p>
      <w:pPr>
        <w:spacing w:after="0" w:line="70"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During the six months ended June 30, 2024 and 2023, the Group recorded a loss of $3,357 and $1,537, respectively, related to Sonde's equity method of accounting. As of December 31, 2023, the Sonde equity method investment had a balance of $3,185. The Group's share of Sonde's loss in the six months ended June 30, 2024 has reduced the Group's investment in this associate to $0. The excess loss of $172 was applied against the fair value of Sonde Preferred A-2 and B shares, which are considered to be long term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752475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43" w:right="399" w:bottom="1440" w:gutter="0" w:footer="0" w:header="0"/>
        </w:sectPr>
      </w:pPr>
    </w:p>
    <w:bookmarkStart w:id="29" w:name="page30"/>
    <w:bookmarkEnd w:id="29"/>
    <w:p>
      <w:pPr>
        <w:ind w:left="340" w:hanging="332"/>
        <w:spacing w:after="0"/>
        <w:tabs>
          <w:tab w:leader="none" w:pos="340" w:val="left"/>
        </w:tabs>
        <w:numPr>
          <w:ilvl w:val="0"/>
          <w:numId w:val="19"/>
        </w:numPr>
        <w:rPr>
          <w:rFonts w:ascii="Arial" w:cs="Arial" w:eastAsia="Arial" w:hAnsi="Arial"/>
          <w:sz w:val="15"/>
          <w:szCs w:val="15"/>
          <w:b w:val="1"/>
          <w:bCs w:val="1"/>
          <w:color w:val="183964"/>
        </w:rPr>
      </w:pPr>
      <w:r>
        <w:rPr>
          <w:rFonts w:ascii="Arial" w:cs="Arial" w:eastAsia="Arial" w:hAnsi="Arial"/>
          <w:sz w:val="15"/>
          <w:szCs w:val="15"/>
          <w:b w:val="1"/>
          <w:bCs w:val="1"/>
          <w:color w:val="183964"/>
        </w:rPr>
        <w:t>Investment in Notes from Associates</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color w:val="183964"/>
        </w:rPr>
        <w:t>Gelesis</w:t>
      </w:r>
    </w:p>
    <w:p>
      <w:pPr>
        <w:spacing w:after="0" w:line="17" w:lineRule="exact"/>
        <w:rPr>
          <w:sz w:val="20"/>
          <w:szCs w:val="20"/>
          <w:color w:val="auto"/>
        </w:rPr>
      </w:pPr>
    </w:p>
    <w:p>
      <w:pPr>
        <w:ind w:right="40"/>
        <w:spacing w:after="0" w:line="263" w:lineRule="auto"/>
        <w:rPr>
          <w:sz w:val="20"/>
          <w:szCs w:val="20"/>
          <w:color w:val="auto"/>
        </w:rPr>
      </w:pPr>
      <w:r>
        <w:rPr>
          <w:rFonts w:ascii="Arial" w:cs="Arial" w:eastAsia="Arial" w:hAnsi="Arial"/>
          <w:sz w:val="15"/>
          <w:szCs w:val="15"/>
          <w:color w:val="auto"/>
        </w:rPr>
        <w:t>On July 27, 2022, the Group, as a lender, entered into an unsecured promissory note (the "Junior Note") with Gelesis, as a borrower, in the amount of $15,000. The Junior Note bears an annual interest rate of 15% per annum. The maturity date of the Junior Note is the earlier of December 31, 2023 or five business days following the consummation of a qualified financing by Gelesis. Based on the terms of the Junior Note, due to the option to convert to a variable amount of shares at the time of default, the Junior Note is required to be measured at fair value with changes in fair value recorded through profit and loss.</w:t>
      </w:r>
    </w:p>
    <w:p>
      <w:pPr>
        <w:spacing w:after="0" w:line="53" w:lineRule="exact"/>
        <w:rPr>
          <w:sz w:val="20"/>
          <w:szCs w:val="20"/>
          <w:color w:val="auto"/>
        </w:rPr>
      </w:pPr>
    </w:p>
    <w:p>
      <w:pPr>
        <w:ind w:right="240"/>
        <w:spacing w:after="0" w:line="263" w:lineRule="auto"/>
        <w:rPr>
          <w:sz w:val="20"/>
          <w:szCs w:val="20"/>
          <w:color w:val="auto"/>
        </w:rPr>
      </w:pPr>
      <w:r>
        <w:rPr>
          <w:rFonts w:ascii="Arial" w:cs="Arial" w:eastAsia="Arial" w:hAnsi="Arial"/>
          <w:sz w:val="15"/>
          <w:szCs w:val="15"/>
          <w:color w:val="auto"/>
        </w:rPr>
        <w:t>During the year ended December 31, 2023, the Group entered into multiple agreements with Gelesis to purchase senior secured convertible promissory notes (the "Senior Notes") and warrants for share of Gelesis common stock for a total consideration of $11,850. The Senior Notes are secured by a first-priority lien on substantially all assets of Gelesis and the guarantors (other than the equity interests in, and assets held by Gelesis s.r.l., a subsidiary of Gelesis, and certain other exceptions). The initial fair value of the Senior Notes was determined to be $10,729 while $1,121 was determined to be the initial fair value of the warrants. The Senior Notes represent debt instruments that are presented at fair value through profit and loss as the amounts receivable do not solely represent payments of principal and interest as the Senior Notes are convertible into Gelesis common stock.</w:t>
      </w:r>
    </w:p>
    <w:p>
      <w:pPr>
        <w:spacing w:after="0" w:line="67" w:lineRule="exact"/>
        <w:rPr>
          <w:sz w:val="20"/>
          <w:szCs w:val="20"/>
          <w:color w:val="auto"/>
        </w:rPr>
      </w:pPr>
    </w:p>
    <w:p>
      <w:pPr>
        <w:ind w:right="60"/>
        <w:spacing w:after="0" w:line="263" w:lineRule="auto"/>
        <w:rPr>
          <w:sz w:val="20"/>
          <w:szCs w:val="20"/>
          <w:color w:val="auto"/>
        </w:rPr>
      </w:pPr>
      <w:r>
        <w:rPr>
          <w:rFonts w:ascii="Arial" w:cs="Arial" w:eastAsia="Arial" w:hAnsi="Arial"/>
          <w:sz w:val="15"/>
          <w:szCs w:val="15"/>
          <w:color w:val="auto"/>
        </w:rPr>
        <w:t>In October 2023, Gelesis ceased operations and filed a voluntary petition for relief under the provisions of Chapter 7 of Title 11 of the United States Bankruptcy Code. Therefore, the Group determined that the fair value of the Junior Note and the Senior Notes with the warrants was $0 as of December 31, 2023. For the six months ended June 30, 2023 and year ended December 31, 2023, the Group recorded a loss of $ 5,945 and $27,230, respectively, for the changes in the fair value of these instruments which were included in gain/(loss) on investments in notes from associates in the Condensed Consolidated Statement of Comprehensive Income/(Loss).</w:t>
      </w:r>
    </w:p>
    <w:p>
      <w:pPr>
        <w:spacing w:after="0" w:line="67" w:lineRule="exact"/>
        <w:rPr>
          <w:sz w:val="20"/>
          <w:szCs w:val="20"/>
          <w:color w:val="auto"/>
        </w:rPr>
      </w:pPr>
    </w:p>
    <w:p>
      <w:pPr>
        <w:ind w:right="60"/>
        <w:spacing w:after="0" w:line="263" w:lineRule="auto"/>
        <w:rPr>
          <w:sz w:val="20"/>
          <w:szCs w:val="20"/>
          <w:color w:val="auto"/>
        </w:rPr>
      </w:pPr>
      <w:r>
        <w:rPr>
          <w:rFonts w:ascii="Arial" w:cs="Arial" w:eastAsia="Arial" w:hAnsi="Arial"/>
          <w:sz w:val="15"/>
          <w:szCs w:val="15"/>
          <w:color w:val="auto"/>
        </w:rPr>
        <w:t>In June 2024, the Bankruptcy Court approved an executed agreement for a third party to acquire the remaining net assets of Gelesis for $15,000. As the only senior secured creditor, the Group is expected to receive a majority of the proceeds from this sale after deduction of Bankruptcy Court related legal and administrative costs. As of June 30, 2024, these notes were determined to have a fair value of $11,312. The Group recorded a gain of $11,312 for the changes in the fair value of these notes which were included in gain/(loss) on investments in notes from associates in the Condensed Consolidated Statement of Comprehensive Income/(Loss).</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color w:val="183964"/>
        </w:rPr>
        <w:t>Vedanta</w:t>
      </w:r>
    </w:p>
    <w:p>
      <w:pPr>
        <w:spacing w:after="0" w:line="17" w:lineRule="exact"/>
        <w:rPr>
          <w:sz w:val="20"/>
          <w:szCs w:val="20"/>
          <w:color w:val="auto"/>
        </w:rPr>
      </w:pPr>
    </w:p>
    <w:p>
      <w:pPr>
        <w:ind w:right="80"/>
        <w:spacing w:after="0" w:line="259" w:lineRule="auto"/>
        <w:rPr>
          <w:sz w:val="20"/>
          <w:szCs w:val="20"/>
          <w:color w:val="auto"/>
        </w:rPr>
      </w:pPr>
      <w:r>
        <w:rPr>
          <w:rFonts w:ascii="Arial" w:cs="Arial" w:eastAsia="Arial" w:hAnsi="Arial"/>
          <w:sz w:val="15"/>
          <w:szCs w:val="15"/>
          <w:color w:val="auto"/>
        </w:rPr>
        <w:t>On April 24, 2023, Vedanta closed the second tranche of its convertible debt for additional proceeds of $18,000, of which $5,000 were invested by the Group. The convertible debt carries an interest rate of 9 percent per annum. The debt has various conversion triggers and the conversion price is established at the lower of 80% of the equity price of the last financing round, or a certain pre-money valuation cap established in the agreement. If the convertible debt is not earlier converted or repaid, the entire outstanding amount of the convertible debt shall be due and payable upon the earliest to occur of (a) the later of (x) November 1, 2025 and (y) the date which is sixty (60) days after all amounts owed under, or in connection with, the loan Vedanta received from a certain investor have been paid in full, or (b) the consummation of a Deemed Liquidation Event (as defined in Vedanta’s Amended and Restated Certificate of Incorporation).</w:t>
      </w:r>
    </w:p>
    <w:p>
      <w:pPr>
        <w:spacing w:after="0" w:line="71" w:lineRule="exact"/>
        <w:rPr>
          <w:sz w:val="20"/>
          <w:szCs w:val="20"/>
          <w:color w:val="auto"/>
        </w:rPr>
      </w:pPr>
    </w:p>
    <w:p>
      <w:pPr>
        <w:ind w:right="200"/>
        <w:spacing w:after="0" w:line="263" w:lineRule="auto"/>
        <w:rPr>
          <w:sz w:val="20"/>
          <w:szCs w:val="20"/>
          <w:color w:val="auto"/>
        </w:rPr>
      </w:pPr>
      <w:r>
        <w:rPr>
          <w:rFonts w:ascii="Arial" w:cs="Arial" w:eastAsia="Arial" w:hAnsi="Arial"/>
          <w:sz w:val="15"/>
          <w:szCs w:val="15"/>
          <w:color w:val="auto"/>
        </w:rPr>
        <w:t>Due to the terms of the convertible debt, the investment in such convertible debt is measured at fair value with changes in the fair value recorded through profit and loss. During the six months ended June 30, 2024 and June 30, 2023, the Group recorded a gain of $300 and a loss of $100, respectively, for the changes in the fair value of the Vedanta convertible debt, which were included in gain/(loss) on investments in notes from associates in the Condensed Consolidated Statement of Comprehensive Income/(Loss).</w:t>
      </w:r>
    </w:p>
    <w:p>
      <w:pPr>
        <w:spacing w:after="0" w:line="63" w:lineRule="exact"/>
        <w:rPr>
          <w:sz w:val="20"/>
          <w:szCs w:val="20"/>
          <w:color w:val="auto"/>
        </w:rPr>
      </w:pPr>
    </w:p>
    <w:p>
      <w:pPr>
        <w:ind w:right="100"/>
        <w:spacing w:after="0" w:line="275" w:lineRule="auto"/>
        <w:rPr>
          <w:sz w:val="20"/>
          <w:szCs w:val="20"/>
          <w:color w:val="auto"/>
        </w:rPr>
      </w:pPr>
      <w:r>
        <w:rPr>
          <w:rFonts w:ascii="Arial" w:cs="Arial" w:eastAsia="Arial" w:hAnsi="Arial"/>
          <w:sz w:val="15"/>
          <w:szCs w:val="15"/>
          <w:color w:val="auto"/>
        </w:rPr>
        <w:t>Following is the activity in respect of investments in notes from associates during the period</w:t>
      </w:r>
      <w:r>
        <w:rPr>
          <w:rFonts w:ascii="Arial" w:cs="Arial" w:eastAsia="Arial" w:hAnsi="Arial"/>
          <w:sz w:val="19"/>
          <w:szCs w:val="19"/>
          <w:color w:val="auto"/>
        </w:rPr>
        <w:t>.</w:t>
      </w:r>
      <w:r>
        <w:rPr>
          <w:rFonts w:ascii="Arial" w:cs="Arial" w:eastAsia="Arial" w:hAnsi="Arial"/>
          <w:sz w:val="15"/>
          <w:szCs w:val="15"/>
          <w:color w:val="auto"/>
        </w:rPr>
        <w:t xml:space="preserve"> The fair value of the $16,212 notes from associates as of June 30, 2024 is determined using unobservable Level 3 inputs. See Note 13. Financial Instruments for additional information.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240" w:type="dxa"/>
            <w:vAlign w:val="bottom"/>
          </w:tcPr>
          <w:p>
            <w:pPr>
              <w:ind w:left="20"/>
              <w:spacing w:after="0"/>
              <w:rPr>
                <w:sz w:val="20"/>
                <w:szCs w:val="20"/>
                <w:color w:val="auto"/>
              </w:rPr>
            </w:pPr>
            <w:r>
              <w:rPr>
                <w:rFonts w:ascii="Arial" w:cs="Arial" w:eastAsia="Arial" w:hAnsi="Arial"/>
                <w:sz w:val="13"/>
                <w:szCs w:val="13"/>
                <w:color w:val="auto"/>
              </w:rPr>
              <w:t>Investment in notes from associates</w:t>
            </w:r>
          </w:p>
        </w:tc>
        <w:tc>
          <w:tcPr>
            <w:tcW w:w="3980" w:type="dxa"/>
            <w:vAlign w:val="bottom"/>
          </w:tcPr>
          <w:p>
            <w:pPr>
              <w:jc w:val="right"/>
              <w:spacing w:after="0"/>
              <w:rPr>
                <w:sz w:val="20"/>
                <w:szCs w:val="20"/>
                <w:color w:val="auto"/>
              </w:rPr>
            </w:pPr>
            <w:r>
              <w:rPr>
                <w:rFonts w:ascii="Arial" w:cs="Arial" w:eastAsia="Arial" w:hAnsi="Arial"/>
                <w:sz w:val="13"/>
                <w:szCs w:val="13"/>
                <w:color w:val="183964"/>
              </w:rPr>
              <w:t>$</w:t>
            </w:r>
          </w:p>
        </w:tc>
      </w:tr>
      <w:tr>
        <w:trPr>
          <w:trHeight w:val="28"/>
        </w:trPr>
        <w:tc>
          <w:tcPr>
            <w:tcW w:w="724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r>
      <w:tr>
        <w:trPr>
          <w:trHeight w:val="203"/>
        </w:trPr>
        <w:tc>
          <w:tcPr>
            <w:tcW w:w="7240" w:type="dxa"/>
            <w:vAlign w:val="bottom"/>
          </w:tcPr>
          <w:p>
            <w:pPr>
              <w:ind w:left="20"/>
              <w:spacing w:after="0"/>
              <w:rPr>
                <w:sz w:val="20"/>
                <w:szCs w:val="20"/>
                <w:color w:val="auto"/>
              </w:rPr>
            </w:pPr>
            <w:r>
              <w:rPr>
                <w:rFonts w:ascii="Arial" w:cs="Arial" w:eastAsia="Arial" w:hAnsi="Arial"/>
                <w:sz w:val="15"/>
                <w:szCs w:val="15"/>
                <w:color w:val="auto"/>
              </w:rPr>
              <w:t>Balance as of December 31, 2023 and January 1, 2024</w:t>
            </w:r>
          </w:p>
        </w:tc>
        <w:tc>
          <w:tcPr>
            <w:tcW w:w="3980" w:type="dxa"/>
            <w:vAlign w:val="bottom"/>
          </w:tcPr>
          <w:p>
            <w:pPr>
              <w:jc w:val="right"/>
              <w:spacing w:after="0"/>
              <w:rPr>
                <w:sz w:val="20"/>
                <w:szCs w:val="20"/>
                <w:color w:val="auto"/>
              </w:rPr>
            </w:pPr>
            <w:r>
              <w:rPr>
                <w:rFonts w:ascii="Arial" w:cs="Arial" w:eastAsia="Arial" w:hAnsi="Arial"/>
                <w:sz w:val="15"/>
                <w:szCs w:val="15"/>
                <w:color w:val="183964"/>
              </w:rPr>
              <w:t>4,600</w:t>
            </w:r>
          </w:p>
        </w:tc>
      </w:tr>
      <w:tr>
        <w:trPr>
          <w:trHeight w:val="243"/>
        </w:trPr>
        <w:tc>
          <w:tcPr>
            <w:tcW w:w="7240" w:type="dxa"/>
            <w:vAlign w:val="bottom"/>
          </w:tcPr>
          <w:p>
            <w:pPr>
              <w:ind w:left="20"/>
              <w:spacing w:after="0"/>
              <w:rPr>
                <w:sz w:val="20"/>
                <w:szCs w:val="20"/>
                <w:color w:val="auto"/>
              </w:rPr>
            </w:pPr>
            <w:r>
              <w:rPr>
                <w:rFonts w:ascii="Arial" w:cs="Arial" w:eastAsia="Arial" w:hAnsi="Arial"/>
                <w:sz w:val="15"/>
                <w:szCs w:val="15"/>
                <w:color w:val="auto"/>
              </w:rPr>
              <w:t>Changes in the fair value of the notes</w:t>
            </w:r>
          </w:p>
        </w:tc>
        <w:tc>
          <w:tcPr>
            <w:tcW w:w="3980" w:type="dxa"/>
            <w:vAlign w:val="bottom"/>
          </w:tcPr>
          <w:p>
            <w:pPr>
              <w:jc w:val="right"/>
              <w:spacing w:after="0"/>
              <w:rPr>
                <w:sz w:val="20"/>
                <w:szCs w:val="20"/>
                <w:color w:val="auto"/>
              </w:rPr>
            </w:pPr>
            <w:r>
              <w:rPr>
                <w:rFonts w:ascii="Arial" w:cs="Arial" w:eastAsia="Arial" w:hAnsi="Arial"/>
                <w:sz w:val="15"/>
                <w:szCs w:val="15"/>
                <w:color w:val="183964"/>
              </w:rPr>
              <w:t>11,612</w:t>
            </w:r>
          </w:p>
        </w:tc>
      </w:tr>
      <w:tr>
        <w:trPr>
          <w:trHeight w:val="33"/>
        </w:trPr>
        <w:tc>
          <w:tcPr>
            <w:tcW w:w="724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r>
      <w:tr>
        <w:trPr>
          <w:trHeight w:val="211"/>
        </w:trPr>
        <w:tc>
          <w:tcPr>
            <w:tcW w:w="7240" w:type="dxa"/>
            <w:vAlign w:val="bottom"/>
          </w:tcPr>
          <w:p>
            <w:pPr>
              <w:ind w:left="20"/>
              <w:spacing w:after="0"/>
              <w:rPr>
                <w:sz w:val="20"/>
                <w:szCs w:val="20"/>
                <w:color w:val="auto"/>
              </w:rPr>
            </w:pPr>
            <w:r>
              <w:rPr>
                <w:rFonts w:ascii="Arial" w:cs="Arial" w:eastAsia="Arial" w:hAnsi="Arial"/>
                <w:sz w:val="15"/>
                <w:szCs w:val="15"/>
                <w:b w:val="1"/>
                <w:bCs w:val="1"/>
                <w:color w:val="auto"/>
              </w:rPr>
              <w:t>Balance as of June 30, 2024</w:t>
            </w:r>
          </w:p>
        </w:tc>
        <w:tc>
          <w:tcPr>
            <w:tcW w:w="3980" w:type="dxa"/>
            <w:vAlign w:val="bottom"/>
          </w:tcPr>
          <w:p>
            <w:pPr>
              <w:jc w:val="right"/>
              <w:spacing w:after="0"/>
              <w:rPr>
                <w:sz w:val="20"/>
                <w:szCs w:val="20"/>
                <w:color w:val="auto"/>
              </w:rPr>
            </w:pPr>
            <w:r>
              <w:rPr>
                <w:rFonts w:ascii="Arial" w:cs="Arial" w:eastAsia="Arial" w:hAnsi="Arial"/>
                <w:sz w:val="15"/>
                <w:szCs w:val="15"/>
                <w:b w:val="1"/>
                <w:bCs w:val="1"/>
                <w:color w:val="auto"/>
              </w:rPr>
              <w:t>16,212</w:t>
            </w:r>
          </w:p>
        </w:tc>
      </w:tr>
      <w:tr>
        <w:trPr>
          <w:trHeight w:val="25"/>
        </w:trPr>
        <w:tc>
          <w:tcPr>
            <w:tcW w:w="724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r>
    </w:tbl>
    <w:p>
      <w:pPr>
        <w:spacing w:after="0" w:line="251" w:lineRule="exact"/>
        <w:rPr>
          <w:sz w:val="20"/>
          <w:szCs w:val="20"/>
          <w:color w:val="auto"/>
        </w:rPr>
      </w:pPr>
    </w:p>
    <w:p>
      <w:pPr>
        <w:ind w:left="300" w:hanging="292"/>
        <w:spacing w:after="0"/>
        <w:tabs>
          <w:tab w:leader="none" w:pos="300" w:val="left"/>
        </w:tabs>
        <w:numPr>
          <w:ilvl w:val="0"/>
          <w:numId w:val="20"/>
        </w:numPr>
        <w:rPr>
          <w:rFonts w:ascii="Arial" w:cs="Arial" w:eastAsia="Arial" w:hAnsi="Arial"/>
          <w:sz w:val="15"/>
          <w:szCs w:val="15"/>
          <w:b w:val="1"/>
          <w:bCs w:val="1"/>
          <w:color w:val="183964"/>
        </w:rPr>
      </w:pPr>
      <w:r>
        <w:rPr>
          <w:rFonts w:ascii="Arial" w:cs="Arial" w:eastAsia="Arial" w:hAnsi="Arial"/>
          <w:sz w:val="15"/>
          <w:szCs w:val="15"/>
          <w:b w:val="1"/>
          <w:bCs w:val="1"/>
          <w:color w:val="183964"/>
        </w:rPr>
        <w:t>Share-based Payments</w:t>
      </w:r>
    </w:p>
    <w:p>
      <w:pPr>
        <w:spacing w:after="0" w:line="100" w:lineRule="exact"/>
        <w:rPr>
          <w:sz w:val="20"/>
          <w:szCs w:val="20"/>
          <w:color w:val="auto"/>
        </w:rPr>
      </w:pPr>
    </w:p>
    <w:p>
      <w:pPr>
        <w:jc w:val="both"/>
        <w:ind w:right="40"/>
        <w:spacing w:after="0" w:line="273" w:lineRule="auto"/>
        <w:rPr>
          <w:sz w:val="20"/>
          <w:szCs w:val="20"/>
          <w:color w:val="auto"/>
        </w:rPr>
      </w:pPr>
      <w:r>
        <w:rPr>
          <w:rFonts w:ascii="Arial" w:cs="Arial" w:eastAsia="Arial" w:hAnsi="Arial"/>
          <w:sz w:val="15"/>
          <w:szCs w:val="15"/>
          <w:color w:val="auto"/>
        </w:rPr>
        <w:t>Share-based payments includes stock options and restricted stock units (“RSUs”). Expense for stock options and time-based RSUs is recognized based on the grant date fair value of these awards. Performance-based RSUs to executives are treated as liability awards and the related expense is recognized based on reporting date fair value up until settlement date.</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183964"/>
        </w:rPr>
        <w:t>Share-based Payment Expense</w:t>
      </w:r>
    </w:p>
    <w:p>
      <w:pPr>
        <w:spacing w:after="0" w:line="28" w:lineRule="exact"/>
        <w:rPr>
          <w:sz w:val="20"/>
          <w:szCs w:val="20"/>
          <w:color w:val="auto"/>
        </w:rPr>
      </w:pPr>
    </w:p>
    <w:p>
      <w:pPr>
        <w:ind w:right="100"/>
        <w:spacing w:after="0" w:line="285" w:lineRule="auto"/>
        <w:rPr>
          <w:sz w:val="20"/>
          <w:szCs w:val="20"/>
          <w:color w:val="auto"/>
        </w:rPr>
      </w:pPr>
      <w:r>
        <w:rPr>
          <w:rFonts w:ascii="Arial" w:cs="Arial" w:eastAsia="Arial" w:hAnsi="Arial"/>
          <w:sz w:val="15"/>
          <w:szCs w:val="15"/>
          <w:color w:val="auto"/>
        </w:rPr>
        <w:t>The Group's share-based payment expense for the six months ended June 30, 2024 and 2023 was $4,648 and $1,256, respectively. The following table provides the classification of the Group’s consolidated share-based payment expense as reflected in the Condensed Consolidated Statement of Comprehensive Income/(Loss):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80" w:type="dxa"/>
            <w:vAlign w:val="bottom"/>
          </w:tcPr>
          <w:p>
            <w:pPr>
              <w:spacing w:after="0"/>
              <w:rPr>
                <w:sz w:val="12"/>
                <w:szCs w:val="12"/>
                <w:color w:val="auto"/>
              </w:rPr>
            </w:pPr>
          </w:p>
        </w:tc>
        <w:tc>
          <w:tcPr>
            <w:tcW w:w="4660" w:type="dxa"/>
            <w:vAlign w:val="bottom"/>
          </w:tcPr>
          <w:p>
            <w:pPr>
              <w:jc w:val="right"/>
              <w:ind w:right="349"/>
              <w:spacing w:after="0"/>
              <w:rPr>
                <w:sz w:val="20"/>
                <w:szCs w:val="20"/>
                <w:color w:val="auto"/>
              </w:rPr>
            </w:pPr>
            <w:r>
              <w:rPr>
                <w:rFonts w:ascii="Arial" w:cs="Arial" w:eastAsia="Arial" w:hAnsi="Arial"/>
                <w:sz w:val="13"/>
                <w:szCs w:val="13"/>
                <w:b w:val="1"/>
                <w:bCs w:val="1"/>
                <w:color w:val="auto"/>
              </w:rPr>
              <w:t>2024</w:t>
            </w:r>
          </w:p>
        </w:tc>
        <w:tc>
          <w:tcPr>
            <w:tcW w:w="880" w:type="dxa"/>
            <w:vAlign w:val="bottom"/>
          </w:tcPr>
          <w:p>
            <w:pPr>
              <w:jc w:val="right"/>
              <w:spacing w:after="0"/>
              <w:rPr>
                <w:sz w:val="20"/>
                <w:szCs w:val="20"/>
                <w:color w:val="auto"/>
              </w:rPr>
            </w:pPr>
            <w:r>
              <w:rPr>
                <w:rFonts w:ascii="Arial" w:cs="Arial" w:eastAsia="Arial" w:hAnsi="Arial"/>
                <w:sz w:val="13"/>
                <w:szCs w:val="13"/>
                <w:color w:val="183964"/>
              </w:rPr>
              <w:t>2023</w:t>
            </w:r>
          </w:p>
        </w:tc>
        <w:tc>
          <w:tcPr>
            <w:tcW w:w="20" w:type="dxa"/>
            <w:vAlign w:val="bottom"/>
          </w:tcPr>
          <w:p>
            <w:pPr>
              <w:spacing w:after="0"/>
              <w:rPr>
                <w:sz w:val="12"/>
                <w:szCs w:val="12"/>
                <w:color w:val="auto"/>
              </w:rPr>
            </w:pPr>
          </w:p>
        </w:tc>
      </w:tr>
      <w:tr>
        <w:trPr>
          <w:trHeight w:val="172"/>
        </w:trPr>
        <w:tc>
          <w:tcPr>
            <w:tcW w:w="5680" w:type="dxa"/>
            <w:vAlign w:val="bottom"/>
          </w:tcPr>
          <w:p>
            <w:pPr>
              <w:ind w:left="20"/>
              <w:spacing w:after="0"/>
              <w:rPr>
                <w:sz w:val="20"/>
                <w:szCs w:val="20"/>
                <w:color w:val="auto"/>
              </w:rPr>
            </w:pPr>
            <w:r>
              <w:rPr>
                <w:rFonts w:ascii="Arial" w:cs="Arial" w:eastAsia="Arial" w:hAnsi="Arial"/>
                <w:sz w:val="13"/>
                <w:szCs w:val="13"/>
                <w:color w:val="auto"/>
              </w:rPr>
              <w:t>Six months ended June 30,</w:t>
            </w:r>
          </w:p>
        </w:tc>
        <w:tc>
          <w:tcPr>
            <w:tcW w:w="4660" w:type="dxa"/>
            <w:vAlign w:val="bottom"/>
          </w:tcPr>
          <w:p>
            <w:pPr>
              <w:jc w:val="right"/>
              <w:ind w:right="349"/>
              <w:spacing w:after="0"/>
              <w:rPr>
                <w:sz w:val="20"/>
                <w:szCs w:val="20"/>
                <w:color w:val="auto"/>
              </w:rPr>
            </w:pPr>
            <w:r>
              <w:rPr>
                <w:rFonts w:ascii="Arial" w:cs="Arial" w:eastAsia="Arial" w:hAnsi="Arial"/>
                <w:sz w:val="13"/>
                <w:szCs w:val="13"/>
                <w:b w:val="1"/>
                <w:bCs w:val="1"/>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183964"/>
              </w:rPr>
              <w:t>$</w:t>
            </w:r>
          </w:p>
        </w:tc>
        <w:tc>
          <w:tcPr>
            <w:tcW w:w="20" w:type="dxa"/>
            <w:vAlign w:val="bottom"/>
          </w:tcPr>
          <w:p>
            <w:pPr>
              <w:spacing w:after="0"/>
              <w:rPr>
                <w:sz w:val="14"/>
                <w:szCs w:val="14"/>
                <w:color w:val="auto"/>
              </w:rPr>
            </w:pPr>
          </w:p>
        </w:tc>
      </w:tr>
      <w:tr>
        <w:trPr>
          <w:trHeight w:val="22"/>
        </w:trPr>
        <w:tc>
          <w:tcPr>
            <w:tcW w:w="5680" w:type="dxa"/>
            <w:vAlign w:val="bottom"/>
            <w:tcBorders>
              <w:bottom w:val="single" w:sz="8" w:color="183964"/>
            </w:tcBorders>
          </w:tcPr>
          <w:p>
            <w:pPr>
              <w:spacing w:after="0" w:line="20" w:lineRule="exact"/>
              <w:rPr>
                <w:sz w:val="1"/>
                <w:szCs w:val="1"/>
                <w:color w:val="auto"/>
              </w:rPr>
            </w:pPr>
          </w:p>
        </w:tc>
        <w:tc>
          <w:tcPr>
            <w:tcW w:w="4660" w:type="dxa"/>
            <w:vAlign w:val="bottom"/>
            <w:tcBorders>
              <w:bottom w:val="single" w:sz="8" w:color="183964"/>
            </w:tcBorders>
          </w:tcPr>
          <w:p>
            <w:pPr>
              <w:spacing w:after="0" w:line="20" w:lineRule="exact"/>
              <w:rPr>
                <w:sz w:val="1"/>
                <w:szCs w:val="1"/>
                <w:color w:val="auto"/>
              </w:rPr>
            </w:pPr>
          </w:p>
        </w:tc>
        <w:tc>
          <w:tcPr>
            <w:tcW w:w="880" w:type="dxa"/>
            <w:vAlign w:val="bottom"/>
            <w:tcBorders>
              <w:bottom w:val="single" w:sz="8" w:color="183964"/>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5680" w:type="dxa"/>
            <w:vAlign w:val="bottom"/>
          </w:tcPr>
          <w:p>
            <w:pPr>
              <w:ind w:left="20"/>
              <w:spacing w:after="0"/>
              <w:rPr>
                <w:sz w:val="20"/>
                <w:szCs w:val="20"/>
                <w:color w:val="auto"/>
              </w:rPr>
            </w:pPr>
            <w:r>
              <w:rPr>
                <w:rFonts w:ascii="Arial" w:cs="Arial" w:eastAsia="Arial" w:hAnsi="Arial"/>
                <w:sz w:val="15"/>
                <w:szCs w:val="15"/>
                <w:color w:val="auto"/>
              </w:rPr>
              <w:t>General and administrative</w:t>
            </w:r>
          </w:p>
        </w:tc>
        <w:tc>
          <w:tcPr>
            <w:tcW w:w="4660" w:type="dxa"/>
            <w:vAlign w:val="bottom"/>
          </w:tcPr>
          <w:p>
            <w:pPr>
              <w:jc w:val="right"/>
              <w:ind w:right="409"/>
              <w:spacing w:after="0"/>
              <w:rPr>
                <w:sz w:val="20"/>
                <w:szCs w:val="20"/>
                <w:color w:val="auto"/>
              </w:rPr>
            </w:pPr>
            <w:r>
              <w:rPr>
                <w:rFonts w:ascii="Arial" w:cs="Arial" w:eastAsia="Arial" w:hAnsi="Arial"/>
                <w:sz w:val="15"/>
                <w:szCs w:val="15"/>
                <w:b w:val="1"/>
                <w:bCs w:val="1"/>
                <w:color w:val="auto"/>
              </w:rPr>
              <w:t>4,471</w:t>
            </w:r>
          </w:p>
        </w:tc>
        <w:tc>
          <w:tcPr>
            <w:tcW w:w="880" w:type="dxa"/>
            <w:vAlign w:val="bottom"/>
          </w:tcPr>
          <w:p>
            <w:pPr>
              <w:jc w:val="right"/>
              <w:spacing w:after="0"/>
              <w:rPr>
                <w:sz w:val="20"/>
                <w:szCs w:val="20"/>
                <w:color w:val="auto"/>
              </w:rPr>
            </w:pPr>
            <w:r>
              <w:rPr>
                <w:rFonts w:ascii="Arial" w:cs="Arial" w:eastAsia="Arial" w:hAnsi="Arial"/>
                <w:sz w:val="15"/>
                <w:szCs w:val="15"/>
                <w:color w:val="183964"/>
              </w:rPr>
              <w:t>1,121</w:t>
            </w:r>
          </w:p>
        </w:tc>
        <w:tc>
          <w:tcPr>
            <w:tcW w:w="20" w:type="dxa"/>
            <w:vAlign w:val="bottom"/>
          </w:tcPr>
          <w:p>
            <w:pPr>
              <w:spacing w:after="0"/>
              <w:rPr>
                <w:sz w:val="18"/>
                <w:szCs w:val="18"/>
                <w:color w:val="auto"/>
              </w:rPr>
            </w:pPr>
          </w:p>
        </w:tc>
      </w:tr>
      <w:tr>
        <w:trPr>
          <w:trHeight w:val="243"/>
        </w:trPr>
        <w:tc>
          <w:tcPr>
            <w:tcW w:w="5680" w:type="dxa"/>
            <w:vAlign w:val="bottom"/>
          </w:tcPr>
          <w:p>
            <w:pPr>
              <w:ind w:left="20"/>
              <w:spacing w:after="0"/>
              <w:rPr>
                <w:sz w:val="20"/>
                <w:szCs w:val="20"/>
                <w:color w:val="auto"/>
              </w:rPr>
            </w:pPr>
            <w:r>
              <w:rPr>
                <w:rFonts w:ascii="Arial" w:cs="Arial" w:eastAsia="Arial" w:hAnsi="Arial"/>
                <w:sz w:val="15"/>
                <w:szCs w:val="15"/>
                <w:color w:val="auto"/>
              </w:rPr>
              <w:t>Research and development</w:t>
            </w:r>
          </w:p>
        </w:tc>
        <w:tc>
          <w:tcPr>
            <w:tcW w:w="4660" w:type="dxa"/>
            <w:vAlign w:val="bottom"/>
          </w:tcPr>
          <w:p>
            <w:pPr>
              <w:jc w:val="right"/>
              <w:ind w:right="409"/>
              <w:spacing w:after="0"/>
              <w:rPr>
                <w:sz w:val="20"/>
                <w:szCs w:val="20"/>
                <w:color w:val="auto"/>
              </w:rPr>
            </w:pPr>
            <w:r>
              <w:rPr>
                <w:rFonts w:ascii="Arial" w:cs="Arial" w:eastAsia="Arial" w:hAnsi="Arial"/>
                <w:sz w:val="15"/>
                <w:szCs w:val="15"/>
                <w:b w:val="1"/>
                <w:bCs w:val="1"/>
                <w:color w:val="auto"/>
              </w:rPr>
              <w:t>176</w:t>
            </w:r>
          </w:p>
        </w:tc>
        <w:tc>
          <w:tcPr>
            <w:tcW w:w="880" w:type="dxa"/>
            <w:vAlign w:val="bottom"/>
          </w:tcPr>
          <w:p>
            <w:pPr>
              <w:jc w:val="right"/>
              <w:spacing w:after="0"/>
              <w:rPr>
                <w:sz w:val="20"/>
                <w:szCs w:val="20"/>
                <w:color w:val="auto"/>
              </w:rPr>
            </w:pPr>
            <w:r>
              <w:rPr>
                <w:rFonts w:ascii="Arial" w:cs="Arial" w:eastAsia="Arial" w:hAnsi="Arial"/>
                <w:sz w:val="15"/>
                <w:szCs w:val="15"/>
                <w:color w:val="183964"/>
              </w:rPr>
              <w:t>135</w:t>
            </w:r>
          </w:p>
        </w:tc>
        <w:tc>
          <w:tcPr>
            <w:tcW w:w="20" w:type="dxa"/>
            <w:vAlign w:val="bottom"/>
          </w:tcPr>
          <w:p>
            <w:pPr>
              <w:spacing w:after="0"/>
              <w:rPr>
                <w:sz w:val="21"/>
                <w:szCs w:val="21"/>
                <w:color w:val="auto"/>
              </w:rPr>
            </w:pPr>
          </w:p>
        </w:tc>
      </w:tr>
      <w:tr>
        <w:trPr>
          <w:trHeight w:val="25"/>
        </w:trPr>
        <w:tc>
          <w:tcPr>
            <w:tcW w:w="5680" w:type="dxa"/>
            <w:vAlign w:val="bottom"/>
            <w:tcBorders>
              <w:bottom w:val="single" w:sz="8" w:color="183964"/>
            </w:tcBorders>
          </w:tcPr>
          <w:p>
            <w:pPr>
              <w:spacing w:after="0"/>
              <w:rPr>
                <w:sz w:val="2"/>
                <w:szCs w:val="2"/>
                <w:color w:val="auto"/>
              </w:rPr>
            </w:pPr>
          </w:p>
        </w:tc>
        <w:tc>
          <w:tcPr>
            <w:tcW w:w="4660" w:type="dxa"/>
            <w:vAlign w:val="bottom"/>
            <w:tcBorders>
              <w:bottom w:val="single" w:sz="8" w:color="183964"/>
            </w:tcBorders>
          </w:tcPr>
          <w:p>
            <w:pPr>
              <w:spacing w:after="0"/>
              <w:rPr>
                <w:sz w:val="2"/>
                <w:szCs w:val="2"/>
                <w:color w:val="auto"/>
              </w:rPr>
            </w:pPr>
          </w:p>
        </w:tc>
        <w:tc>
          <w:tcPr>
            <w:tcW w:w="880" w:type="dxa"/>
            <w:vAlign w:val="bottom"/>
            <w:tcBorders>
              <w:bottom w:val="single" w:sz="8" w:color="183964"/>
            </w:tcBorders>
          </w:tcPr>
          <w:p>
            <w:pPr>
              <w:spacing w:after="0"/>
              <w:rPr>
                <w:sz w:val="2"/>
                <w:szCs w:val="2"/>
                <w:color w:val="auto"/>
              </w:rPr>
            </w:pPr>
          </w:p>
        </w:tc>
        <w:tc>
          <w:tcPr>
            <w:tcW w:w="20" w:type="dxa"/>
            <w:vAlign w:val="bottom"/>
          </w:tcPr>
          <w:p>
            <w:pPr>
              <w:spacing w:after="0"/>
              <w:rPr>
                <w:sz w:val="2"/>
                <w:szCs w:val="2"/>
                <w:color w:val="auto"/>
              </w:rPr>
            </w:pPr>
          </w:p>
        </w:tc>
      </w:tr>
      <w:tr>
        <w:trPr>
          <w:trHeight w:val="212"/>
        </w:trPr>
        <w:tc>
          <w:tcPr>
            <w:tcW w:w="5680" w:type="dxa"/>
            <w:vAlign w:val="bottom"/>
          </w:tcPr>
          <w:p>
            <w:pPr>
              <w:ind w:left="20"/>
              <w:spacing w:after="0"/>
              <w:rPr>
                <w:sz w:val="20"/>
                <w:szCs w:val="20"/>
                <w:color w:val="auto"/>
              </w:rPr>
            </w:pPr>
            <w:r>
              <w:rPr>
                <w:rFonts w:ascii="Arial" w:cs="Arial" w:eastAsia="Arial" w:hAnsi="Arial"/>
                <w:sz w:val="15"/>
                <w:szCs w:val="15"/>
                <w:color w:val="auto"/>
              </w:rPr>
              <w:t>Total</w:t>
            </w:r>
          </w:p>
        </w:tc>
        <w:tc>
          <w:tcPr>
            <w:tcW w:w="4660" w:type="dxa"/>
            <w:vAlign w:val="bottom"/>
          </w:tcPr>
          <w:p>
            <w:pPr>
              <w:jc w:val="right"/>
              <w:ind w:right="409"/>
              <w:spacing w:after="0"/>
              <w:rPr>
                <w:sz w:val="20"/>
                <w:szCs w:val="20"/>
                <w:color w:val="auto"/>
              </w:rPr>
            </w:pPr>
            <w:r>
              <w:rPr>
                <w:rFonts w:ascii="Arial" w:cs="Arial" w:eastAsia="Arial" w:hAnsi="Arial"/>
                <w:sz w:val="15"/>
                <w:szCs w:val="15"/>
                <w:b w:val="1"/>
                <w:bCs w:val="1"/>
                <w:color w:val="auto"/>
              </w:rPr>
              <w:t>4,648</w:t>
            </w:r>
          </w:p>
        </w:tc>
        <w:tc>
          <w:tcPr>
            <w:tcW w:w="880" w:type="dxa"/>
            <w:vAlign w:val="bottom"/>
          </w:tcPr>
          <w:p>
            <w:pPr>
              <w:jc w:val="right"/>
              <w:spacing w:after="0"/>
              <w:rPr>
                <w:sz w:val="20"/>
                <w:szCs w:val="20"/>
                <w:color w:val="auto"/>
              </w:rPr>
            </w:pPr>
            <w:r>
              <w:rPr>
                <w:rFonts w:ascii="Arial" w:cs="Arial" w:eastAsia="Arial" w:hAnsi="Arial"/>
                <w:sz w:val="15"/>
                <w:szCs w:val="15"/>
                <w:color w:val="183964"/>
              </w:rPr>
              <w:t>1,256</w:t>
            </w:r>
          </w:p>
        </w:tc>
        <w:tc>
          <w:tcPr>
            <w:tcW w:w="20" w:type="dxa"/>
            <w:vAlign w:val="bottom"/>
          </w:tcPr>
          <w:p>
            <w:pPr>
              <w:spacing w:after="0"/>
              <w:rPr>
                <w:sz w:val="18"/>
                <w:szCs w:val="18"/>
                <w:color w:val="auto"/>
              </w:rPr>
            </w:pPr>
          </w:p>
        </w:tc>
      </w:tr>
      <w:tr>
        <w:trPr>
          <w:trHeight w:val="25"/>
        </w:trPr>
        <w:tc>
          <w:tcPr>
            <w:tcW w:w="5680" w:type="dxa"/>
            <w:vAlign w:val="bottom"/>
            <w:tcBorders>
              <w:bottom w:val="single" w:sz="8" w:color="auto"/>
            </w:tcBorders>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310"/>
        </w:trPr>
        <w:tc>
          <w:tcPr>
            <w:tcW w:w="56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1" w:right="339" w:bottom="1440" w:gutter="0" w:footer="0" w:header="0"/>
        </w:sectPr>
      </w:pPr>
    </w:p>
    <w:bookmarkStart w:id="30" w:name="page31"/>
    <w:bookmarkEnd w:id="30"/>
    <w:p>
      <w:pPr>
        <w:spacing w:after="0"/>
        <w:rPr>
          <w:sz w:val="20"/>
          <w:szCs w:val="20"/>
          <w:color w:val="auto"/>
        </w:rPr>
      </w:pPr>
      <w:r>
        <w:rPr>
          <w:rFonts w:ascii="Arial" w:cs="Arial" w:eastAsia="Arial" w:hAnsi="Arial"/>
          <w:sz w:val="15"/>
          <w:szCs w:val="15"/>
          <w:color w:val="183964"/>
        </w:rPr>
        <w:t>The Performance Share Plan</w:t>
      </w:r>
    </w:p>
    <w:p>
      <w:pPr>
        <w:spacing w:after="0" w:line="17"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In June 2015, the Group adopted the Performance Stock Plan (the “2015 PSP”). Under the 2015 PSP and subsequent amendments, awards of ordinary shares may be made to the Directors, senior managers and employees, and other individuals providing services to the Group up to a maximum authorized amount of 10.0 percent of the total ordinary shares outstanding.</w:t>
      </w:r>
    </w:p>
    <w:p>
      <w:pPr>
        <w:spacing w:after="0" w:line="67"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In June 2023 the Group adopted a new Performance Stock Plan (the "2023 PSP") that has the same terms as the 2015 PSP but instituted for all new awards a limit of 10.0 percent of the total ordinary shares outstanding over a five-year period.</w:t>
      </w:r>
    </w:p>
    <w:p>
      <w:pPr>
        <w:spacing w:after="0" w:line="39" w:lineRule="exact"/>
        <w:rPr>
          <w:sz w:val="20"/>
          <w:szCs w:val="20"/>
          <w:color w:val="auto"/>
        </w:rPr>
      </w:pPr>
    </w:p>
    <w:p>
      <w:pPr>
        <w:ind w:right="140"/>
        <w:spacing w:after="0" w:line="301" w:lineRule="auto"/>
        <w:rPr>
          <w:sz w:val="20"/>
          <w:szCs w:val="20"/>
          <w:color w:val="auto"/>
        </w:rPr>
      </w:pPr>
      <w:r>
        <w:rPr>
          <w:rFonts w:ascii="Arial" w:cs="Arial" w:eastAsia="Arial" w:hAnsi="Arial"/>
          <w:sz w:val="15"/>
          <w:szCs w:val="15"/>
          <w:color w:val="auto"/>
        </w:rPr>
        <w:t>The awards granted under these plans have various vesting terms over a period of service between one and four years, provided the recipient remains continuously engaged as a service provider. The options awards expire 10 years from the grant date.</w:t>
      </w:r>
    </w:p>
    <w:p>
      <w:pPr>
        <w:spacing w:after="0" w:line="26"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The share-based awards granted under these plans are generally equity-settled (see cash settlements below). As of June 30, 2024, the Group had issued 31,654,895 units of share-based awards under these plans.</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i w:val="1"/>
          <w:iCs w:val="1"/>
          <w:color w:val="183964"/>
        </w:rPr>
        <w:t>RSUs</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During the six months ended June 30, 2024 and 2023, the Group granted the following RSUs to certain non-executive Directors, executives and employees: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500" w:type="dxa"/>
            <w:vAlign w:val="bottom"/>
          </w:tcPr>
          <w:p>
            <w:pPr>
              <w:ind w:left="20"/>
              <w:spacing w:after="0"/>
              <w:rPr>
                <w:sz w:val="20"/>
                <w:szCs w:val="20"/>
                <w:color w:val="auto"/>
              </w:rPr>
            </w:pPr>
            <w:r>
              <w:rPr>
                <w:rFonts w:ascii="Arial" w:cs="Arial" w:eastAsia="Arial" w:hAnsi="Arial"/>
                <w:sz w:val="13"/>
                <w:szCs w:val="13"/>
                <w:color w:val="auto"/>
              </w:rPr>
              <w:t>Six months ended June 30,</w:t>
            </w:r>
          </w:p>
        </w:tc>
        <w:tc>
          <w:tcPr>
            <w:tcW w:w="4700" w:type="dxa"/>
            <w:vAlign w:val="bottom"/>
          </w:tcPr>
          <w:p>
            <w:pPr>
              <w:jc w:val="right"/>
              <w:ind w:right="207"/>
              <w:spacing w:after="0"/>
              <w:rPr>
                <w:sz w:val="20"/>
                <w:szCs w:val="20"/>
                <w:color w:val="auto"/>
              </w:rPr>
            </w:pPr>
            <w:r>
              <w:rPr>
                <w:rFonts w:ascii="Arial" w:cs="Arial" w:eastAsia="Arial" w:hAnsi="Arial"/>
                <w:sz w:val="13"/>
                <w:szCs w:val="13"/>
                <w:b w:val="1"/>
                <w:bCs w:val="1"/>
                <w:color w:val="auto"/>
              </w:rPr>
              <w:t>2024</w:t>
            </w: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r>
      <w:tr>
        <w:trPr>
          <w:trHeight w:val="22"/>
        </w:trPr>
        <w:tc>
          <w:tcPr>
            <w:tcW w:w="5500" w:type="dxa"/>
            <w:vAlign w:val="bottom"/>
            <w:tcBorders>
              <w:bottom w:val="single" w:sz="8" w:color="183964"/>
            </w:tcBorders>
          </w:tcPr>
          <w:p>
            <w:pPr>
              <w:spacing w:after="0" w:line="20" w:lineRule="exact"/>
              <w:rPr>
                <w:sz w:val="1"/>
                <w:szCs w:val="1"/>
                <w:color w:val="auto"/>
              </w:rPr>
            </w:pPr>
          </w:p>
        </w:tc>
        <w:tc>
          <w:tcPr>
            <w:tcW w:w="4700" w:type="dxa"/>
            <w:vAlign w:val="bottom"/>
            <w:tcBorders>
              <w:bottom w:val="single" w:sz="8" w:color="183964"/>
            </w:tcBorders>
          </w:tcPr>
          <w:p>
            <w:pPr>
              <w:spacing w:after="0" w:line="20" w:lineRule="exact"/>
              <w:rPr>
                <w:sz w:val="1"/>
                <w:szCs w:val="1"/>
                <w:color w:val="auto"/>
              </w:rPr>
            </w:pPr>
          </w:p>
        </w:tc>
        <w:tc>
          <w:tcPr>
            <w:tcW w:w="1020" w:type="dxa"/>
            <w:vAlign w:val="bottom"/>
            <w:tcBorders>
              <w:bottom w:val="single" w:sz="8" w:color="183964"/>
            </w:tcBorders>
          </w:tcPr>
          <w:p>
            <w:pPr>
              <w:spacing w:after="0" w:line="20" w:lineRule="exact"/>
              <w:rPr>
                <w:sz w:val="1"/>
                <w:szCs w:val="1"/>
                <w:color w:val="auto"/>
              </w:rPr>
            </w:pPr>
          </w:p>
        </w:tc>
      </w:tr>
      <w:tr>
        <w:trPr>
          <w:trHeight w:val="211"/>
        </w:trPr>
        <w:tc>
          <w:tcPr>
            <w:tcW w:w="5500" w:type="dxa"/>
            <w:vAlign w:val="bottom"/>
          </w:tcPr>
          <w:p>
            <w:pPr>
              <w:ind w:left="20"/>
              <w:spacing w:after="0"/>
              <w:rPr>
                <w:sz w:val="20"/>
                <w:szCs w:val="20"/>
                <w:color w:val="auto"/>
              </w:rPr>
            </w:pPr>
            <w:r>
              <w:rPr>
                <w:rFonts w:ascii="Arial" w:cs="Arial" w:eastAsia="Arial" w:hAnsi="Arial"/>
                <w:sz w:val="15"/>
                <w:szCs w:val="15"/>
                <w:color w:val="auto"/>
              </w:rPr>
              <w:t>Time based RSUs</w:t>
            </w:r>
          </w:p>
        </w:tc>
        <w:tc>
          <w:tcPr>
            <w:tcW w:w="4700" w:type="dxa"/>
            <w:vAlign w:val="bottom"/>
          </w:tcPr>
          <w:p>
            <w:pPr>
              <w:jc w:val="right"/>
              <w:ind w:right="267"/>
              <w:spacing w:after="0"/>
              <w:rPr>
                <w:sz w:val="20"/>
                <w:szCs w:val="20"/>
                <w:color w:val="auto"/>
              </w:rPr>
            </w:pPr>
            <w:r>
              <w:rPr>
                <w:rFonts w:ascii="Arial" w:cs="Arial" w:eastAsia="Arial" w:hAnsi="Arial"/>
                <w:sz w:val="15"/>
                <w:szCs w:val="15"/>
                <w:b w:val="1"/>
                <w:bCs w:val="1"/>
                <w:color w:val="auto"/>
              </w:rPr>
              <w:t>3,933,606</w:t>
            </w:r>
          </w:p>
        </w:tc>
        <w:tc>
          <w:tcPr>
            <w:tcW w:w="1020" w:type="dxa"/>
            <w:vAlign w:val="bottom"/>
          </w:tcPr>
          <w:p>
            <w:pPr>
              <w:jc w:val="right"/>
              <w:spacing w:after="0"/>
              <w:rPr>
                <w:sz w:val="20"/>
                <w:szCs w:val="20"/>
                <w:color w:val="auto"/>
              </w:rPr>
            </w:pPr>
            <w:r>
              <w:rPr>
                <w:rFonts w:ascii="Arial" w:cs="Arial" w:eastAsia="Arial" w:hAnsi="Arial"/>
                <w:sz w:val="15"/>
                <w:szCs w:val="15"/>
                <w:color w:val="auto"/>
              </w:rPr>
              <w:t>102,732</w:t>
            </w:r>
          </w:p>
        </w:tc>
      </w:tr>
      <w:tr>
        <w:trPr>
          <w:trHeight w:val="243"/>
        </w:trPr>
        <w:tc>
          <w:tcPr>
            <w:tcW w:w="5500" w:type="dxa"/>
            <w:vAlign w:val="bottom"/>
          </w:tcPr>
          <w:p>
            <w:pPr>
              <w:ind w:left="20"/>
              <w:spacing w:after="0"/>
              <w:rPr>
                <w:sz w:val="20"/>
                <w:szCs w:val="20"/>
                <w:color w:val="auto"/>
              </w:rPr>
            </w:pPr>
            <w:r>
              <w:rPr>
                <w:rFonts w:ascii="Arial" w:cs="Arial" w:eastAsia="Arial" w:hAnsi="Arial"/>
                <w:sz w:val="15"/>
                <w:szCs w:val="15"/>
                <w:color w:val="auto"/>
              </w:rPr>
              <w:t>Performance based RSUs</w:t>
            </w:r>
          </w:p>
        </w:tc>
        <w:tc>
          <w:tcPr>
            <w:tcW w:w="4700" w:type="dxa"/>
            <w:vAlign w:val="bottom"/>
          </w:tcPr>
          <w:p>
            <w:pPr>
              <w:jc w:val="right"/>
              <w:ind w:right="267"/>
              <w:spacing w:after="0"/>
              <w:rPr>
                <w:sz w:val="20"/>
                <w:szCs w:val="20"/>
                <w:color w:val="auto"/>
              </w:rPr>
            </w:pPr>
            <w:r>
              <w:rPr>
                <w:rFonts w:ascii="Arial" w:cs="Arial" w:eastAsia="Arial" w:hAnsi="Arial"/>
                <w:sz w:val="15"/>
                <w:szCs w:val="15"/>
                <w:b w:val="1"/>
                <w:bCs w:val="1"/>
                <w:color w:val="auto"/>
              </w:rPr>
              <w:t>1,822,151</w:t>
            </w:r>
          </w:p>
        </w:tc>
        <w:tc>
          <w:tcPr>
            <w:tcW w:w="1020" w:type="dxa"/>
            <w:vAlign w:val="bottom"/>
          </w:tcPr>
          <w:p>
            <w:pPr>
              <w:jc w:val="right"/>
              <w:spacing w:after="0"/>
              <w:rPr>
                <w:sz w:val="20"/>
                <w:szCs w:val="20"/>
                <w:color w:val="auto"/>
              </w:rPr>
            </w:pPr>
            <w:r>
              <w:rPr>
                <w:rFonts w:ascii="Arial" w:cs="Arial" w:eastAsia="Arial" w:hAnsi="Arial"/>
                <w:sz w:val="15"/>
                <w:szCs w:val="15"/>
                <w:color w:val="auto"/>
              </w:rPr>
              <w:t>3,576,937</w:t>
            </w:r>
          </w:p>
        </w:tc>
      </w:tr>
      <w:tr>
        <w:trPr>
          <w:trHeight w:val="25"/>
        </w:trPr>
        <w:tc>
          <w:tcPr>
            <w:tcW w:w="5500" w:type="dxa"/>
            <w:vAlign w:val="bottom"/>
            <w:tcBorders>
              <w:bottom w:val="single" w:sz="8" w:color="183964"/>
            </w:tcBorders>
          </w:tcPr>
          <w:p>
            <w:pPr>
              <w:spacing w:after="0"/>
              <w:rPr>
                <w:sz w:val="2"/>
                <w:szCs w:val="2"/>
                <w:color w:val="auto"/>
              </w:rPr>
            </w:pPr>
          </w:p>
        </w:tc>
        <w:tc>
          <w:tcPr>
            <w:tcW w:w="4700" w:type="dxa"/>
            <w:vAlign w:val="bottom"/>
            <w:tcBorders>
              <w:bottom w:val="single" w:sz="8" w:color="183964"/>
            </w:tcBorders>
          </w:tcPr>
          <w:p>
            <w:pPr>
              <w:spacing w:after="0"/>
              <w:rPr>
                <w:sz w:val="2"/>
                <w:szCs w:val="2"/>
                <w:color w:val="auto"/>
              </w:rPr>
            </w:pPr>
          </w:p>
        </w:tc>
        <w:tc>
          <w:tcPr>
            <w:tcW w:w="1020" w:type="dxa"/>
            <w:vAlign w:val="bottom"/>
            <w:tcBorders>
              <w:bottom w:val="single" w:sz="8" w:color="183964"/>
            </w:tcBorders>
          </w:tcPr>
          <w:p>
            <w:pPr>
              <w:spacing w:after="0"/>
              <w:rPr>
                <w:sz w:val="2"/>
                <w:szCs w:val="2"/>
                <w:color w:val="auto"/>
              </w:rPr>
            </w:pPr>
          </w:p>
        </w:tc>
      </w:tr>
      <w:tr>
        <w:trPr>
          <w:trHeight w:val="212"/>
        </w:trPr>
        <w:tc>
          <w:tcPr>
            <w:tcW w:w="5500" w:type="dxa"/>
            <w:vAlign w:val="bottom"/>
          </w:tcPr>
          <w:p>
            <w:pPr>
              <w:ind w:left="20"/>
              <w:spacing w:after="0"/>
              <w:rPr>
                <w:sz w:val="20"/>
                <w:szCs w:val="20"/>
                <w:color w:val="auto"/>
              </w:rPr>
            </w:pPr>
            <w:r>
              <w:rPr>
                <w:rFonts w:ascii="Arial" w:cs="Arial" w:eastAsia="Arial" w:hAnsi="Arial"/>
                <w:sz w:val="15"/>
                <w:szCs w:val="15"/>
                <w:color w:val="auto"/>
              </w:rPr>
              <w:t>Total RSUs</w:t>
            </w:r>
          </w:p>
        </w:tc>
        <w:tc>
          <w:tcPr>
            <w:tcW w:w="4700" w:type="dxa"/>
            <w:vAlign w:val="bottom"/>
          </w:tcPr>
          <w:p>
            <w:pPr>
              <w:jc w:val="right"/>
              <w:ind w:right="267"/>
              <w:spacing w:after="0"/>
              <w:rPr>
                <w:sz w:val="20"/>
                <w:szCs w:val="20"/>
                <w:color w:val="auto"/>
              </w:rPr>
            </w:pPr>
            <w:r>
              <w:rPr>
                <w:rFonts w:ascii="Arial" w:cs="Arial" w:eastAsia="Arial" w:hAnsi="Arial"/>
                <w:sz w:val="15"/>
                <w:szCs w:val="15"/>
                <w:b w:val="1"/>
                <w:bCs w:val="1"/>
                <w:color w:val="auto"/>
              </w:rPr>
              <w:t>5,755,757</w:t>
            </w:r>
          </w:p>
        </w:tc>
        <w:tc>
          <w:tcPr>
            <w:tcW w:w="1020" w:type="dxa"/>
            <w:vAlign w:val="bottom"/>
          </w:tcPr>
          <w:p>
            <w:pPr>
              <w:jc w:val="right"/>
              <w:spacing w:after="0"/>
              <w:rPr>
                <w:sz w:val="20"/>
                <w:szCs w:val="20"/>
                <w:color w:val="auto"/>
              </w:rPr>
            </w:pPr>
            <w:r>
              <w:rPr>
                <w:rFonts w:ascii="Arial" w:cs="Arial" w:eastAsia="Arial" w:hAnsi="Arial"/>
                <w:sz w:val="15"/>
                <w:szCs w:val="15"/>
                <w:color w:val="auto"/>
              </w:rPr>
              <w:t>3,679,669</w:t>
            </w:r>
          </w:p>
        </w:tc>
      </w:tr>
      <w:tr>
        <w:trPr>
          <w:trHeight w:val="25"/>
        </w:trPr>
        <w:tc>
          <w:tcPr>
            <w:tcW w:w="5500" w:type="dxa"/>
            <w:vAlign w:val="bottom"/>
            <w:tcBorders>
              <w:bottom w:val="single" w:sz="8" w:color="183964"/>
            </w:tcBorders>
          </w:tcPr>
          <w:p>
            <w:pPr>
              <w:spacing w:after="0"/>
              <w:rPr>
                <w:sz w:val="2"/>
                <w:szCs w:val="2"/>
                <w:color w:val="auto"/>
              </w:rPr>
            </w:pPr>
          </w:p>
        </w:tc>
        <w:tc>
          <w:tcPr>
            <w:tcW w:w="4700" w:type="dxa"/>
            <w:vAlign w:val="bottom"/>
            <w:tcBorders>
              <w:bottom w:val="single" w:sz="8" w:color="183964"/>
            </w:tcBorders>
          </w:tcPr>
          <w:p>
            <w:pPr>
              <w:spacing w:after="0"/>
              <w:rPr>
                <w:sz w:val="2"/>
                <w:szCs w:val="2"/>
                <w:color w:val="auto"/>
              </w:rPr>
            </w:pPr>
          </w:p>
        </w:tc>
        <w:tc>
          <w:tcPr>
            <w:tcW w:w="1020" w:type="dxa"/>
            <w:vAlign w:val="bottom"/>
            <w:tcBorders>
              <w:bottom w:val="single" w:sz="8" w:color="183964"/>
            </w:tcBorders>
          </w:tcPr>
          <w:p>
            <w:pPr>
              <w:spacing w:after="0"/>
              <w:rPr>
                <w:sz w:val="2"/>
                <w:szCs w:val="2"/>
                <w:color w:val="auto"/>
              </w:rPr>
            </w:pPr>
          </w:p>
        </w:tc>
      </w:tr>
    </w:tbl>
    <w:p>
      <w:pPr>
        <w:spacing w:after="0" w:line="158" w:lineRule="exact"/>
        <w:rPr>
          <w:sz w:val="20"/>
          <w:szCs w:val="20"/>
          <w:color w:val="auto"/>
        </w:rPr>
      </w:pPr>
    </w:p>
    <w:p>
      <w:pPr>
        <w:spacing w:after="0" w:line="273" w:lineRule="auto"/>
        <w:rPr>
          <w:sz w:val="20"/>
          <w:szCs w:val="20"/>
          <w:color w:val="auto"/>
        </w:rPr>
      </w:pPr>
      <w:r>
        <w:rPr>
          <w:rFonts w:ascii="Arial" w:cs="Arial" w:eastAsia="Arial" w:hAnsi="Arial"/>
          <w:sz w:val="15"/>
          <w:szCs w:val="15"/>
          <w:color w:val="auto"/>
        </w:rPr>
        <w:t>Each RSU entitles the holder to one ordinary share on vesting and the RSU awards are generally based on a vesting schedule over a one to three-year requisite service period in which the Group recognizes compensation expense for the RSUs. Following vesting, each recipient will be required to make a payment of one pence per ordinary share on settlement of the RSUs.</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color w:val="auto"/>
        </w:rPr>
        <w:t>Time-based RSUs are equity-settled. The grant date fair value on such RSUs is recognized over the vesting term.</w:t>
      </w:r>
    </w:p>
    <w:p>
      <w:pPr>
        <w:spacing w:after="0" w:line="98" w:lineRule="exact"/>
        <w:rPr>
          <w:sz w:val="20"/>
          <w:szCs w:val="20"/>
          <w:color w:val="auto"/>
        </w:rPr>
      </w:pPr>
    </w:p>
    <w:p>
      <w:pPr>
        <w:spacing w:after="0" w:line="269" w:lineRule="auto"/>
        <w:rPr>
          <w:sz w:val="20"/>
          <w:szCs w:val="20"/>
          <w:color w:val="auto"/>
        </w:rPr>
      </w:pPr>
      <w:r>
        <w:rPr>
          <w:rFonts w:ascii="Arial" w:cs="Arial" w:eastAsia="Arial" w:hAnsi="Arial"/>
          <w:sz w:val="15"/>
          <w:szCs w:val="15"/>
          <w:color w:val="auto"/>
        </w:rPr>
        <w:t>Performance-based RSUs are granted to executives. Vesting of such RSUs is subject to the satisfaction of both performance and market conditions. The performance condition is based on the achievement of the Group's strategic targets. The market conditions are based on the achievement of the absolute total shareholder return (“TSR”), TSR as compared to the FTSE 250 Index, and TSR as compared to the MSCI Europe Health Care Index. The RSU award performance criteria have changed over time as the criteria are continually evaluated by the Group’s Remuneration Committee.</w:t>
      </w:r>
    </w:p>
    <w:p>
      <w:pPr>
        <w:spacing w:after="0" w:line="50" w:lineRule="exact"/>
        <w:rPr>
          <w:sz w:val="20"/>
          <w:szCs w:val="20"/>
          <w:color w:val="auto"/>
        </w:rPr>
      </w:pPr>
    </w:p>
    <w:p>
      <w:pPr>
        <w:ind w:right="120"/>
        <w:spacing w:after="0" w:line="269" w:lineRule="auto"/>
        <w:rPr>
          <w:sz w:val="20"/>
          <w:szCs w:val="20"/>
          <w:color w:val="auto"/>
        </w:rPr>
      </w:pPr>
      <w:r>
        <w:rPr>
          <w:rFonts w:ascii="Arial" w:cs="Arial" w:eastAsia="Arial" w:hAnsi="Arial"/>
          <w:sz w:val="15"/>
          <w:szCs w:val="15"/>
          <w:color w:val="auto"/>
        </w:rPr>
        <w:t>The Group recognizes the estimated fair value of performance-based awards with non-market conditions as share-based compensation expense over the performance period based upon its determination whether it is probable that the performance targets will be achieved. The Group assesses the probability of achieving the performance targets at each reporting period. Cumulative adjustments, if any, are recorded to reflect subsequent changes in the estimated outcome of performance-related conditions.</w:t>
      </w:r>
    </w:p>
    <w:p>
      <w:pPr>
        <w:spacing w:after="0" w:line="50" w:lineRule="exact"/>
        <w:rPr>
          <w:sz w:val="20"/>
          <w:szCs w:val="20"/>
          <w:color w:val="auto"/>
        </w:rPr>
      </w:pPr>
    </w:p>
    <w:p>
      <w:pPr>
        <w:ind w:right="520"/>
        <w:spacing w:after="0" w:line="273" w:lineRule="auto"/>
        <w:rPr>
          <w:sz w:val="20"/>
          <w:szCs w:val="20"/>
          <w:color w:val="auto"/>
        </w:rPr>
      </w:pPr>
      <w:r>
        <w:rPr>
          <w:rFonts w:ascii="Arial" w:cs="Arial" w:eastAsia="Arial" w:hAnsi="Arial"/>
          <w:sz w:val="15"/>
          <w:szCs w:val="15"/>
          <w:color w:val="auto"/>
        </w:rPr>
        <w:t>The fair value of the performance-based awards with market conditions is based on the Monte Carlo simulation analysis utilizing a Geometric Brownian Motion process with 100,000 simulations to value those shares. The model considers share price volatility, risk-free rate and other covariance of comparable public companies and other market data to predict distribution of relative share performance.</w:t>
      </w:r>
    </w:p>
    <w:p>
      <w:pPr>
        <w:spacing w:after="0" w:line="46" w:lineRule="exact"/>
        <w:rPr>
          <w:sz w:val="20"/>
          <w:szCs w:val="20"/>
          <w:color w:val="auto"/>
        </w:rPr>
      </w:pPr>
    </w:p>
    <w:p>
      <w:pPr>
        <w:ind w:right="220"/>
        <w:spacing w:after="0" w:line="301" w:lineRule="auto"/>
        <w:rPr>
          <w:sz w:val="20"/>
          <w:szCs w:val="20"/>
          <w:color w:val="auto"/>
        </w:rPr>
      </w:pPr>
      <w:r>
        <w:rPr>
          <w:rFonts w:ascii="Arial" w:cs="Arial" w:eastAsia="Arial" w:hAnsi="Arial"/>
          <w:sz w:val="15"/>
          <w:szCs w:val="15"/>
          <w:color w:val="auto"/>
        </w:rPr>
        <w:t>The RSUs to executives are treated as liability awards as the Group has a historical practice of settling these awards in cash, and as such, adjusted to fair value at every reporting date until settlement with changes in fair value recorded in earnings as stock based compensation expense.</w:t>
      </w:r>
    </w:p>
    <w:p>
      <w:pPr>
        <w:spacing w:after="0" w:line="26" w:lineRule="exact"/>
        <w:rPr>
          <w:sz w:val="20"/>
          <w:szCs w:val="20"/>
          <w:color w:val="auto"/>
        </w:rPr>
      </w:pPr>
    </w:p>
    <w:p>
      <w:pPr>
        <w:ind w:right="20"/>
        <w:spacing w:after="0" w:line="301" w:lineRule="auto"/>
        <w:rPr>
          <w:sz w:val="20"/>
          <w:szCs w:val="20"/>
          <w:color w:val="auto"/>
        </w:rPr>
      </w:pPr>
      <w:r>
        <w:rPr>
          <w:rFonts w:ascii="Arial" w:cs="Arial" w:eastAsia="Arial" w:hAnsi="Arial"/>
          <w:sz w:val="15"/>
          <w:szCs w:val="15"/>
          <w:color w:val="auto"/>
        </w:rPr>
        <w:t>In May 2024, the Group settled 237,420 vested RSUs through issuance of shares to a terminated employee. As such, the liability at the date of settlement was settled for $646 in shares.</w:t>
      </w:r>
    </w:p>
    <w:p>
      <w:pPr>
        <w:spacing w:after="0" w:line="26" w:lineRule="exact"/>
        <w:rPr>
          <w:sz w:val="20"/>
          <w:szCs w:val="20"/>
          <w:color w:val="auto"/>
        </w:rPr>
      </w:pPr>
    </w:p>
    <w:p>
      <w:pPr>
        <w:ind w:right="60"/>
        <w:spacing w:after="0" w:line="301" w:lineRule="auto"/>
        <w:rPr>
          <w:sz w:val="20"/>
          <w:szCs w:val="20"/>
          <w:color w:val="auto"/>
        </w:rPr>
      </w:pPr>
      <w:r>
        <w:rPr>
          <w:rFonts w:ascii="Arial" w:cs="Arial" w:eastAsia="Arial" w:hAnsi="Arial"/>
          <w:sz w:val="15"/>
          <w:szCs w:val="15"/>
          <w:color w:val="auto"/>
        </w:rPr>
        <w:t>In March 2024, the Group settled 518,721 vested RSUs through issuance of shares after paying the employees' withholding taxes in cash. As such, the liability at the date of settlement was settled for $655 in cash and $655 in shares.</w:t>
      </w:r>
    </w:p>
    <w:p>
      <w:pPr>
        <w:spacing w:after="0" w:line="26" w:lineRule="exact"/>
        <w:rPr>
          <w:sz w:val="20"/>
          <w:szCs w:val="20"/>
          <w:color w:val="auto"/>
        </w:rPr>
      </w:pPr>
    </w:p>
    <w:p>
      <w:pPr>
        <w:ind w:right="140"/>
        <w:spacing w:after="0" w:line="301" w:lineRule="auto"/>
        <w:rPr>
          <w:sz w:val="20"/>
          <w:szCs w:val="20"/>
          <w:color w:val="auto"/>
        </w:rPr>
      </w:pPr>
      <w:r>
        <w:rPr>
          <w:rFonts w:ascii="Arial" w:cs="Arial" w:eastAsia="Arial" w:hAnsi="Arial"/>
          <w:sz w:val="15"/>
          <w:szCs w:val="15"/>
          <w:color w:val="auto"/>
        </w:rPr>
        <w:t>In February and May 2023, the Group settled 276,425 vested RSUs through issuance of shares, after paying the employees' withholding taxes in cash. As such, the liability at dates of settlement was settled for $298 in cash and $424 in shares.</w:t>
      </w:r>
    </w:p>
    <w:p>
      <w:pPr>
        <w:spacing w:after="0" w:line="26" w:lineRule="exact"/>
        <w:rPr>
          <w:sz w:val="20"/>
          <w:szCs w:val="20"/>
          <w:color w:val="auto"/>
        </w:rPr>
      </w:pPr>
    </w:p>
    <w:p>
      <w:pPr>
        <w:ind w:right="120"/>
        <w:spacing w:after="0" w:line="283" w:lineRule="auto"/>
        <w:rPr>
          <w:sz w:val="20"/>
          <w:szCs w:val="20"/>
          <w:color w:val="auto"/>
        </w:rPr>
      </w:pPr>
      <w:r>
        <w:rPr>
          <w:rFonts w:ascii="Arial" w:cs="Arial" w:eastAsia="Arial" w:hAnsi="Arial"/>
          <w:sz w:val="15"/>
          <w:szCs w:val="15"/>
          <w:color w:val="auto"/>
        </w:rPr>
        <w:t>The Group recorded $973 expense and $235 income for the six months ended June 30, 2024 and 2023, respectively, in respect of all restricted stock units, of which $609 expense and $485 income, respectively, was in respect of liability settled share-based awards.</w:t>
      </w:r>
    </w:p>
    <w:p>
      <w:pPr>
        <w:spacing w:after="0" w:line="52" w:lineRule="exact"/>
        <w:rPr>
          <w:sz w:val="20"/>
          <w:szCs w:val="20"/>
          <w:color w:val="auto"/>
        </w:rPr>
      </w:pPr>
    </w:p>
    <w:p>
      <w:pPr>
        <w:jc w:val="both"/>
        <w:ind w:right="100"/>
        <w:spacing w:after="0" w:line="273" w:lineRule="auto"/>
        <w:rPr>
          <w:sz w:val="20"/>
          <w:szCs w:val="20"/>
          <w:color w:val="auto"/>
        </w:rPr>
      </w:pPr>
      <w:r>
        <w:rPr>
          <w:rFonts w:ascii="Arial" w:cs="Arial" w:eastAsia="Arial" w:hAnsi="Arial"/>
          <w:sz w:val="15"/>
          <w:szCs w:val="15"/>
          <w:color w:val="auto"/>
        </w:rPr>
        <w:t>As of June 30, 2024, the carrying amount of the RSU liability awards was $3,435 with $1,886 current and $1,550 non current. As of December 31, 2023, the carrying amount of the RSU liability awards was $4,782 with $1,281 current and $3,501 non current, out of which $1,281 related to awards that met all their performance and market conditions and were settled in March and May of 2024 as discussed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3" w:right="359" w:bottom="1440" w:gutter="0" w:footer="0" w:header="0"/>
        </w:sectPr>
      </w:pPr>
    </w:p>
    <w:bookmarkStart w:id="31" w:name="page32"/>
    <w:bookmarkEnd w:id="31"/>
    <w:p>
      <w:pPr>
        <w:spacing w:after="0"/>
        <w:rPr>
          <w:sz w:val="20"/>
          <w:szCs w:val="20"/>
          <w:color w:val="auto"/>
        </w:rPr>
      </w:pPr>
      <w:r>
        <w:rPr>
          <w:rFonts w:ascii="Arial" w:cs="Arial" w:eastAsia="Arial" w:hAnsi="Arial"/>
          <w:sz w:val="15"/>
          <w:szCs w:val="15"/>
          <w:i w:val="1"/>
          <w:iCs w:val="1"/>
          <w:color w:val="183964"/>
        </w:rPr>
        <w:t>Stock Options</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During the six months ended June 30, 2024 and 2023, the Group granted 2,548,375 and 569,125 stock option awards, respectively.</w:t>
      </w:r>
    </w:p>
    <w:p>
      <w:pPr>
        <w:spacing w:after="0" w:line="84" w:lineRule="exact"/>
        <w:rPr>
          <w:sz w:val="20"/>
          <w:szCs w:val="20"/>
          <w:color w:val="auto"/>
        </w:rPr>
      </w:pPr>
    </w:p>
    <w:p>
      <w:pPr>
        <w:ind w:right="40"/>
        <w:spacing w:after="0" w:line="301" w:lineRule="auto"/>
        <w:rPr>
          <w:sz w:val="20"/>
          <w:szCs w:val="20"/>
          <w:color w:val="auto"/>
        </w:rPr>
      </w:pPr>
      <w:r>
        <w:rPr>
          <w:rFonts w:ascii="Arial" w:cs="Arial" w:eastAsia="Arial" w:hAnsi="Arial"/>
          <w:sz w:val="15"/>
          <w:szCs w:val="15"/>
          <w:color w:val="auto"/>
        </w:rPr>
        <w:t>Stock options are treated as equity-settled awards. The fair value of the stock options awarded by the Group was estimated at the grant date using the Black-Scholes option valuation model, considering the terms and conditions upon which options were granted, with the following weighted- average assumptions: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400" w:type="dxa"/>
            <w:vAlign w:val="bottom"/>
          </w:tcPr>
          <w:p>
            <w:pPr>
              <w:ind w:left="20"/>
              <w:spacing w:after="0"/>
              <w:rPr>
                <w:sz w:val="20"/>
                <w:szCs w:val="20"/>
                <w:color w:val="auto"/>
              </w:rPr>
            </w:pPr>
            <w:r>
              <w:rPr>
                <w:rFonts w:ascii="Arial" w:cs="Arial" w:eastAsia="Arial" w:hAnsi="Arial"/>
                <w:sz w:val="13"/>
                <w:szCs w:val="13"/>
                <w:color w:val="auto"/>
              </w:rPr>
              <w:t>For the six months ended June 30,</w:t>
            </w:r>
          </w:p>
        </w:tc>
        <w:tc>
          <w:tcPr>
            <w:tcW w:w="140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420" w:type="dxa"/>
            <w:vAlign w:val="bottom"/>
          </w:tcPr>
          <w:p>
            <w:pPr>
              <w:jc w:val="right"/>
              <w:spacing w:after="0"/>
              <w:rPr>
                <w:sz w:val="20"/>
                <w:szCs w:val="20"/>
                <w:color w:val="auto"/>
              </w:rPr>
            </w:pPr>
            <w:r>
              <w:rPr>
                <w:rFonts w:ascii="Arial" w:cs="Arial" w:eastAsia="Arial" w:hAnsi="Arial"/>
                <w:sz w:val="13"/>
                <w:szCs w:val="13"/>
                <w:color w:val="183964"/>
              </w:rPr>
              <w:t>2023</w:t>
            </w:r>
          </w:p>
        </w:tc>
      </w:tr>
      <w:tr>
        <w:trPr>
          <w:trHeight w:val="22"/>
        </w:trPr>
        <w:tc>
          <w:tcPr>
            <w:tcW w:w="8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183964"/>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12"/>
        </w:trPr>
        <w:tc>
          <w:tcPr>
            <w:tcW w:w="8400" w:type="dxa"/>
            <w:vAlign w:val="bottom"/>
          </w:tcPr>
          <w:p>
            <w:pPr>
              <w:ind w:left="20"/>
              <w:spacing w:after="0"/>
              <w:rPr>
                <w:sz w:val="20"/>
                <w:szCs w:val="20"/>
                <w:color w:val="auto"/>
              </w:rPr>
            </w:pPr>
            <w:r>
              <w:rPr>
                <w:rFonts w:ascii="Arial" w:cs="Arial" w:eastAsia="Arial" w:hAnsi="Arial"/>
                <w:sz w:val="15"/>
                <w:szCs w:val="15"/>
                <w:color w:val="auto"/>
              </w:rPr>
              <w:t>Expected volatility</w:t>
            </w:r>
          </w:p>
        </w:tc>
        <w:tc>
          <w:tcPr>
            <w:tcW w:w="1400" w:type="dxa"/>
            <w:vAlign w:val="bottom"/>
          </w:tcPr>
          <w:p>
            <w:pPr>
              <w:jc w:val="right"/>
              <w:spacing w:after="0"/>
              <w:rPr>
                <w:sz w:val="20"/>
                <w:szCs w:val="20"/>
                <w:color w:val="auto"/>
              </w:rPr>
            </w:pPr>
            <w:r>
              <w:rPr>
                <w:rFonts w:ascii="Arial" w:cs="Arial" w:eastAsia="Arial" w:hAnsi="Arial"/>
                <w:sz w:val="15"/>
                <w:szCs w:val="15"/>
                <w:b w:val="1"/>
                <w:bCs w:val="1"/>
                <w:color w:val="auto"/>
              </w:rPr>
              <w:t>44.79 %</w:t>
            </w:r>
          </w:p>
        </w:tc>
        <w:tc>
          <w:tcPr>
            <w:tcW w:w="1420" w:type="dxa"/>
            <w:vAlign w:val="bottom"/>
          </w:tcPr>
          <w:p>
            <w:pPr>
              <w:jc w:val="right"/>
              <w:spacing w:after="0"/>
              <w:rPr>
                <w:sz w:val="20"/>
                <w:szCs w:val="20"/>
                <w:color w:val="auto"/>
              </w:rPr>
            </w:pPr>
            <w:r>
              <w:rPr>
                <w:rFonts w:ascii="Arial" w:cs="Arial" w:eastAsia="Arial" w:hAnsi="Arial"/>
                <w:sz w:val="15"/>
                <w:szCs w:val="15"/>
                <w:color w:val="183964"/>
              </w:rPr>
              <w:t>43.45 %</w:t>
            </w:r>
          </w:p>
        </w:tc>
      </w:tr>
      <w:tr>
        <w:trPr>
          <w:trHeight w:val="243"/>
        </w:trPr>
        <w:tc>
          <w:tcPr>
            <w:tcW w:w="8400" w:type="dxa"/>
            <w:vAlign w:val="bottom"/>
          </w:tcPr>
          <w:p>
            <w:pPr>
              <w:ind w:left="20"/>
              <w:spacing w:after="0"/>
              <w:rPr>
                <w:sz w:val="20"/>
                <w:szCs w:val="20"/>
                <w:color w:val="auto"/>
              </w:rPr>
            </w:pPr>
            <w:r>
              <w:rPr>
                <w:rFonts w:ascii="Arial" w:cs="Arial" w:eastAsia="Arial" w:hAnsi="Arial"/>
                <w:sz w:val="15"/>
                <w:szCs w:val="15"/>
                <w:color w:val="auto"/>
              </w:rPr>
              <w:t>Expected terms (in years)</w:t>
            </w:r>
          </w:p>
        </w:tc>
        <w:tc>
          <w:tcPr>
            <w:tcW w:w="1400" w:type="dxa"/>
            <w:vAlign w:val="bottom"/>
          </w:tcPr>
          <w:p>
            <w:pPr>
              <w:jc w:val="right"/>
              <w:spacing w:after="0"/>
              <w:rPr>
                <w:sz w:val="20"/>
                <w:szCs w:val="20"/>
                <w:color w:val="auto"/>
              </w:rPr>
            </w:pPr>
            <w:r>
              <w:rPr>
                <w:rFonts w:ascii="Arial" w:cs="Arial" w:eastAsia="Arial" w:hAnsi="Arial"/>
                <w:sz w:val="15"/>
                <w:szCs w:val="15"/>
                <w:b w:val="1"/>
                <w:bCs w:val="1"/>
                <w:color w:val="auto"/>
              </w:rPr>
              <w:t>6.16</w:t>
            </w:r>
          </w:p>
        </w:tc>
        <w:tc>
          <w:tcPr>
            <w:tcW w:w="1420" w:type="dxa"/>
            <w:vAlign w:val="bottom"/>
          </w:tcPr>
          <w:p>
            <w:pPr>
              <w:jc w:val="right"/>
              <w:spacing w:after="0"/>
              <w:rPr>
                <w:sz w:val="20"/>
                <w:szCs w:val="20"/>
                <w:color w:val="auto"/>
              </w:rPr>
            </w:pPr>
            <w:r>
              <w:rPr>
                <w:rFonts w:ascii="Arial" w:cs="Arial" w:eastAsia="Arial" w:hAnsi="Arial"/>
                <w:sz w:val="15"/>
                <w:szCs w:val="15"/>
                <w:color w:val="183964"/>
              </w:rPr>
              <w:t>6.16</w:t>
            </w:r>
          </w:p>
        </w:tc>
      </w:tr>
      <w:tr>
        <w:trPr>
          <w:trHeight w:val="243"/>
        </w:trPr>
        <w:tc>
          <w:tcPr>
            <w:tcW w:w="8400" w:type="dxa"/>
            <w:vAlign w:val="bottom"/>
          </w:tcPr>
          <w:p>
            <w:pPr>
              <w:ind w:left="20"/>
              <w:spacing w:after="0"/>
              <w:rPr>
                <w:sz w:val="20"/>
                <w:szCs w:val="20"/>
                <w:color w:val="auto"/>
              </w:rPr>
            </w:pPr>
            <w:r>
              <w:rPr>
                <w:rFonts w:ascii="Arial" w:cs="Arial" w:eastAsia="Arial" w:hAnsi="Arial"/>
                <w:sz w:val="15"/>
                <w:szCs w:val="15"/>
                <w:color w:val="auto"/>
              </w:rPr>
              <w:t>Risk-free interest rate</w:t>
            </w:r>
          </w:p>
        </w:tc>
        <w:tc>
          <w:tcPr>
            <w:tcW w:w="1400" w:type="dxa"/>
            <w:vAlign w:val="bottom"/>
          </w:tcPr>
          <w:p>
            <w:pPr>
              <w:jc w:val="right"/>
              <w:spacing w:after="0"/>
              <w:rPr>
                <w:sz w:val="20"/>
                <w:szCs w:val="20"/>
                <w:color w:val="auto"/>
              </w:rPr>
            </w:pPr>
            <w:r>
              <w:rPr>
                <w:rFonts w:ascii="Arial" w:cs="Arial" w:eastAsia="Arial" w:hAnsi="Arial"/>
                <w:sz w:val="15"/>
                <w:szCs w:val="15"/>
                <w:b w:val="1"/>
                <w:bCs w:val="1"/>
                <w:color w:val="auto"/>
              </w:rPr>
              <w:t>4.32 %</w:t>
            </w:r>
          </w:p>
        </w:tc>
        <w:tc>
          <w:tcPr>
            <w:tcW w:w="1420" w:type="dxa"/>
            <w:vAlign w:val="bottom"/>
          </w:tcPr>
          <w:p>
            <w:pPr>
              <w:jc w:val="right"/>
              <w:spacing w:after="0"/>
              <w:rPr>
                <w:sz w:val="20"/>
                <w:szCs w:val="20"/>
                <w:color w:val="auto"/>
              </w:rPr>
            </w:pPr>
            <w:r>
              <w:rPr>
                <w:rFonts w:ascii="Arial" w:cs="Arial" w:eastAsia="Arial" w:hAnsi="Arial"/>
                <w:sz w:val="15"/>
                <w:szCs w:val="15"/>
                <w:color w:val="183964"/>
              </w:rPr>
              <w:t>3.66 %</w:t>
            </w:r>
          </w:p>
        </w:tc>
      </w:tr>
      <w:tr>
        <w:trPr>
          <w:trHeight w:val="243"/>
        </w:trPr>
        <w:tc>
          <w:tcPr>
            <w:tcW w:w="8400" w:type="dxa"/>
            <w:vAlign w:val="bottom"/>
          </w:tcPr>
          <w:p>
            <w:pPr>
              <w:ind w:left="20"/>
              <w:spacing w:after="0"/>
              <w:rPr>
                <w:sz w:val="20"/>
                <w:szCs w:val="20"/>
                <w:color w:val="auto"/>
              </w:rPr>
            </w:pPr>
            <w:r>
              <w:rPr>
                <w:rFonts w:ascii="Arial" w:cs="Arial" w:eastAsia="Arial" w:hAnsi="Arial"/>
                <w:sz w:val="15"/>
                <w:szCs w:val="15"/>
                <w:color w:val="auto"/>
              </w:rPr>
              <w:t>Expected dividend yield</w:t>
            </w:r>
          </w:p>
        </w:tc>
        <w:tc>
          <w:tcPr>
            <w:tcW w:w="1400" w:type="dxa"/>
            <w:vAlign w:val="bottom"/>
          </w:tcPr>
          <w:p>
            <w:pPr>
              <w:jc w:val="right"/>
              <w:ind w:right="125"/>
              <w:spacing w:after="0"/>
              <w:rPr>
                <w:sz w:val="20"/>
                <w:szCs w:val="20"/>
                <w:color w:val="auto"/>
              </w:rPr>
            </w:pPr>
            <w:r>
              <w:rPr>
                <w:rFonts w:ascii="Arial" w:cs="Arial" w:eastAsia="Arial" w:hAnsi="Arial"/>
                <w:sz w:val="15"/>
                <w:szCs w:val="15"/>
                <w:b w:val="1"/>
                <w:bCs w:val="1"/>
                <w:color w:val="auto"/>
              </w:rPr>
              <w:t>—</w:t>
            </w:r>
          </w:p>
        </w:tc>
        <w:tc>
          <w:tcPr>
            <w:tcW w:w="1420" w:type="dxa"/>
            <w:vAlign w:val="bottom"/>
          </w:tcPr>
          <w:p>
            <w:pPr>
              <w:jc w:val="right"/>
              <w:ind w:right="125"/>
              <w:spacing w:after="0"/>
              <w:rPr>
                <w:sz w:val="20"/>
                <w:szCs w:val="20"/>
                <w:color w:val="auto"/>
              </w:rPr>
            </w:pPr>
            <w:r>
              <w:rPr>
                <w:rFonts w:ascii="Arial" w:cs="Arial" w:eastAsia="Arial" w:hAnsi="Arial"/>
                <w:sz w:val="15"/>
                <w:szCs w:val="15"/>
                <w:color w:val="183964"/>
              </w:rPr>
              <w:t>—</w:t>
            </w:r>
          </w:p>
        </w:tc>
      </w:tr>
      <w:tr>
        <w:trPr>
          <w:trHeight w:val="243"/>
        </w:trPr>
        <w:tc>
          <w:tcPr>
            <w:tcW w:w="8400" w:type="dxa"/>
            <w:vAlign w:val="bottom"/>
          </w:tcPr>
          <w:p>
            <w:pPr>
              <w:ind w:left="20"/>
              <w:spacing w:after="0"/>
              <w:rPr>
                <w:sz w:val="20"/>
                <w:szCs w:val="20"/>
                <w:color w:val="auto"/>
              </w:rPr>
            </w:pPr>
            <w:r>
              <w:rPr>
                <w:rFonts w:ascii="Arial" w:cs="Arial" w:eastAsia="Arial" w:hAnsi="Arial"/>
                <w:sz w:val="15"/>
                <w:szCs w:val="15"/>
                <w:color w:val="auto"/>
              </w:rPr>
              <w:t>Exercise price (GBP)</w:t>
            </w:r>
          </w:p>
        </w:tc>
        <w:tc>
          <w:tcPr>
            <w:tcW w:w="1400" w:type="dxa"/>
            <w:vAlign w:val="bottom"/>
          </w:tcPr>
          <w:p>
            <w:pPr>
              <w:jc w:val="right"/>
              <w:spacing w:after="0"/>
              <w:rPr>
                <w:sz w:val="20"/>
                <w:szCs w:val="20"/>
                <w:color w:val="auto"/>
              </w:rPr>
            </w:pPr>
            <w:r>
              <w:rPr>
                <w:rFonts w:ascii="Arial" w:cs="Arial" w:eastAsia="Arial" w:hAnsi="Arial"/>
                <w:sz w:val="15"/>
                <w:szCs w:val="15"/>
                <w:b w:val="1"/>
                <w:bCs w:val="1"/>
                <w:color w:val="auto"/>
              </w:rPr>
              <w:t>1.88</w:t>
            </w:r>
          </w:p>
        </w:tc>
        <w:tc>
          <w:tcPr>
            <w:tcW w:w="1420" w:type="dxa"/>
            <w:vAlign w:val="bottom"/>
          </w:tcPr>
          <w:p>
            <w:pPr>
              <w:jc w:val="right"/>
              <w:spacing w:after="0"/>
              <w:rPr>
                <w:sz w:val="20"/>
                <w:szCs w:val="20"/>
                <w:color w:val="auto"/>
              </w:rPr>
            </w:pPr>
            <w:r>
              <w:rPr>
                <w:rFonts w:ascii="Arial" w:cs="Arial" w:eastAsia="Arial" w:hAnsi="Arial"/>
                <w:sz w:val="15"/>
                <w:szCs w:val="15"/>
                <w:color w:val="183964"/>
              </w:rPr>
              <w:t>2.29</w:t>
            </w:r>
          </w:p>
        </w:tc>
      </w:tr>
      <w:tr>
        <w:trPr>
          <w:trHeight w:val="243"/>
        </w:trPr>
        <w:tc>
          <w:tcPr>
            <w:tcW w:w="8400" w:type="dxa"/>
            <w:vAlign w:val="bottom"/>
          </w:tcPr>
          <w:p>
            <w:pPr>
              <w:ind w:left="20"/>
              <w:spacing w:after="0"/>
              <w:rPr>
                <w:sz w:val="20"/>
                <w:szCs w:val="20"/>
                <w:color w:val="auto"/>
              </w:rPr>
            </w:pPr>
            <w:r>
              <w:rPr>
                <w:rFonts w:ascii="Arial" w:cs="Arial" w:eastAsia="Arial" w:hAnsi="Arial"/>
                <w:sz w:val="15"/>
                <w:szCs w:val="15"/>
                <w:color w:val="auto"/>
              </w:rPr>
              <w:t>Underlying stock price (GBP)</w:t>
            </w:r>
          </w:p>
        </w:tc>
        <w:tc>
          <w:tcPr>
            <w:tcW w:w="1400" w:type="dxa"/>
            <w:vAlign w:val="bottom"/>
          </w:tcPr>
          <w:p>
            <w:pPr>
              <w:jc w:val="right"/>
              <w:spacing w:after="0"/>
              <w:rPr>
                <w:sz w:val="20"/>
                <w:szCs w:val="20"/>
                <w:color w:val="auto"/>
              </w:rPr>
            </w:pPr>
            <w:r>
              <w:rPr>
                <w:rFonts w:ascii="Arial" w:cs="Arial" w:eastAsia="Arial" w:hAnsi="Arial"/>
                <w:sz w:val="15"/>
                <w:szCs w:val="15"/>
                <w:b w:val="1"/>
                <w:bCs w:val="1"/>
                <w:color w:val="auto"/>
              </w:rPr>
              <w:t>1.88</w:t>
            </w:r>
          </w:p>
        </w:tc>
        <w:tc>
          <w:tcPr>
            <w:tcW w:w="1420" w:type="dxa"/>
            <w:vAlign w:val="bottom"/>
          </w:tcPr>
          <w:p>
            <w:pPr>
              <w:jc w:val="right"/>
              <w:spacing w:after="0"/>
              <w:rPr>
                <w:sz w:val="20"/>
                <w:szCs w:val="20"/>
                <w:color w:val="auto"/>
              </w:rPr>
            </w:pPr>
            <w:r>
              <w:rPr>
                <w:rFonts w:ascii="Arial" w:cs="Arial" w:eastAsia="Arial" w:hAnsi="Arial"/>
                <w:sz w:val="15"/>
                <w:szCs w:val="15"/>
                <w:color w:val="183964"/>
              </w:rPr>
              <w:t>2.29</w:t>
            </w:r>
          </w:p>
        </w:tc>
      </w:tr>
      <w:tr>
        <w:trPr>
          <w:trHeight w:val="25"/>
        </w:trPr>
        <w:tc>
          <w:tcPr>
            <w:tcW w:w="8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158" w:lineRule="exact"/>
        <w:rPr>
          <w:sz w:val="20"/>
          <w:szCs w:val="20"/>
          <w:color w:val="auto"/>
        </w:rPr>
      </w:pPr>
    </w:p>
    <w:p>
      <w:pPr>
        <w:ind w:right="180"/>
        <w:spacing w:after="0" w:line="301" w:lineRule="auto"/>
        <w:rPr>
          <w:sz w:val="20"/>
          <w:szCs w:val="20"/>
          <w:color w:val="auto"/>
        </w:rPr>
      </w:pPr>
      <w:r>
        <w:rPr>
          <w:rFonts w:ascii="Arial" w:cs="Arial" w:eastAsia="Arial" w:hAnsi="Arial"/>
          <w:sz w:val="15"/>
          <w:szCs w:val="15"/>
          <w:color w:val="auto"/>
        </w:rPr>
        <w:t>These assumptions resulted in an estimated weighted-average grant-date fair value per share of stock options granted during the six months ended June 30, 2024, and 2023 of $1.19, and $1.38, respectively.</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As of June 30, 2024, 9,191,140 incentive options are exercisable with a weighted-average exercise price of £2.20. Exercise prices ranged from £0.01 to £3.60.</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The Group incurred share-based payment expense for the stock options of $390 and $1,215 for the six months ended June 30, 2024 and 2023, respectively.</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i w:val="1"/>
          <w:iCs w:val="1"/>
          <w:color w:val="183964"/>
        </w:rPr>
        <w:t>Subsidiary Plans</w:t>
      </w:r>
    </w:p>
    <w:p>
      <w:pPr>
        <w:spacing w:after="0" w:line="28" w:lineRule="exact"/>
        <w:rPr>
          <w:sz w:val="20"/>
          <w:szCs w:val="20"/>
          <w:color w:val="auto"/>
        </w:rPr>
      </w:pPr>
    </w:p>
    <w:p>
      <w:pPr>
        <w:spacing w:after="0" w:line="267" w:lineRule="auto"/>
        <w:rPr>
          <w:sz w:val="20"/>
          <w:szCs w:val="20"/>
          <w:color w:val="auto"/>
        </w:rPr>
      </w:pPr>
      <w:r>
        <w:rPr>
          <w:rFonts w:ascii="Arial" w:cs="Arial" w:eastAsia="Arial" w:hAnsi="Arial"/>
          <w:sz w:val="15"/>
          <w:szCs w:val="15"/>
          <w:color w:val="auto"/>
        </w:rPr>
        <w:t>The subsidiaries incurred $3,285 and $277 in share-based payment expense in respect of their share-based award plans for the six months ended June 30, 2024 and 2023, respectively.</w:t>
      </w:r>
    </w:p>
    <w:p>
      <w:pPr>
        <w:spacing w:after="0" w:line="64" w:lineRule="exact"/>
        <w:rPr>
          <w:sz w:val="20"/>
          <w:szCs w:val="20"/>
          <w:color w:val="auto"/>
        </w:rPr>
      </w:pPr>
    </w:p>
    <w:p>
      <w:pPr>
        <w:spacing w:after="0"/>
        <w:rPr>
          <w:sz w:val="20"/>
          <w:szCs w:val="20"/>
          <w:color w:val="auto"/>
        </w:rPr>
      </w:pPr>
      <w:r>
        <w:rPr>
          <w:rFonts w:ascii="Arial" w:cs="Arial" w:eastAsia="Arial" w:hAnsi="Arial"/>
          <w:sz w:val="15"/>
          <w:szCs w:val="15"/>
          <w:color w:val="auto"/>
        </w:rPr>
        <w:t>The share-based payment expense for the six months ended June 30, 2024 is primarily related to the Seaport Plan discussed below.</w:t>
      </w:r>
    </w:p>
    <w:p>
      <w:pPr>
        <w:spacing w:after="0" w:line="98" w:lineRule="exact"/>
        <w:rPr>
          <w:sz w:val="20"/>
          <w:szCs w:val="20"/>
          <w:color w:val="auto"/>
        </w:rPr>
      </w:pPr>
    </w:p>
    <w:p>
      <w:pPr>
        <w:ind w:right="100"/>
        <w:spacing w:after="0" w:line="284" w:lineRule="auto"/>
        <w:rPr>
          <w:sz w:val="20"/>
          <w:szCs w:val="20"/>
          <w:color w:val="auto"/>
        </w:rPr>
      </w:pPr>
      <w:r>
        <w:rPr>
          <w:rFonts w:ascii="Arial" w:cs="Arial" w:eastAsia="Arial" w:hAnsi="Arial"/>
          <w:sz w:val="15"/>
          <w:szCs w:val="15"/>
          <w:color w:val="auto"/>
        </w:rPr>
        <w:t>In 2024, the Board of Directors of Seaport approved the 2024 Equity Incentive Plan (the “Seaport Plan”). The options granted under the Seaport Plan are equity settled and expire 10 years from the grant date. Typically, the awards vest in four years but vesting conditions can vary based on the discretion of Seaport’s Board of Directors.</w:t>
      </w: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color w:val="auto"/>
        </w:rPr>
        <w:t>The estimated grant date fair value of the equity awards is recognized as an expense over the awards’ vesting periods.</w:t>
      </w:r>
    </w:p>
    <w:p>
      <w:pPr>
        <w:spacing w:after="0" w:line="111"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In the six months ended June 30, 2024, Seaport granted 3,450,000 shares of restricted stock to certain officers and directors, of which 1,227,778 shares are fully vested as of June 30, 2024. Seaport also granted 14,859,335 stock options awards to its non-executive Directors, executives and employees. The fair value of the restricted stock is estimated at the date of grant using the market backsolve and two-scenario option pricing model. See Note 13. Financial Instruments. The fair value of the stock option grants was estimated at the date of grant using the Black-Scholes option pricing model with the following weighted-average assumptions: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660" w:type="dxa"/>
            <w:vAlign w:val="bottom"/>
          </w:tcPr>
          <w:p>
            <w:pPr>
              <w:ind w:left="20"/>
              <w:spacing w:after="0"/>
              <w:rPr>
                <w:sz w:val="20"/>
                <w:szCs w:val="20"/>
                <w:color w:val="auto"/>
              </w:rPr>
            </w:pPr>
            <w:r>
              <w:rPr>
                <w:rFonts w:ascii="Arial" w:cs="Arial" w:eastAsia="Arial" w:hAnsi="Arial"/>
                <w:sz w:val="13"/>
                <w:szCs w:val="13"/>
                <w:color w:val="auto"/>
              </w:rPr>
              <w:t>For the six months ended June 30,</w:t>
            </w:r>
          </w:p>
        </w:tc>
        <w:tc>
          <w:tcPr>
            <w:tcW w:w="428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r>
      <w:tr>
        <w:trPr>
          <w:trHeight w:val="22"/>
        </w:trPr>
        <w:tc>
          <w:tcPr>
            <w:tcW w:w="5660" w:type="dxa"/>
            <w:vAlign w:val="bottom"/>
            <w:tcBorders>
              <w:bottom w:val="single" w:sz="8" w:color="183964"/>
            </w:tcBorders>
          </w:tcPr>
          <w:p>
            <w:pPr>
              <w:spacing w:after="0" w:line="20" w:lineRule="exact"/>
              <w:rPr>
                <w:sz w:val="1"/>
                <w:szCs w:val="1"/>
                <w:color w:val="auto"/>
              </w:rPr>
            </w:pPr>
          </w:p>
        </w:tc>
        <w:tc>
          <w:tcPr>
            <w:tcW w:w="4280" w:type="dxa"/>
            <w:vAlign w:val="bottom"/>
            <w:tcBorders>
              <w:bottom w:val="single" w:sz="8" w:color="183964"/>
            </w:tcBorders>
          </w:tcPr>
          <w:p>
            <w:pPr>
              <w:spacing w:after="0" w:line="20" w:lineRule="exact"/>
              <w:rPr>
                <w:sz w:val="1"/>
                <w:szCs w:val="1"/>
                <w:color w:val="auto"/>
              </w:rPr>
            </w:pPr>
          </w:p>
        </w:tc>
      </w:tr>
      <w:tr>
        <w:trPr>
          <w:trHeight w:val="203"/>
        </w:trPr>
        <w:tc>
          <w:tcPr>
            <w:tcW w:w="5660" w:type="dxa"/>
            <w:vAlign w:val="bottom"/>
          </w:tcPr>
          <w:p>
            <w:pPr>
              <w:ind w:left="20"/>
              <w:spacing w:after="0"/>
              <w:rPr>
                <w:sz w:val="20"/>
                <w:szCs w:val="20"/>
                <w:color w:val="auto"/>
              </w:rPr>
            </w:pPr>
            <w:r>
              <w:rPr>
                <w:rFonts w:ascii="Arial" w:cs="Arial" w:eastAsia="Arial" w:hAnsi="Arial"/>
                <w:sz w:val="15"/>
                <w:szCs w:val="15"/>
                <w:color w:val="183964"/>
              </w:rPr>
              <w:t>Expected volatility</w:t>
            </w:r>
          </w:p>
        </w:tc>
        <w:tc>
          <w:tcPr>
            <w:tcW w:w="4280" w:type="dxa"/>
            <w:vAlign w:val="bottom"/>
          </w:tcPr>
          <w:p>
            <w:pPr>
              <w:jc w:val="right"/>
              <w:spacing w:after="0"/>
              <w:rPr>
                <w:sz w:val="20"/>
                <w:szCs w:val="20"/>
                <w:color w:val="auto"/>
              </w:rPr>
            </w:pPr>
            <w:r>
              <w:rPr>
                <w:rFonts w:ascii="Calibri" w:cs="Calibri" w:eastAsia="Calibri" w:hAnsi="Calibri"/>
                <w:sz w:val="16"/>
                <w:szCs w:val="16"/>
                <w:b w:val="1"/>
                <w:bCs w:val="1"/>
                <w:color w:val="auto"/>
              </w:rPr>
              <w:t>80.00 %</w:t>
            </w:r>
          </w:p>
        </w:tc>
      </w:tr>
      <w:tr>
        <w:trPr>
          <w:trHeight w:val="251"/>
        </w:trPr>
        <w:tc>
          <w:tcPr>
            <w:tcW w:w="5660" w:type="dxa"/>
            <w:vAlign w:val="bottom"/>
          </w:tcPr>
          <w:p>
            <w:pPr>
              <w:ind w:left="20"/>
              <w:spacing w:after="0"/>
              <w:rPr>
                <w:sz w:val="20"/>
                <w:szCs w:val="20"/>
                <w:color w:val="auto"/>
              </w:rPr>
            </w:pPr>
            <w:r>
              <w:rPr>
                <w:rFonts w:ascii="Arial" w:cs="Arial" w:eastAsia="Arial" w:hAnsi="Arial"/>
                <w:sz w:val="15"/>
                <w:szCs w:val="15"/>
                <w:color w:val="auto"/>
              </w:rPr>
              <w:t>Expected terms (in years)</w:t>
            </w:r>
          </w:p>
        </w:tc>
        <w:tc>
          <w:tcPr>
            <w:tcW w:w="4280" w:type="dxa"/>
            <w:vAlign w:val="bottom"/>
          </w:tcPr>
          <w:p>
            <w:pPr>
              <w:jc w:val="right"/>
              <w:spacing w:after="0"/>
              <w:rPr>
                <w:sz w:val="20"/>
                <w:szCs w:val="20"/>
                <w:color w:val="auto"/>
              </w:rPr>
            </w:pPr>
            <w:r>
              <w:rPr>
                <w:rFonts w:ascii="Arial" w:cs="Arial" w:eastAsia="Arial" w:hAnsi="Arial"/>
                <w:sz w:val="15"/>
                <w:szCs w:val="15"/>
                <w:b w:val="1"/>
                <w:bCs w:val="1"/>
                <w:color w:val="auto"/>
              </w:rPr>
              <w:t>5.75</w:t>
            </w:r>
          </w:p>
        </w:tc>
      </w:tr>
      <w:tr>
        <w:trPr>
          <w:trHeight w:val="243"/>
        </w:trPr>
        <w:tc>
          <w:tcPr>
            <w:tcW w:w="5660" w:type="dxa"/>
            <w:vAlign w:val="bottom"/>
          </w:tcPr>
          <w:p>
            <w:pPr>
              <w:ind w:left="20"/>
              <w:spacing w:after="0"/>
              <w:rPr>
                <w:sz w:val="20"/>
                <w:szCs w:val="20"/>
                <w:color w:val="auto"/>
              </w:rPr>
            </w:pPr>
            <w:r>
              <w:rPr>
                <w:rFonts w:ascii="Arial" w:cs="Arial" w:eastAsia="Arial" w:hAnsi="Arial"/>
                <w:sz w:val="15"/>
                <w:szCs w:val="15"/>
                <w:color w:val="auto"/>
              </w:rPr>
              <w:t>Risk-free interest rate</w:t>
            </w:r>
          </w:p>
        </w:tc>
        <w:tc>
          <w:tcPr>
            <w:tcW w:w="4280" w:type="dxa"/>
            <w:vAlign w:val="bottom"/>
          </w:tcPr>
          <w:p>
            <w:pPr>
              <w:jc w:val="right"/>
              <w:spacing w:after="0"/>
              <w:rPr>
                <w:sz w:val="20"/>
                <w:szCs w:val="20"/>
                <w:color w:val="auto"/>
              </w:rPr>
            </w:pPr>
            <w:r>
              <w:rPr>
                <w:rFonts w:ascii="Arial" w:cs="Arial" w:eastAsia="Arial" w:hAnsi="Arial"/>
                <w:sz w:val="15"/>
                <w:szCs w:val="15"/>
                <w:b w:val="1"/>
                <w:bCs w:val="1"/>
                <w:color w:val="262626"/>
              </w:rPr>
              <w:t>4.34 %</w:t>
            </w:r>
          </w:p>
        </w:tc>
      </w:tr>
      <w:tr>
        <w:trPr>
          <w:trHeight w:val="235"/>
        </w:trPr>
        <w:tc>
          <w:tcPr>
            <w:tcW w:w="5660" w:type="dxa"/>
            <w:vAlign w:val="bottom"/>
          </w:tcPr>
          <w:p>
            <w:pPr>
              <w:ind w:left="20"/>
              <w:spacing w:after="0"/>
              <w:rPr>
                <w:sz w:val="20"/>
                <w:szCs w:val="20"/>
                <w:color w:val="auto"/>
              </w:rPr>
            </w:pPr>
            <w:r>
              <w:rPr>
                <w:rFonts w:ascii="Arial" w:cs="Arial" w:eastAsia="Arial" w:hAnsi="Arial"/>
                <w:sz w:val="15"/>
                <w:szCs w:val="15"/>
                <w:color w:val="auto"/>
              </w:rPr>
              <w:t>Expected dividend yield</w:t>
            </w:r>
          </w:p>
        </w:tc>
        <w:tc>
          <w:tcPr>
            <w:tcW w:w="4280" w:type="dxa"/>
            <w:vAlign w:val="bottom"/>
          </w:tcPr>
          <w:p>
            <w:pPr>
              <w:jc w:val="right"/>
              <w:spacing w:after="0"/>
              <w:rPr>
                <w:sz w:val="20"/>
                <w:szCs w:val="20"/>
                <w:color w:val="auto"/>
              </w:rPr>
            </w:pPr>
            <w:r>
              <w:rPr>
                <w:rFonts w:ascii="Arial" w:cs="Arial" w:eastAsia="Arial" w:hAnsi="Arial"/>
                <w:sz w:val="15"/>
                <w:szCs w:val="15"/>
                <w:color w:val="183964"/>
              </w:rPr>
              <w:t>—</w:t>
            </w:r>
          </w:p>
        </w:tc>
      </w:tr>
      <w:tr>
        <w:trPr>
          <w:trHeight w:val="251"/>
        </w:trPr>
        <w:tc>
          <w:tcPr>
            <w:tcW w:w="5660" w:type="dxa"/>
            <w:vAlign w:val="bottom"/>
          </w:tcPr>
          <w:p>
            <w:pPr>
              <w:ind w:left="20"/>
              <w:spacing w:after="0"/>
              <w:rPr>
                <w:sz w:val="20"/>
                <w:szCs w:val="20"/>
                <w:color w:val="auto"/>
              </w:rPr>
            </w:pPr>
            <w:r>
              <w:rPr>
                <w:rFonts w:ascii="Arial" w:cs="Arial" w:eastAsia="Arial" w:hAnsi="Arial"/>
                <w:sz w:val="15"/>
                <w:szCs w:val="15"/>
                <w:color w:val="auto"/>
              </w:rPr>
              <w:t>Exercise price</w:t>
            </w:r>
          </w:p>
        </w:tc>
        <w:tc>
          <w:tcPr>
            <w:tcW w:w="4280" w:type="dxa"/>
            <w:vAlign w:val="bottom"/>
          </w:tcPr>
          <w:p>
            <w:pPr>
              <w:jc w:val="right"/>
              <w:ind w:right="145"/>
              <w:spacing w:after="0"/>
              <w:rPr>
                <w:sz w:val="20"/>
                <w:szCs w:val="20"/>
                <w:color w:val="auto"/>
              </w:rPr>
            </w:pPr>
            <w:r>
              <w:rPr>
                <w:rFonts w:ascii="Arial" w:cs="Arial" w:eastAsia="Arial" w:hAnsi="Arial"/>
                <w:sz w:val="15"/>
                <w:szCs w:val="15"/>
                <w:b w:val="1"/>
                <w:bCs w:val="1"/>
                <w:color w:val="auto"/>
              </w:rPr>
              <w:t>$0.97</w:t>
            </w:r>
          </w:p>
        </w:tc>
      </w:tr>
      <w:tr>
        <w:trPr>
          <w:trHeight w:val="243"/>
        </w:trPr>
        <w:tc>
          <w:tcPr>
            <w:tcW w:w="5660" w:type="dxa"/>
            <w:vAlign w:val="bottom"/>
          </w:tcPr>
          <w:p>
            <w:pPr>
              <w:ind w:left="20"/>
              <w:spacing w:after="0"/>
              <w:rPr>
                <w:sz w:val="20"/>
                <w:szCs w:val="20"/>
                <w:color w:val="auto"/>
              </w:rPr>
            </w:pPr>
            <w:r>
              <w:rPr>
                <w:rFonts w:ascii="Arial" w:cs="Arial" w:eastAsia="Arial" w:hAnsi="Arial"/>
                <w:sz w:val="15"/>
                <w:szCs w:val="15"/>
                <w:color w:val="auto"/>
              </w:rPr>
              <w:t>Underlying stock price</w:t>
            </w:r>
          </w:p>
        </w:tc>
        <w:tc>
          <w:tcPr>
            <w:tcW w:w="4280" w:type="dxa"/>
            <w:vAlign w:val="bottom"/>
          </w:tcPr>
          <w:p>
            <w:pPr>
              <w:jc w:val="right"/>
              <w:ind w:right="145"/>
              <w:spacing w:after="0"/>
              <w:rPr>
                <w:sz w:val="20"/>
                <w:szCs w:val="20"/>
                <w:color w:val="auto"/>
              </w:rPr>
            </w:pPr>
            <w:r>
              <w:rPr>
                <w:rFonts w:ascii="Arial" w:cs="Arial" w:eastAsia="Arial" w:hAnsi="Arial"/>
                <w:sz w:val="15"/>
                <w:szCs w:val="15"/>
                <w:b w:val="1"/>
                <w:bCs w:val="1"/>
                <w:color w:val="auto"/>
              </w:rPr>
              <w:t>$0.97</w:t>
            </w:r>
          </w:p>
        </w:tc>
      </w:tr>
      <w:tr>
        <w:trPr>
          <w:trHeight w:val="25"/>
        </w:trPr>
        <w:tc>
          <w:tcPr>
            <w:tcW w:w="5660" w:type="dxa"/>
            <w:vAlign w:val="bottom"/>
            <w:tcBorders>
              <w:bottom w:val="single" w:sz="8" w:color="183964"/>
            </w:tcBorders>
          </w:tcPr>
          <w:p>
            <w:pPr>
              <w:spacing w:after="0"/>
              <w:rPr>
                <w:sz w:val="2"/>
                <w:szCs w:val="2"/>
                <w:color w:val="auto"/>
              </w:rPr>
            </w:pPr>
          </w:p>
        </w:tc>
        <w:tc>
          <w:tcPr>
            <w:tcW w:w="4280" w:type="dxa"/>
            <w:vAlign w:val="bottom"/>
            <w:tcBorders>
              <w:bottom w:val="single" w:sz="8" w:color="183964"/>
            </w:tcBorders>
          </w:tcPr>
          <w:p>
            <w:pPr>
              <w:spacing w:after="0"/>
              <w:rPr>
                <w:sz w:val="2"/>
                <w:szCs w:val="2"/>
                <w:color w:val="auto"/>
              </w:rPr>
            </w:pPr>
          </w:p>
        </w:tc>
      </w:tr>
    </w:tbl>
    <w:p>
      <w:pPr>
        <w:spacing w:after="0" w:line="158" w:lineRule="exact"/>
        <w:rPr>
          <w:sz w:val="20"/>
          <w:szCs w:val="20"/>
          <w:color w:val="auto"/>
        </w:rPr>
      </w:pPr>
    </w:p>
    <w:p>
      <w:pPr>
        <w:ind w:right="220"/>
        <w:spacing w:after="0" w:line="301" w:lineRule="auto"/>
        <w:rPr>
          <w:sz w:val="20"/>
          <w:szCs w:val="20"/>
          <w:color w:val="auto"/>
        </w:rPr>
      </w:pPr>
      <w:r>
        <w:rPr>
          <w:rFonts w:ascii="Arial" w:cs="Arial" w:eastAsia="Arial" w:hAnsi="Arial"/>
          <w:sz w:val="15"/>
          <w:szCs w:val="15"/>
          <w:color w:val="auto"/>
        </w:rPr>
        <w:t>These assumptions resulted in an estimated weighted-average grant-date fair value of $0.68 per share for stock options granted during the six months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735330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3" w:right="359" w:bottom="1440" w:gutter="0" w:footer="0" w:header="0"/>
        </w:sectPr>
      </w:pPr>
    </w:p>
    <w:bookmarkStart w:id="32" w:name="page33"/>
    <w:bookmarkEnd w:id="32"/>
    <w:p>
      <w:pPr>
        <w:ind w:left="300" w:hanging="292"/>
        <w:spacing w:after="0"/>
        <w:tabs>
          <w:tab w:leader="none" w:pos="300" w:val="left"/>
        </w:tabs>
        <w:numPr>
          <w:ilvl w:val="0"/>
          <w:numId w:val="21"/>
        </w:numPr>
        <w:rPr>
          <w:rFonts w:ascii="Arial" w:cs="Arial" w:eastAsia="Arial" w:hAnsi="Arial"/>
          <w:sz w:val="15"/>
          <w:szCs w:val="15"/>
          <w:b w:val="1"/>
          <w:bCs w:val="1"/>
          <w:color w:val="183964"/>
        </w:rPr>
      </w:pPr>
      <w:r>
        <w:rPr>
          <w:rFonts w:ascii="Arial" w:cs="Arial" w:eastAsia="Arial" w:hAnsi="Arial"/>
          <w:sz w:val="15"/>
          <w:szCs w:val="15"/>
          <w:b w:val="1"/>
          <w:bCs w:val="1"/>
          <w:color w:val="183964"/>
        </w:rPr>
        <w:t>Finance Income/(Costs), net</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shows the breakdown of finance income and costs: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0" w:type="dxa"/>
            <w:vAlign w:val="bottom"/>
          </w:tcPr>
          <w:p>
            <w:pPr>
              <w:spacing w:after="0"/>
              <w:rPr>
                <w:sz w:val="13"/>
                <w:szCs w:val="13"/>
                <w:color w:val="auto"/>
              </w:rPr>
            </w:pPr>
          </w:p>
        </w:tc>
        <w:tc>
          <w:tcPr>
            <w:tcW w:w="2700" w:type="dxa"/>
            <w:vAlign w:val="bottom"/>
          </w:tcPr>
          <w:p>
            <w:pPr>
              <w:jc w:val="right"/>
              <w:ind w:right="325"/>
              <w:spacing w:after="0"/>
              <w:rPr>
                <w:sz w:val="20"/>
                <w:szCs w:val="20"/>
                <w:color w:val="auto"/>
              </w:rPr>
            </w:pPr>
            <w:r>
              <w:rPr>
                <w:rFonts w:ascii="Arial" w:cs="Arial" w:eastAsia="Arial" w:hAnsi="Arial"/>
                <w:sz w:val="13"/>
                <w:szCs w:val="13"/>
                <w:b w:val="1"/>
                <w:bCs w:val="1"/>
                <w:color w:val="auto"/>
              </w:rPr>
              <w:t>2024</w:t>
            </w:r>
          </w:p>
        </w:tc>
        <w:tc>
          <w:tcPr>
            <w:tcW w:w="920" w:type="dxa"/>
            <w:vAlign w:val="bottom"/>
          </w:tcPr>
          <w:p>
            <w:pPr>
              <w:jc w:val="right"/>
              <w:spacing w:after="0"/>
              <w:rPr>
                <w:sz w:val="20"/>
                <w:szCs w:val="20"/>
                <w:color w:val="auto"/>
              </w:rPr>
            </w:pPr>
            <w:r>
              <w:rPr>
                <w:rFonts w:ascii="Arial" w:cs="Arial" w:eastAsia="Arial" w:hAnsi="Arial"/>
                <w:sz w:val="13"/>
                <w:szCs w:val="13"/>
                <w:color w:val="183964"/>
              </w:rPr>
              <w:t>2023</w:t>
            </w:r>
          </w:p>
        </w:tc>
      </w:tr>
      <w:tr>
        <w:trPr>
          <w:trHeight w:val="172"/>
        </w:trPr>
        <w:tc>
          <w:tcPr>
            <w:tcW w:w="7600" w:type="dxa"/>
            <w:vAlign w:val="bottom"/>
          </w:tcPr>
          <w:p>
            <w:pPr>
              <w:ind w:left="20"/>
              <w:spacing w:after="0"/>
              <w:rPr>
                <w:sz w:val="20"/>
                <w:szCs w:val="20"/>
                <w:color w:val="auto"/>
              </w:rPr>
            </w:pPr>
            <w:r>
              <w:rPr>
                <w:rFonts w:ascii="Arial" w:cs="Arial" w:eastAsia="Arial" w:hAnsi="Arial"/>
                <w:sz w:val="13"/>
                <w:szCs w:val="13"/>
                <w:color w:val="auto"/>
              </w:rPr>
              <w:t>For the six months ended June 30,</w:t>
            </w:r>
          </w:p>
        </w:tc>
        <w:tc>
          <w:tcPr>
            <w:tcW w:w="2700" w:type="dxa"/>
            <w:vAlign w:val="bottom"/>
          </w:tcPr>
          <w:p>
            <w:pPr>
              <w:jc w:val="right"/>
              <w:ind w:right="325"/>
              <w:spacing w:after="0"/>
              <w:rPr>
                <w:sz w:val="20"/>
                <w:szCs w:val="20"/>
                <w:color w:val="auto"/>
              </w:rPr>
            </w:pPr>
            <w:r>
              <w:rPr>
                <w:rFonts w:ascii="Arial" w:cs="Arial" w:eastAsia="Arial" w:hAnsi="Arial"/>
                <w:sz w:val="13"/>
                <w:szCs w:val="13"/>
                <w:b w:val="1"/>
                <w:bCs w:val="1"/>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183964"/>
              </w:rPr>
              <w:t>$</w:t>
            </w:r>
          </w:p>
        </w:tc>
      </w:tr>
      <w:tr>
        <w:trPr>
          <w:trHeight w:val="22"/>
        </w:trPr>
        <w:tc>
          <w:tcPr>
            <w:tcW w:w="760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2"/>
        </w:trPr>
        <w:tc>
          <w:tcPr>
            <w:tcW w:w="7600" w:type="dxa"/>
            <w:vAlign w:val="bottom"/>
          </w:tcPr>
          <w:p>
            <w:pPr>
              <w:ind w:left="20"/>
              <w:spacing w:after="0"/>
              <w:rPr>
                <w:sz w:val="20"/>
                <w:szCs w:val="20"/>
                <w:color w:val="auto"/>
              </w:rPr>
            </w:pPr>
            <w:r>
              <w:rPr>
                <w:rFonts w:ascii="Arial" w:cs="Arial" w:eastAsia="Arial" w:hAnsi="Arial"/>
                <w:sz w:val="15"/>
                <w:szCs w:val="15"/>
                <w:b w:val="1"/>
                <w:bCs w:val="1"/>
                <w:color w:val="auto"/>
              </w:rPr>
              <w:t>Finance income</w:t>
            </w:r>
          </w:p>
        </w:tc>
        <w:tc>
          <w:tcPr>
            <w:tcW w:w="27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43"/>
        </w:trPr>
        <w:tc>
          <w:tcPr>
            <w:tcW w:w="7600" w:type="dxa"/>
            <w:vAlign w:val="bottom"/>
          </w:tcPr>
          <w:p>
            <w:pPr>
              <w:ind w:left="20"/>
              <w:spacing w:after="0"/>
              <w:rPr>
                <w:sz w:val="20"/>
                <w:szCs w:val="20"/>
                <w:color w:val="auto"/>
              </w:rPr>
            </w:pPr>
            <w:r>
              <w:rPr>
                <w:rFonts w:ascii="Arial" w:cs="Arial" w:eastAsia="Arial" w:hAnsi="Arial"/>
                <w:sz w:val="15"/>
                <w:szCs w:val="15"/>
                <w:color w:val="auto"/>
              </w:rPr>
              <w:t>Interest income from financial assets</w:t>
            </w:r>
          </w:p>
        </w:tc>
        <w:tc>
          <w:tcPr>
            <w:tcW w:w="2700" w:type="dxa"/>
            <w:vAlign w:val="bottom"/>
          </w:tcPr>
          <w:p>
            <w:pPr>
              <w:jc w:val="right"/>
              <w:ind w:right="385"/>
              <w:spacing w:after="0"/>
              <w:rPr>
                <w:sz w:val="20"/>
                <w:szCs w:val="20"/>
                <w:color w:val="auto"/>
              </w:rPr>
            </w:pPr>
            <w:r>
              <w:rPr>
                <w:rFonts w:ascii="Arial" w:cs="Arial" w:eastAsia="Arial" w:hAnsi="Arial"/>
                <w:sz w:val="15"/>
                <w:szCs w:val="15"/>
                <w:b w:val="1"/>
                <w:bCs w:val="1"/>
                <w:color w:val="auto"/>
              </w:rPr>
              <w:t>11,732</w:t>
            </w:r>
          </w:p>
        </w:tc>
        <w:tc>
          <w:tcPr>
            <w:tcW w:w="920" w:type="dxa"/>
            <w:vAlign w:val="bottom"/>
          </w:tcPr>
          <w:p>
            <w:pPr>
              <w:jc w:val="right"/>
              <w:ind w:right="5"/>
              <w:spacing w:after="0"/>
              <w:rPr>
                <w:sz w:val="20"/>
                <w:szCs w:val="20"/>
                <w:color w:val="auto"/>
              </w:rPr>
            </w:pPr>
            <w:r>
              <w:rPr>
                <w:rFonts w:ascii="Arial" w:cs="Arial" w:eastAsia="Arial" w:hAnsi="Arial"/>
                <w:sz w:val="15"/>
                <w:szCs w:val="15"/>
                <w:color w:val="183964"/>
              </w:rPr>
              <w:t>7,731</w:t>
            </w:r>
          </w:p>
        </w:tc>
      </w:tr>
      <w:tr>
        <w:trPr>
          <w:trHeight w:val="25"/>
        </w:trPr>
        <w:tc>
          <w:tcPr>
            <w:tcW w:w="760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1"/>
        </w:trPr>
        <w:tc>
          <w:tcPr>
            <w:tcW w:w="7600" w:type="dxa"/>
            <w:vAlign w:val="bottom"/>
          </w:tcPr>
          <w:p>
            <w:pPr>
              <w:ind w:left="20"/>
              <w:spacing w:after="0"/>
              <w:rPr>
                <w:sz w:val="20"/>
                <w:szCs w:val="20"/>
                <w:color w:val="auto"/>
              </w:rPr>
            </w:pPr>
            <w:r>
              <w:rPr>
                <w:rFonts w:ascii="Arial" w:cs="Arial" w:eastAsia="Arial" w:hAnsi="Arial"/>
                <w:sz w:val="15"/>
                <w:szCs w:val="15"/>
                <w:b w:val="1"/>
                <w:bCs w:val="1"/>
                <w:color w:val="auto"/>
              </w:rPr>
              <w:t>Total finance income</w:t>
            </w:r>
          </w:p>
        </w:tc>
        <w:tc>
          <w:tcPr>
            <w:tcW w:w="2700" w:type="dxa"/>
            <w:vAlign w:val="bottom"/>
          </w:tcPr>
          <w:p>
            <w:pPr>
              <w:jc w:val="right"/>
              <w:ind w:right="385"/>
              <w:spacing w:after="0"/>
              <w:rPr>
                <w:sz w:val="20"/>
                <w:szCs w:val="20"/>
                <w:color w:val="auto"/>
              </w:rPr>
            </w:pPr>
            <w:r>
              <w:rPr>
                <w:rFonts w:ascii="Arial" w:cs="Arial" w:eastAsia="Arial" w:hAnsi="Arial"/>
                <w:sz w:val="15"/>
                <w:szCs w:val="15"/>
                <w:b w:val="1"/>
                <w:bCs w:val="1"/>
                <w:color w:val="auto"/>
              </w:rPr>
              <w:t>11,732</w:t>
            </w:r>
          </w:p>
        </w:tc>
        <w:tc>
          <w:tcPr>
            <w:tcW w:w="920" w:type="dxa"/>
            <w:vAlign w:val="bottom"/>
          </w:tcPr>
          <w:p>
            <w:pPr>
              <w:jc w:val="right"/>
              <w:ind w:right="5"/>
              <w:spacing w:after="0"/>
              <w:rPr>
                <w:sz w:val="20"/>
                <w:szCs w:val="20"/>
                <w:color w:val="auto"/>
              </w:rPr>
            </w:pPr>
            <w:r>
              <w:rPr>
                <w:rFonts w:ascii="Arial" w:cs="Arial" w:eastAsia="Arial" w:hAnsi="Arial"/>
                <w:sz w:val="15"/>
                <w:szCs w:val="15"/>
                <w:color w:val="183964"/>
              </w:rPr>
              <w:t>7,731</w:t>
            </w:r>
          </w:p>
        </w:tc>
      </w:tr>
      <w:tr>
        <w:trPr>
          <w:trHeight w:val="25"/>
        </w:trPr>
        <w:tc>
          <w:tcPr>
            <w:tcW w:w="760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2"/>
        </w:trPr>
        <w:tc>
          <w:tcPr>
            <w:tcW w:w="7600" w:type="dxa"/>
            <w:vAlign w:val="bottom"/>
          </w:tcPr>
          <w:p>
            <w:pPr>
              <w:ind w:left="20"/>
              <w:spacing w:after="0"/>
              <w:rPr>
                <w:sz w:val="20"/>
                <w:szCs w:val="20"/>
                <w:color w:val="auto"/>
              </w:rPr>
            </w:pPr>
            <w:r>
              <w:rPr>
                <w:rFonts w:ascii="Arial" w:cs="Arial" w:eastAsia="Arial" w:hAnsi="Arial"/>
                <w:sz w:val="15"/>
                <w:szCs w:val="15"/>
                <w:b w:val="1"/>
                <w:bCs w:val="1"/>
                <w:color w:val="auto"/>
              </w:rPr>
              <w:t>Finance costs</w:t>
            </w:r>
          </w:p>
        </w:tc>
        <w:tc>
          <w:tcPr>
            <w:tcW w:w="27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43"/>
        </w:trPr>
        <w:tc>
          <w:tcPr>
            <w:tcW w:w="7600" w:type="dxa"/>
            <w:vAlign w:val="bottom"/>
          </w:tcPr>
          <w:p>
            <w:pPr>
              <w:ind w:left="20"/>
              <w:spacing w:after="0"/>
              <w:rPr>
                <w:sz w:val="20"/>
                <w:szCs w:val="20"/>
                <w:color w:val="auto"/>
              </w:rPr>
            </w:pPr>
            <w:r>
              <w:rPr>
                <w:rFonts w:ascii="Arial" w:cs="Arial" w:eastAsia="Arial" w:hAnsi="Arial"/>
                <w:sz w:val="15"/>
                <w:szCs w:val="15"/>
                <w:color w:val="auto"/>
              </w:rPr>
              <w:t>Contractual interest expense on notes payable</w:t>
            </w:r>
          </w:p>
        </w:tc>
        <w:tc>
          <w:tcPr>
            <w:tcW w:w="2700" w:type="dxa"/>
            <w:vAlign w:val="bottom"/>
          </w:tcPr>
          <w:p>
            <w:pPr>
              <w:jc w:val="right"/>
              <w:ind w:right="325"/>
              <w:spacing w:after="0"/>
              <w:rPr>
                <w:sz w:val="20"/>
                <w:szCs w:val="20"/>
                <w:color w:val="auto"/>
              </w:rPr>
            </w:pPr>
            <w:r>
              <w:rPr>
                <w:rFonts w:ascii="Arial" w:cs="Arial" w:eastAsia="Arial" w:hAnsi="Arial"/>
                <w:sz w:val="15"/>
                <w:szCs w:val="15"/>
                <w:b w:val="1"/>
                <w:bCs w:val="1"/>
                <w:color w:val="auto"/>
              </w:rPr>
              <w:t>(328)</w:t>
            </w:r>
          </w:p>
        </w:tc>
        <w:tc>
          <w:tcPr>
            <w:tcW w:w="920" w:type="dxa"/>
            <w:vAlign w:val="bottom"/>
          </w:tcPr>
          <w:p>
            <w:pPr>
              <w:jc w:val="right"/>
              <w:spacing w:after="0"/>
              <w:rPr>
                <w:sz w:val="20"/>
                <w:szCs w:val="20"/>
                <w:color w:val="auto"/>
              </w:rPr>
            </w:pPr>
            <w:r>
              <w:rPr>
                <w:rFonts w:ascii="Arial" w:cs="Arial" w:eastAsia="Arial" w:hAnsi="Arial"/>
                <w:sz w:val="15"/>
                <w:szCs w:val="15"/>
                <w:color w:val="183964"/>
              </w:rPr>
              <w:t>(82)</w:t>
            </w:r>
          </w:p>
        </w:tc>
      </w:tr>
      <w:tr>
        <w:trPr>
          <w:trHeight w:val="243"/>
        </w:trPr>
        <w:tc>
          <w:tcPr>
            <w:tcW w:w="7600" w:type="dxa"/>
            <w:vAlign w:val="bottom"/>
          </w:tcPr>
          <w:p>
            <w:pPr>
              <w:ind w:left="20"/>
              <w:spacing w:after="0"/>
              <w:rPr>
                <w:sz w:val="20"/>
                <w:szCs w:val="20"/>
                <w:color w:val="auto"/>
              </w:rPr>
            </w:pPr>
            <w:r>
              <w:rPr>
                <w:rFonts w:ascii="Arial" w:cs="Arial" w:eastAsia="Arial" w:hAnsi="Arial"/>
                <w:sz w:val="15"/>
                <w:szCs w:val="15"/>
                <w:color w:val="auto"/>
              </w:rPr>
              <w:t>Interest expense on other borrowings</w:t>
            </w:r>
          </w:p>
        </w:tc>
        <w:tc>
          <w:tcPr>
            <w:tcW w:w="2700" w:type="dxa"/>
            <w:vAlign w:val="bottom"/>
          </w:tcPr>
          <w:p>
            <w:pPr>
              <w:jc w:val="right"/>
              <w:ind w:right="385"/>
              <w:spacing w:after="0"/>
              <w:rPr>
                <w:sz w:val="20"/>
                <w:szCs w:val="20"/>
                <w:color w:val="auto"/>
              </w:rPr>
            </w:pPr>
            <w:r>
              <w:rPr>
                <w:rFonts w:ascii="Arial" w:cs="Arial" w:eastAsia="Arial" w:hAnsi="Arial"/>
                <w:sz w:val="15"/>
                <w:szCs w:val="15"/>
                <w:b w:val="1"/>
                <w:bCs w:val="1"/>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183964"/>
              </w:rPr>
              <w:t>(363)</w:t>
            </w:r>
          </w:p>
        </w:tc>
      </w:tr>
      <w:tr>
        <w:trPr>
          <w:trHeight w:val="243"/>
        </w:trPr>
        <w:tc>
          <w:tcPr>
            <w:tcW w:w="7600" w:type="dxa"/>
            <w:vAlign w:val="bottom"/>
          </w:tcPr>
          <w:p>
            <w:pPr>
              <w:ind w:left="20"/>
              <w:spacing w:after="0"/>
              <w:rPr>
                <w:sz w:val="20"/>
                <w:szCs w:val="20"/>
                <w:color w:val="auto"/>
              </w:rPr>
            </w:pPr>
            <w:r>
              <w:rPr>
                <w:rFonts w:ascii="Arial" w:cs="Arial" w:eastAsia="Arial" w:hAnsi="Arial"/>
                <w:sz w:val="15"/>
                <w:szCs w:val="15"/>
                <w:color w:val="auto"/>
              </w:rPr>
              <w:t>Interest expense on lease liability</w:t>
            </w:r>
          </w:p>
        </w:tc>
        <w:tc>
          <w:tcPr>
            <w:tcW w:w="2700" w:type="dxa"/>
            <w:vAlign w:val="bottom"/>
          </w:tcPr>
          <w:p>
            <w:pPr>
              <w:jc w:val="right"/>
              <w:ind w:right="325"/>
              <w:spacing w:after="0"/>
              <w:rPr>
                <w:sz w:val="20"/>
                <w:szCs w:val="20"/>
                <w:color w:val="auto"/>
              </w:rPr>
            </w:pPr>
            <w:r>
              <w:rPr>
                <w:rFonts w:ascii="Arial" w:cs="Arial" w:eastAsia="Arial" w:hAnsi="Arial"/>
                <w:sz w:val="15"/>
                <w:szCs w:val="15"/>
                <w:b w:val="1"/>
                <w:bCs w:val="1"/>
                <w:color w:val="auto"/>
              </w:rPr>
              <w:t>(675)</w:t>
            </w:r>
          </w:p>
        </w:tc>
        <w:tc>
          <w:tcPr>
            <w:tcW w:w="920" w:type="dxa"/>
            <w:vAlign w:val="bottom"/>
          </w:tcPr>
          <w:p>
            <w:pPr>
              <w:jc w:val="right"/>
              <w:spacing w:after="0"/>
              <w:rPr>
                <w:sz w:val="20"/>
                <w:szCs w:val="20"/>
                <w:color w:val="auto"/>
              </w:rPr>
            </w:pPr>
            <w:r>
              <w:rPr>
                <w:rFonts w:ascii="Arial" w:cs="Arial" w:eastAsia="Arial" w:hAnsi="Arial"/>
                <w:sz w:val="15"/>
                <w:szCs w:val="15"/>
                <w:color w:val="183964"/>
              </w:rPr>
              <w:t>(817)</w:t>
            </w:r>
          </w:p>
        </w:tc>
      </w:tr>
      <w:tr>
        <w:trPr>
          <w:trHeight w:val="243"/>
        </w:trPr>
        <w:tc>
          <w:tcPr>
            <w:tcW w:w="7600" w:type="dxa"/>
            <w:vAlign w:val="bottom"/>
          </w:tcPr>
          <w:p>
            <w:pPr>
              <w:ind w:left="20"/>
              <w:spacing w:after="0"/>
              <w:rPr>
                <w:sz w:val="20"/>
                <w:szCs w:val="20"/>
                <w:color w:val="auto"/>
              </w:rPr>
            </w:pPr>
            <w:r>
              <w:rPr>
                <w:rFonts w:ascii="Arial" w:cs="Arial" w:eastAsia="Arial" w:hAnsi="Arial"/>
                <w:sz w:val="15"/>
                <w:szCs w:val="15"/>
                <w:color w:val="auto"/>
              </w:rPr>
              <w:t>Gain/(loss) on foreign currency exchange</w:t>
            </w:r>
          </w:p>
        </w:tc>
        <w:tc>
          <w:tcPr>
            <w:tcW w:w="2700" w:type="dxa"/>
            <w:vAlign w:val="bottom"/>
          </w:tcPr>
          <w:p>
            <w:pPr>
              <w:jc w:val="right"/>
              <w:ind w:right="325"/>
              <w:spacing w:after="0"/>
              <w:rPr>
                <w:sz w:val="20"/>
                <w:szCs w:val="20"/>
                <w:color w:val="auto"/>
              </w:rPr>
            </w:pPr>
            <w:r>
              <w:rPr>
                <w:rFonts w:ascii="Arial" w:cs="Arial" w:eastAsia="Arial" w:hAnsi="Arial"/>
                <w:sz w:val="15"/>
                <w:szCs w:val="15"/>
                <w:b w:val="1"/>
                <w:bCs w:val="1"/>
                <w:color w:val="auto"/>
              </w:rPr>
              <w:t>(33)</w:t>
            </w:r>
          </w:p>
        </w:tc>
        <w:tc>
          <w:tcPr>
            <w:tcW w:w="920" w:type="dxa"/>
            <w:vAlign w:val="bottom"/>
          </w:tcPr>
          <w:p>
            <w:pPr>
              <w:jc w:val="right"/>
              <w:spacing w:after="0"/>
              <w:rPr>
                <w:sz w:val="20"/>
                <w:szCs w:val="20"/>
                <w:color w:val="auto"/>
              </w:rPr>
            </w:pPr>
            <w:r>
              <w:rPr>
                <w:rFonts w:ascii="Arial" w:cs="Arial" w:eastAsia="Arial" w:hAnsi="Arial"/>
                <w:sz w:val="15"/>
                <w:szCs w:val="15"/>
                <w:color w:val="183964"/>
              </w:rPr>
              <w:t>(76)</w:t>
            </w:r>
          </w:p>
        </w:tc>
      </w:tr>
      <w:tr>
        <w:trPr>
          <w:trHeight w:val="25"/>
        </w:trPr>
        <w:tc>
          <w:tcPr>
            <w:tcW w:w="760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1"/>
        </w:trPr>
        <w:tc>
          <w:tcPr>
            <w:tcW w:w="7600" w:type="dxa"/>
            <w:vAlign w:val="bottom"/>
          </w:tcPr>
          <w:p>
            <w:pPr>
              <w:ind w:left="20"/>
              <w:spacing w:after="0"/>
              <w:rPr>
                <w:sz w:val="20"/>
                <w:szCs w:val="20"/>
                <w:color w:val="auto"/>
              </w:rPr>
            </w:pPr>
            <w:r>
              <w:rPr>
                <w:rFonts w:ascii="Arial" w:cs="Arial" w:eastAsia="Arial" w:hAnsi="Arial"/>
                <w:sz w:val="15"/>
                <w:szCs w:val="15"/>
                <w:b w:val="1"/>
                <w:bCs w:val="1"/>
                <w:color w:val="auto"/>
              </w:rPr>
              <w:t>Total finance cost – contractual</w:t>
            </w:r>
          </w:p>
        </w:tc>
        <w:tc>
          <w:tcPr>
            <w:tcW w:w="2700" w:type="dxa"/>
            <w:vAlign w:val="bottom"/>
          </w:tcPr>
          <w:p>
            <w:pPr>
              <w:jc w:val="right"/>
              <w:ind w:right="325"/>
              <w:spacing w:after="0"/>
              <w:rPr>
                <w:sz w:val="20"/>
                <w:szCs w:val="20"/>
                <w:color w:val="auto"/>
              </w:rPr>
            </w:pPr>
            <w:r>
              <w:rPr>
                <w:rFonts w:ascii="Arial" w:cs="Arial" w:eastAsia="Arial" w:hAnsi="Arial"/>
                <w:sz w:val="15"/>
                <w:szCs w:val="15"/>
                <w:b w:val="1"/>
                <w:bCs w:val="1"/>
                <w:color w:val="auto"/>
              </w:rPr>
              <w:t>(1,036)</w:t>
            </w:r>
          </w:p>
        </w:tc>
        <w:tc>
          <w:tcPr>
            <w:tcW w:w="920" w:type="dxa"/>
            <w:vAlign w:val="bottom"/>
          </w:tcPr>
          <w:p>
            <w:pPr>
              <w:jc w:val="right"/>
              <w:spacing w:after="0"/>
              <w:rPr>
                <w:sz w:val="20"/>
                <w:szCs w:val="20"/>
                <w:color w:val="auto"/>
              </w:rPr>
            </w:pPr>
            <w:r>
              <w:rPr>
                <w:rFonts w:ascii="Arial" w:cs="Arial" w:eastAsia="Arial" w:hAnsi="Arial"/>
                <w:sz w:val="15"/>
                <w:szCs w:val="15"/>
                <w:color w:val="183964"/>
              </w:rPr>
              <w:t>(1,338)</w:t>
            </w:r>
          </w:p>
        </w:tc>
      </w:tr>
      <w:tr>
        <w:trPr>
          <w:trHeight w:val="25"/>
        </w:trPr>
        <w:tc>
          <w:tcPr>
            <w:tcW w:w="760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2"/>
        </w:trPr>
        <w:tc>
          <w:tcPr>
            <w:tcW w:w="7600" w:type="dxa"/>
            <w:vAlign w:val="bottom"/>
          </w:tcPr>
          <w:p>
            <w:pPr>
              <w:ind w:left="20"/>
              <w:spacing w:after="0"/>
              <w:rPr>
                <w:sz w:val="20"/>
                <w:szCs w:val="20"/>
                <w:color w:val="auto"/>
              </w:rPr>
            </w:pPr>
            <w:r>
              <w:rPr>
                <w:rFonts w:ascii="Arial" w:cs="Arial" w:eastAsia="Arial" w:hAnsi="Arial"/>
                <w:sz w:val="15"/>
                <w:szCs w:val="15"/>
                <w:color w:val="auto"/>
              </w:rPr>
              <w:t>Gain/(loss) from change in fair value of warrant liability</w:t>
            </w:r>
          </w:p>
        </w:tc>
        <w:tc>
          <w:tcPr>
            <w:tcW w:w="2700" w:type="dxa"/>
            <w:vAlign w:val="bottom"/>
          </w:tcPr>
          <w:p>
            <w:pPr>
              <w:jc w:val="right"/>
              <w:ind w:right="385"/>
              <w:spacing w:after="0"/>
              <w:rPr>
                <w:sz w:val="20"/>
                <w:szCs w:val="20"/>
                <w:color w:val="auto"/>
              </w:rPr>
            </w:pPr>
            <w:r>
              <w:rPr>
                <w:rFonts w:ascii="Arial" w:cs="Arial" w:eastAsia="Arial" w:hAnsi="Arial"/>
                <w:sz w:val="15"/>
                <w:szCs w:val="15"/>
                <w:b w:val="1"/>
                <w:bCs w:val="1"/>
                <w:color w:val="auto"/>
              </w:rPr>
              <w:t>—</w:t>
            </w:r>
          </w:p>
        </w:tc>
        <w:tc>
          <w:tcPr>
            <w:tcW w:w="920" w:type="dxa"/>
            <w:vAlign w:val="bottom"/>
          </w:tcPr>
          <w:p>
            <w:pPr>
              <w:jc w:val="right"/>
              <w:ind w:right="5"/>
              <w:spacing w:after="0"/>
              <w:rPr>
                <w:sz w:val="20"/>
                <w:szCs w:val="20"/>
                <w:color w:val="auto"/>
              </w:rPr>
            </w:pPr>
            <w:r>
              <w:rPr>
                <w:rFonts w:ascii="Arial" w:cs="Arial" w:eastAsia="Arial" w:hAnsi="Arial"/>
                <w:sz w:val="15"/>
                <w:szCs w:val="15"/>
                <w:color w:val="183964"/>
              </w:rPr>
              <w:t>33</w:t>
            </w:r>
          </w:p>
        </w:tc>
      </w:tr>
      <w:tr>
        <w:trPr>
          <w:trHeight w:val="243"/>
        </w:trPr>
        <w:tc>
          <w:tcPr>
            <w:tcW w:w="7600" w:type="dxa"/>
            <w:vAlign w:val="bottom"/>
          </w:tcPr>
          <w:p>
            <w:pPr>
              <w:ind w:left="20"/>
              <w:spacing w:after="0"/>
              <w:rPr>
                <w:sz w:val="20"/>
                <w:szCs w:val="20"/>
                <w:color w:val="auto"/>
              </w:rPr>
            </w:pPr>
            <w:r>
              <w:rPr>
                <w:rFonts w:ascii="Arial" w:cs="Arial" w:eastAsia="Arial" w:hAnsi="Arial"/>
                <w:sz w:val="15"/>
                <w:szCs w:val="15"/>
                <w:color w:val="auto"/>
              </w:rPr>
              <w:t>Gain/(loss) from change in fair value of preferred shares</w:t>
            </w:r>
          </w:p>
        </w:tc>
        <w:tc>
          <w:tcPr>
            <w:tcW w:w="2700" w:type="dxa"/>
            <w:vAlign w:val="bottom"/>
          </w:tcPr>
          <w:p>
            <w:pPr>
              <w:jc w:val="right"/>
              <w:ind w:right="325"/>
              <w:spacing w:after="0"/>
              <w:rPr>
                <w:sz w:val="20"/>
                <w:szCs w:val="20"/>
                <w:color w:val="auto"/>
              </w:rPr>
            </w:pPr>
            <w:r>
              <w:rPr>
                <w:rFonts w:ascii="Arial" w:cs="Arial" w:eastAsia="Arial" w:hAnsi="Arial"/>
                <w:sz w:val="15"/>
                <w:szCs w:val="15"/>
                <w:b w:val="1"/>
                <w:bCs w:val="1"/>
                <w:color w:val="auto"/>
              </w:rPr>
              <w:t>(1,613)</w:t>
            </w:r>
          </w:p>
        </w:tc>
        <w:tc>
          <w:tcPr>
            <w:tcW w:w="920" w:type="dxa"/>
            <w:vAlign w:val="bottom"/>
          </w:tcPr>
          <w:p>
            <w:pPr>
              <w:jc w:val="right"/>
              <w:ind w:right="5"/>
              <w:spacing w:after="0"/>
              <w:rPr>
                <w:sz w:val="20"/>
                <w:szCs w:val="20"/>
                <w:color w:val="auto"/>
              </w:rPr>
            </w:pPr>
            <w:r>
              <w:rPr>
                <w:rFonts w:ascii="Arial" w:cs="Arial" w:eastAsia="Arial" w:hAnsi="Arial"/>
                <w:sz w:val="15"/>
                <w:szCs w:val="15"/>
                <w:color w:val="183964"/>
              </w:rPr>
              <w:t>2,617</w:t>
            </w:r>
          </w:p>
        </w:tc>
      </w:tr>
      <w:tr>
        <w:trPr>
          <w:trHeight w:val="25"/>
        </w:trPr>
        <w:tc>
          <w:tcPr>
            <w:tcW w:w="760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1"/>
        </w:trPr>
        <w:tc>
          <w:tcPr>
            <w:tcW w:w="7600" w:type="dxa"/>
            <w:vAlign w:val="bottom"/>
          </w:tcPr>
          <w:p>
            <w:pPr>
              <w:ind w:left="20"/>
              <w:spacing w:after="0"/>
              <w:rPr>
                <w:sz w:val="20"/>
                <w:szCs w:val="20"/>
                <w:color w:val="auto"/>
              </w:rPr>
            </w:pPr>
            <w:r>
              <w:rPr>
                <w:rFonts w:ascii="Arial" w:cs="Arial" w:eastAsia="Arial" w:hAnsi="Arial"/>
                <w:sz w:val="15"/>
                <w:szCs w:val="15"/>
                <w:b w:val="1"/>
                <w:bCs w:val="1"/>
                <w:color w:val="auto"/>
              </w:rPr>
              <w:t>Total finance income/(costs) – fair value accounting</w:t>
            </w:r>
          </w:p>
        </w:tc>
        <w:tc>
          <w:tcPr>
            <w:tcW w:w="2700" w:type="dxa"/>
            <w:vAlign w:val="bottom"/>
          </w:tcPr>
          <w:p>
            <w:pPr>
              <w:jc w:val="right"/>
              <w:ind w:right="325"/>
              <w:spacing w:after="0"/>
              <w:rPr>
                <w:sz w:val="20"/>
                <w:szCs w:val="20"/>
                <w:color w:val="auto"/>
              </w:rPr>
            </w:pPr>
            <w:r>
              <w:rPr>
                <w:rFonts w:ascii="Arial" w:cs="Arial" w:eastAsia="Arial" w:hAnsi="Arial"/>
                <w:sz w:val="15"/>
                <w:szCs w:val="15"/>
                <w:b w:val="1"/>
                <w:bCs w:val="1"/>
                <w:color w:val="auto"/>
              </w:rPr>
              <w:t>(1,613)</w:t>
            </w:r>
          </w:p>
        </w:tc>
        <w:tc>
          <w:tcPr>
            <w:tcW w:w="920" w:type="dxa"/>
            <w:vAlign w:val="bottom"/>
          </w:tcPr>
          <w:p>
            <w:pPr>
              <w:jc w:val="right"/>
              <w:ind w:right="5"/>
              <w:spacing w:after="0"/>
              <w:rPr>
                <w:sz w:val="20"/>
                <w:szCs w:val="20"/>
                <w:color w:val="auto"/>
              </w:rPr>
            </w:pPr>
            <w:r>
              <w:rPr>
                <w:rFonts w:ascii="Arial" w:cs="Arial" w:eastAsia="Arial" w:hAnsi="Arial"/>
                <w:sz w:val="15"/>
                <w:szCs w:val="15"/>
                <w:color w:val="183964"/>
              </w:rPr>
              <w:t>2,650</w:t>
            </w:r>
          </w:p>
        </w:tc>
      </w:tr>
      <w:tr>
        <w:trPr>
          <w:trHeight w:val="25"/>
        </w:trPr>
        <w:tc>
          <w:tcPr>
            <w:tcW w:w="760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2"/>
        </w:trPr>
        <w:tc>
          <w:tcPr>
            <w:tcW w:w="7600" w:type="dxa"/>
            <w:vAlign w:val="bottom"/>
          </w:tcPr>
          <w:p>
            <w:pPr>
              <w:ind w:left="20"/>
              <w:spacing w:after="0"/>
              <w:rPr>
                <w:sz w:val="20"/>
                <w:szCs w:val="20"/>
                <w:color w:val="auto"/>
              </w:rPr>
            </w:pPr>
            <w:r>
              <w:rPr>
                <w:rFonts w:ascii="Arial" w:cs="Arial" w:eastAsia="Arial" w:hAnsi="Arial"/>
                <w:sz w:val="15"/>
                <w:szCs w:val="15"/>
                <w:b w:val="1"/>
                <w:bCs w:val="1"/>
                <w:color w:val="auto"/>
              </w:rPr>
              <w:t>Total finance costs - non cash interest expense related to sale of future royalties</w:t>
            </w:r>
          </w:p>
        </w:tc>
        <w:tc>
          <w:tcPr>
            <w:tcW w:w="2700" w:type="dxa"/>
            <w:vAlign w:val="bottom"/>
          </w:tcPr>
          <w:p>
            <w:pPr>
              <w:jc w:val="right"/>
              <w:ind w:right="325"/>
              <w:spacing w:after="0"/>
              <w:rPr>
                <w:sz w:val="20"/>
                <w:szCs w:val="20"/>
                <w:color w:val="auto"/>
              </w:rPr>
            </w:pPr>
            <w:r>
              <w:rPr>
                <w:rFonts w:ascii="Arial" w:cs="Arial" w:eastAsia="Arial" w:hAnsi="Arial"/>
                <w:sz w:val="15"/>
                <w:szCs w:val="15"/>
                <w:b w:val="1"/>
                <w:bCs w:val="1"/>
                <w:color w:val="auto"/>
              </w:rPr>
              <w:t>(10,551)</w:t>
            </w:r>
          </w:p>
        </w:tc>
        <w:tc>
          <w:tcPr>
            <w:tcW w:w="920" w:type="dxa"/>
            <w:vAlign w:val="bottom"/>
          </w:tcPr>
          <w:p>
            <w:pPr>
              <w:jc w:val="right"/>
              <w:spacing w:after="0"/>
              <w:rPr>
                <w:sz w:val="20"/>
                <w:szCs w:val="20"/>
                <w:color w:val="auto"/>
              </w:rPr>
            </w:pPr>
            <w:r>
              <w:rPr>
                <w:rFonts w:ascii="Arial" w:cs="Arial" w:eastAsia="Arial" w:hAnsi="Arial"/>
                <w:sz w:val="15"/>
                <w:szCs w:val="15"/>
                <w:color w:val="183964"/>
              </w:rPr>
              <w:t>(3,726)</w:t>
            </w:r>
          </w:p>
        </w:tc>
      </w:tr>
      <w:tr>
        <w:trPr>
          <w:trHeight w:val="25"/>
        </w:trPr>
        <w:tc>
          <w:tcPr>
            <w:tcW w:w="760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2"/>
        </w:trPr>
        <w:tc>
          <w:tcPr>
            <w:tcW w:w="7600" w:type="dxa"/>
            <w:vAlign w:val="bottom"/>
          </w:tcPr>
          <w:p>
            <w:pPr>
              <w:ind w:left="20"/>
              <w:spacing w:after="0"/>
              <w:rPr>
                <w:sz w:val="20"/>
                <w:szCs w:val="20"/>
                <w:color w:val="auto"/>
              </w:rPr>
            </w:pPr>
            <w:r>
              <w:rPr>
                <w:rFonts w:ascii="Arial" w:cs="Arial" w:eastAsia="Arial" w:hAnsi="Arial"/>
                <w:sz w:val="15"/>
                <w:szCs w:val="15"/>
                <w:b w:val="1"/>
                <w:bCs w:val="1"/>
                <w:color w:val="auto"/>
              </w:rPr>
              <w:t>Finance income/(costs), net</w:t>
            </w:r>
          </w:p>
        </w:tc>
        <w:tc>
          <w:tcPr>
            <w:tcW w:w="2700" w:type="dxa"/>
            <w:vAlign w:val="bottom"/>
          </w:tcPr>
          <w:p>
            <w:pPr>
              <w:jc w:val="right"/>
              <w:ind w:right="325"/>
              <w:spacing w:after="0"/>
              <w:rPr>
                <w:sz w:val="20"/>
                <w:szCs w:val="20"/>
                <w:color w:val="auto"/>
              </w:rPr>
            </w:pPr>
            <w:r>
              <w:rPr>
                <w:rFonts w:ascii="Arial" w:cs="Arial" w:eastAsia="Arial" w:hAnsi="Arial"/>
                <w:sz w:val="15"/>
                <w:szCs w:val="15"/>
                <w:b w:val="1"/>
                <w:bCs w:val="1"/>
                <w:color w:val="auto"/>
              </w:rPr>
              <w:t>(1,468)</w:t>
            </w:r>
          </w:p>
        </w:tc>
        <w:tc>
          <w:tcPr>
            <w:tcW w:w="920" w:type="dxa"/>
            <w:vAlign w:val="bottom"/>
          </w:tcPr>
          <w:p>
            <w:pPr>
              <w:jc w:val="right"/>
              <w:ind w:right="5"/>
              <w:spacing w:after="0"/>
              <w:rPr>
                <w:sz w:val="20"/>
                <w:szCs w:val="20"/>
                <w:color w:val="auto"/>
              </w:rPr>
            </w:pPr>
            <w:r>
              <w:rPr>
                <w:rFonts w:ascii="Arial" w:cs="Arial" w:eastAsia="Arial" w:hAnsi="Arial"/>
                <w:sz w:val="15"/>
                <w:szCs w:val="15"/>
                <w:color w:val="183964"/>
              </w:rPr>
              <w:t>5,316</w:t>
            </w:r>
          </w:p>
        </w:tc>
      </w:tr>
      <w:tr>
        <w:trPr>
          <w:trHeight w:val="25"/>
        </w:trPr>
        <w:tc>
          <w:tcPr>
            <w:tcW w:w="760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51" w:lineRule="exact"/>
        <w:rPr>
          <w:sz w:val="20"/>
          <w:szCs w:val="20"/>
          <w:color w:val="auto"/>
        </w:rPr>
      </w:pPr>
    </w:p>
    <w:p>
      <w:pPr>
        <w:ind w:left="300" w:hanging="292"/>
        <w:spacing w:after="0"/>
        <w:tabs>
          <w:tab w:leader="none" w:pos="300" w:val="left"/>
        </w:tabs>
        <w:numPr>
          <w:ilvl w:val="0"/>
          <w:numId w:val="22"/>
        </w:numPr>
        <w:rPr>
          <w:rFonts w:ascii="Arial" w:cs="Arial" w:eastAsia="Arial" w:hAnsi="Arial"/>
          <w:sz w:val="15"/>
          <w:szCs w:val="15"/>
          <w:b w:val="1"/>
          <w:bCs w:val="1"/>
          <w:color w:val="183964"/>
        </w:rPr>
      </w:pPr>
      <w:r>
        <w:rPr>
          <w:rFonts w:ascii="Arial" w:cs="Arial" w:eastAsia="Arial" w:hAnsi="Arial"/>
          <w:sz w:val="15"/>
          <w:szCs w:val="15"/>
          <w:b w:val="1"/>
          <w:bCs w:val="1"/>
          <w:color w:val="183964"/>
        </w:rPr>
        <w:t>Earnings/(Loss) per Share</w:t>
      </w:r>
    </w:p>
    <w:p>
      <w:pPr>
        <w:spacing w:after="0" w:line="100" w:lineRule="exact"/>
        <w:rPr>
          <w:sz w:val="20"/>
          <w:szCs w:val="20"/>
          <w:color w:val="auto"/>
        </w:rPr>
      </w:pPr>
    </w:p>
    <w:p>
      <w:pPr>
        <w:ind w:right="480"/>
        <w:spacing w:after="0" w:line="301" w:lineRule="auto"/>
        <w:rPr>
          <w:sz w:val="20"/>
          <w:szCs w:val="20"/>
          <w:color w:val="auto"/>
        </w:rPr>
      </w:pPr>
      <w:r>
        <w:rPr>
          <w:rFonts w:ascii="Arial" w:cs="Arial" w:eastAsia="Arial" w:hAnsi="Arial"/>
          <w:sz w:val="15"/>
          <w:szCs w:val="15"/>
          <w:color w:val="auto"/>
        </w:rPr>
        <w:t>Basic earnings/(loss) per share is computed by dividing the Group's income or loss for the period attributable to ordinary shareholders by the weighted average number of ordinary shares outstanding, net of treasury shares.</w:t>
      </w:r>
    </w:p>
    <w:p>
      <w:pPr>
        <w:spacing w:after="0" w:line="26" w:lineRule="exact"/>
        <w:rPr>
          <w:sz w:val="20"/>
          <w:szCs w:val="20"/>
          <w:color w:val="auto"/>
        </w:rPr>
      </w:pPr>
    </w:p>
    <w:p>
      <w:pPr>
        <w:ind w:right="320"/>
        <w:spacing w:after="0" w:line="273" w:lineRule="auto"/>
        <w:rPr>
          <w:sz w:val="20"/>
          <w:szCs w:val="20"/>
          <w:color w:val="auto"/>
        </w:rPr>
      </w:pPr>
      <w:r>
        <w:rPr>
          <w:rFonts w:ascii="Arial" w:cs="Arial" w:eastAsia="Arial" w:hAnsi="Arial"/>
          <w:sz w:val="15"/>
          <w:szCs w:val="15"/>
          <w:color w:val="auto"/>
        </w:rPr>
        <w:t>Dilutive earnings/loss per share is computed by dividing the Group's income or loss for the period attributable to ordinary shareholders by the weighted average number of ordinary shares outstanding, net of treasury shares, plus the weighted average number of ordinary shares that would be issued at conversion of all the dilutive potential securities into ordinary shares. Dilutive effects arise from equity-settled shares from the Group's share-based plans.</w:t>
      </w:r>
    </w:p>
    <w:p>
      <w:pPr>
        <w:spacing w:after="0" w:line="59" w:lineRule="exact"/>
        <w:rPr>
          <w:sz w:val="20"/>
          <w:szCs w:val="20"/>
          <w:color w:val="auto"/>
        </w:rPr>
      </w:pPr>
    </w:p>
    <w:p>
      <w:pPr>
        <w:ind w:right="120"/>
        <w:spacing w:after="0" w:line="261" w:lineRule="auto"/>
        <w:rPr>
          <w:sz w:val="20"/>
          <w:szCs w:val="20"/>
          <w:color w:val="auto"/>
        </w:rPr>
      </w:pPr>
      <w:r>
        <w:rPr>
          <w:rFonts w:ascii="Arial" w:cs="Arial" w:eastAsia="Arial" w:hAnsi="Arial"/>
          <w:sz w:val="15"/>
          <w:szCs w:val="15"/>
          <w:color w:val="auto"/>
        </w:rPr>
        <w:t>During the six months ended June 30, 2024 and 2023, the Group incurred a net loss, and therefore, all outstanding potential securities were considered anti-dilutive. The amount of potential securities that were excluded from the diluted calculation amounted to 1,637,694 and 1,878,514 shares for the six months ended 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440" w:type="dxa"/>
            <w:vAlign w:val="bottom"/>
          </w:tcPr>
          <w:p>
            <w:pPr>
              <w:spacing w:after="0"/>
              <w:rPr>
                <w:sz w:val="20"/>
                <w:szCs w:val="20"/>
                <w:color w:val="auto"/>
              </w:rPr>
            </w:pPr>
            <w:r>
              <w:rPr>
                <w:rFonts w:ascii="Arial" w:cs="Arial" w:eastAsia="Arial" w:hAnsi="Arial"/>
                <w:sz w:val="15"/>
                <w:szCs w:val="15"/>
                <w:color w:val="auto"/>
              </w:rPr>
              <w:t>2024 and 2023, respectively.</w:t>
            </w: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59"/>
        </w:trPr>
        <w:tc>
          <w:tcPr>
            <w:tcW w:w="8440" w:type="dxa"/>
            <w:vAlign w:val="bottom"/>
          </w:tcPr>
          <w:p>
            <w:pPr>
              <w:spacing w:after="0"/>
              <w:rPr>
                <w:sz w:val="20"/>
                <w:szCs w:val="20"/>
                <w:color w:val="auto"/>
              </w:rPr>
            </w:pPr>
            <w:r>
              <w:rPr>
                <w:rFonts w:ascii="Arial" w:cs="Arial" w:eastAsia="Arial" w:hAnsi="Arial"/>
                <w:sz w:val="15"/>
                <w:szCs w:val="15"/>
                <w:color w:val="auto"/>
              </w:rPr>
              <w:t>The following table sets forth the computation of basic and diluted earnings/(loss) per share for the periods presented:</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316"/>
        </w:trPr>
        <w:tc>
          <w:tcPr>
            <w:tcW w:w="8440" w:type="dxa"/>
            <w:vAlign w:val="bottom"/>
          </w:tcPr>
          <w:p>
            <w:pPr>
              <w:ind w:left="20"/>
              <w:spacing w:after="0"/>
              <w:rPr>
                <w:sz w:val="20"/>
                <w:szCs w:val="20"/>
                <w:color w:val="auto"/>
              </w:rPr>
            </w:pPr>
            <w:r>
              <w:rPr>
                <w:rFonts w:ascii="Calibri" w:cs="Calibri" w:eastAsia="Calibri" w:hAnsi="Calibri"/>
                <w:sz w:val="16"/>
                <w:szCs w:val="16"/>
                <w:color w:val="auto"/>
              </w:rPr>
              <w:t>ForForfor For the six months ended June 30,</w:t>
            </w:r>
          </w:p>
        </w:tc>
        <w:tc>
          <w:tcPr>
            <w:tcW w:w="140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183964"/>
              </w:rPr>
              <w:t>2023</w:t>
            </w:r>
          </w:p>
        </w:tc>
      </w:tr>
      <w:tr>
        <w:trPr>
          <w:trHeight w:val="41"/>
        </w:trPr>
        <w:tc>
          <w:tcPr>
            <w:tcW w:w="8440" w:type="dxa"/>
            <w:vAlign w:val="bottom"/>
            <w:tcBorders>
              <w:bottom w:val="single" w:sz="8" w:color="183964"/>
            </w:tcBorders>
          </w:tcPr>
          <w:p>
            <w:pPr>
              <w:spacing w:after="0"/>
              <w:rPr>
                <w:sz w:val="3"/>
                <w:szCs w:val="3"/>
                <w:color w:val="auto"/>
              </w:rPr>
            </w:pPr>
          </w:p>
        </w:tc>
        <w:tc>
          <w:tcPr>
            <w:tcW w:w="1400" w:type="dxa"/>
            <w:vAlign w:val="bottom"/>
            <w:tcBorders>
              <w:bottom w:val="single" w:sz="8" w:color="183964"/>
            </w:tcBorders>
          </w:tcPr>
          <w:p>
            <w:pPr>
              <w:spacing w:after="0"/>
              <w:rPr>
                <w:sz w:val="3"/>
                <w:szCs w:val="3"/>
                <w:color w:val="auto"/>
              </w:rPr>
            </w:pPr>
          </w:p>
        </w:tc>
        <w:tc>
          <w:tcPr>
            <w:tcW w:w="100" w:type="dxa"/>
            <w:vAlign w:val="bottom"/>
            <w:tcBorders>
              <w:bottom w:val="single" w:sz="8" w:color="183964"/>
            </w:tcBorders>
          </w:tcPr>
          <w:p>
            <w:pPr>
              <w:spacing w:after="0"/>
              <w:rPr>
                <w:sz w:val="3"/>
                <w:szCs w:val="3"/>
                <w:color w:val="auto"/>
              </w:rPr>
            </w:pPr>
          </w:p>
        </w:tc>
        <w:tc>
          <w:tcPr>
            <w:tcW w:w="1280" w:type="dxa"/>
            <w:vAlign w:val="bottom"/>
            <w:tcBorders>
              <w:bottom w:val="single" w:sz="8" w:color="183964"/>
            </w:tcBorders>
          </w:tcPr>
          <w:p>
            <w:pPr>
              <w:spacing w:after="0"/>
              <w:rPr>
                <w:sz w:val="3"/>
                <w:szCs w:val="3"/>
                <w:color w:val="auto"/>
              </w:rPr>
            </w:pPr>
          </w:p>
        </w:tc>
      </w:tr>
      <w:tr>
        <w:trPr>
          <w:trHeight w:val="204"/>
        </w:trPr>
        <w:tc>
          <w:tcPr>
            <w:tcW w:w="8440" w:type="dxa"/>
            <w:vAlign w:val="bottom"/>
          </w:tcPr>
          <w:p>
            <w:pPr>
              <w:ind w:left="20"/>
              <w:spacing w:after="0"/>
              <w:rPr>
                <w:sz w:val="20"/>
                <w:szCs w:val="20"/>
                <w:color w:val="auto"/>
              </w:rPr>
            </w:pPr>
            <w:r>
              <w:rPr>
                <w:rFonts w:ascii="Arial" w:cs="Arial" w:eastAsia="Arial" w:hAnsi="Arial"/>
                <w:sz w:val="15"/>
                <w:szCs w:val="15"/>
                <w:color w:val="auto"/>
              </w:rPr>
              <w:t>Numerator:</w:t>
            </w: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51"/>
        </w:trPr>
        <w:tc>
          <w:tcPr>
            <w:tcW w:w="8440" w:type="dxa"/>
            <w:vAlign w:val="bottom"/>
          </w:tcPr>
          <w:p>
            <w:pPr>
              <w:ind w:left="20"/>
              <w:spacing w:after="0"/>
              <w:rPr>
                <w:sz w:val="20"/>
                <w:szCs w:val="20"/>
                <w:color w:val="auto"/>
              </w:rPr>
            </w:pPr>
            <w:r>
              <w:rPr>
                <w:rFonts w:ascii="Arial" w:cs="Arial" w:eastAsia="Arial" w:hAnsi="Arial"/>
                <w:sz w:val="15"/>
                <w:szCs w:val="15"/>
                <w:color w:val="auto"/>
              </w:rPr>
              <w:t>Income/(loss) attributable to the owners of the Group</w:t>
            </w:r>
          </w:p>
        </w:tc>
        <w:tc>
          <w:tcPr>
            <w:tcW w:w="1400" w:type="dxa"/>
            <w:vAlign w:val="bottom"/>
          </w:tcPr>
          <w:p>
            <w:pPr>
              <w:jc w:val="right"/>
              <w:spacing w:after="0"/>
              <w:rPr>
                <w:sz w:val="20"/>
                <w:szCs w:val="20"/>
                <w:color w:val="auto"/>
              </w:rPr>
            </w:pPr>
            <w:r>
              <w:rPr>
                <w:rFonts w:ascii="Arial" w:cs="Arial" w:eastAsia="Arial" w:hAnsi="Arial"/>
                <w:sz w:val="15"/>
                <w:szCs w:val="15"/>
                <w:b w:val="1"/>
                <w:bCs w:val="1"/>
                <w:color w:val="auto"/>
              </w:rPr>
              <w:t>($41,773)</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183964"/>
              </w:rPr>
              <w:t>($25,004)</w:t>
            </w:r>
          </w:p>
        </w:tc>
      </w:tr>
      <w:tr>
        <w:trPr>
          <w:trHeight w:val="25"/>
        </w:trPr>
        <w:tc>
          <w:tcPr>
            <w:tcW w:w="8440" w:type="dxa"/>
            <w:vAlign w:val="bottom"/>
            <w:tcBorders>
              <w:bottom w:val="single" w:sz="8" w:color="183964"/>
            </w:tcBorders>
          </w:tcPr>
          <w:p>
            <w:pPr>
              <w:spacing w:after="0"/>
              <w:rPr>
                <w:sz w:val="2"/>
                <w:szCs w:val="2"/>
                <w:color w:val="auto"/>
              </w:rPr>
            </w:pPr>
          </w:p>
        </w:tc>
        <w:tc>
          <w:tcPr>
            <w:tcW w:w="1400" w:type="dxa"/>
            <w:vAlign w:val="bottom"/>
            <w:tcBorders>
              <w:bottom w:val="single" w:sz="8" w:color="183964"/>
            </w:tcBorders>
          </w:tcPr>
          <w:p>
            <w:pPr>
              <w:spacing w:after="0"/>
              <w:rPr>
                <w:sz w:val="2"/>
                <w:szCs w:val="2"/>
                <w:color w:val="auto"/>
              </w:rPr>
            </w:pPr>
          </w:p>
        </w:tc>
        <w:tc>
          <w:tcPr>
            <w:tcW w:w="100" w:type="dxa"/>
            <w:vAlign w:val="bottom"/>
            <w:tcBorders>
              <w:bottom w:val="single" w:sz="8" w:color="183964"/>
            </w:tcBorders>
          </w:tcPr>
          <w:p>
            <w:pPr>
              <w:spacing w:after="0"/>
              <w:rPr>
                <w:sz w:val="2"/>
                <w:szCs w:val="2"/>
                <w:color w:val="auto"/>
              </w:rPr>
            </w:pPr>
          </w:p>
        </w:tc>
        <w:tc>
          <w:tcPr>
            <w:tcW w:w="1280" w:type="dxa"/>
            <w:vAlign w:val="bottom"/>
            <w:tcBorders>
              <w:bottom w:val="single" w:sz="8" w:color="183964"/>
            </w:tcBorders>
          </w:tcPr>
          <w:p>
            <w:pPr>
              <w:spacing w:after="0"/>
              <w:rPr>
                <w:sz w:val="2"/>
                <w:szCs w:val="2"/>
                <w:color w:val="auto"/>
              </w:rPr>
            </w:pPr>
          </w:p>
        </w:tc>
      </w:tr>
      <w:tr>
        <w:trPr>
          <w:trHeight w:val="211"/>
        </w:trPr>
        <w:tc>
          <w:tcPr>
            <w:tcW w:w="8440" w:type="dxa"/>
            <w:vAlign w:val="bottom"/>
          </w:tcPr>
          <w:p>
            <w:pPr>
              <w:ind w:left="20"/>
              <w:spacing w:after="0"/>
              <w:rPr>
                <w:sz w:val="20"/>
                <w:szCs w:val="20"/>
                <w:color w:val="auto"/>
              </w:rPr>
            </w:pPr>
            <w:r>
              <w:rPr>
                <w:rFonts w:ascii="Arial" w:cs="Arial" w:eastAsia="Arial" w:hAnsi="Arial"/>
                <w:sz w:val="15"/>
                <w:szCs w:val="15"/>
                <w:b w:val="1"/>
                <w:bCs w:val="1"/>
                <w:color w:val="auto"/>
              </w:rPr>
              <w:t>Denominator:</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43"/>
        </w:trPr>
        <w:tc>
          <w:tcPr>
            <w:tcW w:w="8440" w:type="dxa"/>
            <w:vAlign w:val="bottom"/>
          </w:tcPr>
          <w:p>
            <w:pPr>
              <w:ind w:left="20"/>
              <w:spacing w:after="0"/>
              <w:rPr>
                <w:sz w:val="20"/>
                <w:szCs w:val="20"/>
                <w:color w:val="auto"/>
              </w:rPr>
            </w:pPr>
            <w:r>
              <w:rPr>
                <w:rFonts w:ascii="Arial" w:cs="Arial" w:eastAsia="Arial" w:hAnsi="Arial"/>
                <w:sz w:val="15"/>
                <w:szCs w:val="15"/>
                <w:color w:val="auto"/>
              </w:rPr>
              <w:t>Issued ordinary shares at January 1</w:t>
            </w:r>
          </w:p>
        </w:tc>
        <w:tc>
          <w:tcPr>
            <w:tcW w:w="1400" w:type="dxa"/>
            <w:vAlign w:val="bottom"/>
          </w:tcPr>
          <w:p>
            <w:pPr>
              <w:jc w:val="right"/>
              <w:ind w:right="5"/>
              <w:spacing w:after="0"/>
              <w:rPr>
                <w:sz w:val="20"/>
                <w:szCs w:val="20"/>
                <w:color w:val="auto"/>
              </w:rPr>
            </w:pPr>
            <w:r>
              <w:rPr>
                <w:rFonts w:ascii="Arial" w:cs="Arial" w:eastAsia="Arial" w:hAnsi="Arial"/>
                <w:sz w:val="15"/>
                <w:szCs w:val="15"/>
                <w:b w:val="1"/>
                <w:bCs w:val="1"/>
                <w:color w:val="auto"/>
              </w:rPr>
              <w:t>271,853,731</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183964"/>
              </w:rPr>
              <w:t>278,566,306</w:t>
            </w:r>
          </w:p>
        </w:tc>
      </w:tr>
      <w:tr>
        <w:trPr>
          <w:trHeight w:val="243"/>
        </w:trPr>
        <w:tc>
          <w:tcPr>
            <w:tcW w:w="8440" w:type="dxa"/>
            <w:vAlign w:val="bottom"/>
          </w:tcPr>
          <w:p>
            <w:pPr>
              <w:ind w:left="20"/>
              <w:spacing w:after="0"/>
              <w:rPr>
                <w:sz w:val="20"/>
                <w:szCs w:val="20"/>
                <w:color w:val="auto"/>
              </w:rPr>
            </w:pPr>
            <w:r>
              <w:rPr>
                <w:rFonts w:ascii="Arial" w:cs="Arial" w:eastAsia="Arial" w:hAnsi="Arial"/>
                <w:sz w:val="15"/>
                <w:szCs w:val="15"/>
                <w:color w:val="auto"/>
              </w:rPr>
              <w:t>Effect of shares issued &amp; treasury shares purchased and cancelled</w:t>
            </w:r>
          </w:p>
        </w:tc>
        <w:tc>
          <w:tcPr>
            <w:tcW w:w="1400" w:type="dxa"/>
            <w:vAlign w:val="bottom"/>
          </w:tcPr>
          <w:p>
            <w:pPr>
              <w:jc w:val="right"/>
              <w:spacing w:after="0"/>
              <w:rPr>
                <w:sz w:val="20"/>
                <w:szCs w:val="20"/>
                <w:color w:val="auto"/>
              </w:rPr>
            </w:pPr>
            <w:r>
              <w:rPr>
                <w:rFonts w:ascii="Arial" w:cs="Arial" w:eastAsia="Arial" w:hAnsi="Arial"/>
                <w:sz w:val="15"/>
                <w:szCs w:val="15"/>
                <w:b w:val="1"/>
                <w:bCs w:val="1"/>
                <w:color w:val="auto"/>
              </w:rPr>
              <w:t>(2,197,209)</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183964"/>
              </w:rPr>
              <w:t>(311,925)</w:t>
            </w:r>
          </w:p>
        </w:tc>
      </w:tr>
      <w:tr>
        <w:trPr>
          <w:trHeight w:val="25"/>
        </w:trPr>
        <w:tc>
          <w:tcPr>
            <w:tcW w:w="8440" w:type="dxa"/>
            <w:vAlign w:val="bottom"/>
            <w:tcBorders>
              <w:bottom w:val="single" w:sz="8" w:color="6D6D6D"/>
            </w:tcBorders>
          </w:tcPr>
          <w:p>
            <w:pPr>
              <w:spacing w:after="0"/>
              <w:rPr>
                <w:sz w:val="2"/>
                <w:szCs w:val="2"/>
                <w:color w:val="auto"/>
              </w:rPr>
            </w:pPr>
          </w:p>
        </w:tc>
        <w:tc>
          <w:tcPr>
            <w:tcW w:w="1400" w:type="dxa"/>
            <w:vAlign w:val="bottom"/>
            <w:tcBorders>
              <w:bottom w:val="single" w:sz="8" w:color="6D6D6D"/>
            </w:tcBorders>
          </w:tcPr>
          <w:p>
            <w:pPr>
              <w:spacing w:after="0"/>
              <w:rPr>
                <w:sz w:val="2"/>
                <w:szCs w:val="2"/>
                <w:color w:val="auto"/>
              </w:rPr>
            </w:pPr>
          </w:p>
        </w:tc>
        <w:tc>
          <w:tcPr>
            <w:tcW w:w="100" w:type="dxa"/>
            <w:vAlign w:val="bottom"/>
            <w:tcBorders>
              <w:bottom w:val="single" w:sz="8" w:color="B6B6B6"/>
            </w:tcBorders>
          </w:tcPr>
          <w:p>
            <w:pPr>
              <w:spacing w:after="0"/>
              <w:rPr>
                <w:sz w:val="2"/>
                <w:szCs w:val="2"/>
                <w:color w:val="auto"/>
              </w:rPr>
            </w:pPr>
          </w:p>
        </w:tc>
        <w:tc>
          <w:tcPr>
            <w:tcW w:w="1280" w:type="dxa"/>
            <w:vAlign w:val="bottom"/>
            <w:tcBorders>
              <w:bottom w:val="single" w:sz="8" w:color="6D6D6D"/>
            </w:tcBorders>
          </w:tcPr>
          <w:p>
            <w:pPr>
              <w:spacing w:after="0"/>
              <w:rPr>
                <w:sz w:val="2"/>
                <w:szCs w:val="2"/>
                <w:color w:val="auto"/>
              </w:rPr>
            </w:pPr>
          </w:p>
        </w:tc>
      </w:tr>
      <w:tr>
        <w:trPr>
          <w:trHeight w:val="211"/>
        </w:trPr>
        <w:tc>
          <w:tcPr>
            <w:tcW w:w="8440" w:type="dxa"/>
            <w:vAlign w:val="bottom"/>
          </w:tcPr>
          <w:p>
            <w:pPr>
              <w:ind w:left="20"/>
              <w:spacing w:after="0"/>
              <w:rPr>
                <w:sz w:val="20"/>
                <w:szCs w:val="20"/>
                <w:color w:val="auto"/>
              </w:rPr>
            </w:pPr>
            <w:r>
              <w:rPr>
                <w:rFonts w:ascii="Arial" w:cs="Arial" w:eastAsia="Arial" w:hAnsi="Arial"/>
                <w:sz w:val="15"/>
                <w:szCs w:val="15"/>
                <w:color w:val="auto"/>
              </w:rPr>
              <w:t>Weighted average ordinary shares for basic EPS</w:t>
            </w:r>
          </w:p>
        </w:tc>
        <w:tc>
          <w:tcPr>
            <w:tcW w:w="1400" w:type="dxa"/>
            <w:vAlign w:val="bottom"/>
          </w:tcPr>
          <w:p>
            <w:pPr>
              <w:jc w:val="right"/>
              <w:ind w:right="5"/>
              <w:spacing w:after="0"/>
              <w:rPr>
                <w:sz w:val="20"/>
                <w:szCs w:val="20"/>
                <w:color w:val="auto"/>
              </w:rPr>
            </w:pPr>
            <w:r>
              <w:rPr>
                <w:rFonts w:ascii="Arial" w:cs="Arial" w:eastAsia="Arial" w:hAnsi="Arial"/>
                <w:sz w:val="15"/>
                <w:szCs w:val="15"/>
                <w:b w:val="1"/>
                <w:bCs w:val="1"/>
                <w:color w:val="auto"/>
              </w:rPr>
              <w:t>269,656,522</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183964"/>
              </w:rPr>
              <w:t>278,254,381</w:t>
            </w:r>
          </w:p>
        </w:tc>
      </w:tr>
      <w:tr>
        <w:trPr>
          <w:trHeight w:val="243"/>
        </w:trPr>
        <w:tc>
          <w:tcPr>
            <w:tcW w:w="8440" w:type="dxa"/>
            <w:vAlign w:val="bottom"/>
          </w:tcPr>
          <w:p>
            <w:pPr>
              <w:ind w:left="20"/>
              <w:spacing w:after="0"/>
              <w:rPr>
                <w:sz w:val="20"/>
                <w:szCs w:val="20"/>
                <w:color w:val="auto"/>
              </w:rPr>
            </w:pPr>
            <w:r>
              <w:rPr>
                <w:rFonts w:ascii="Arial" w:cs="Arial" w:eastAsia="Arial" w:hAnsi="Arial"/>
                <w:sz w:val="15"/>
                <w:szCs w:val="15"/>
                <w:color w:val="auto"/>
              </w:rPr>
              <w:t>Effect of dilutive securities</w:t>
            </w:r>
          </w:p>
        </w:tc>
        <w:tc>
          <w:tcPr>
            <w:tcW w:w="150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183964"/>
              </w:rPr>
              <w:t>—</w:t>
            </w:r>
          </w:p>
        </w:tc>
      </w:tr>
      <w:tr>
        <w:trPr>
          <w:trHeight w:val="243"/>
        </w:trPr>
        <w:tc>
          <w:tcPr>
            <w:tcW w:w="8440" w:type="dxa"/>
            <w:vAlign w:val="bottom"/>
          </w:tcPr>
          <w:p>
            <w:pPr>
              <w:ind w:left="20"/>
              <w:spacing w:after="0"/>
              <w:rPr>
                <w:sz w:val="20"/>
                <w:szCs w:val="20"/>
                <w:color w:val="auto"/>
              </w:rPr>
            </w:pPr>
            <w:r>
              <w:rPr>
                <w:rFonts w:ascii="Arial" w:cs="Arial" w:eastAsia="Arial" w:hAnsi="Arial"/>
                <w:sz w:val="15"/>
                <w:szCs w:val="15"/>
                <w:color w:val="auto"/>
              </w:rPr>
              <w:t>Weighted average ordinary shares for diluted EPS</w:t>
            </w:r>
          </w:p>
        </w:tc>
        <w:tc>
          <w:tcPr>
            <w:tcW w:w="1400" w:type="dxa"/>
            <w:vAlign w:val="bottom"/>
          </w:tcPr>
          <w:p>
            <w:pPr>
              <w:jc w:val="right"/>
              <w:ind w:right="5"/>
              <w:spacing w:after="0"/>
              <w:rPr>
                <w:sz w:val="20"/>
                <w:szCs w:val="20"/>
                <w:color w:val="auto"/>
              </w:rPr>
            </w:pPr>
            <w:r>
              <w:rPr>
                <w:rFonts w:ascii="Arial" w:cs="Arial" w:eastAsia="Arial" w:hAnsi="Arial"/>
                <w:sz w:val="15"/>
                <w:szCs w:val="15"/>
                <w:b w:val="1"/>
                <w:bCs w:val="1"/>
                <w:color w:val="auto"/>
              </w:rPr>
              <w:t>269,656,522</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183964"/>
              </w:rPr>
              <w:t>278,254,381</w:t>
            </w:r>
          </w:p>
        </w:tc>
      </w:tr>
      <w:tr>
        <w:trPr>
          <w:trHeight w:val="25"/>
        </w:trPr>
        <w:tc>
          <w:tcPr>
            <w:tcW w:w="8440" w:type="dxa"/>
            <w:vAlign w:val="bottom"/>
            <w:tcBorders>
              <w:bottom w:val="single" w:sz="8" w:color="6D6D6D"/>
            </w:tcBorders>
          </w:tcPr>
          <w:p>
            <w:pPr>
              <w:spacing w:after="0"/>
              <w:rPr>
                <w:sz w:val="2"/>
                <w:szCs w:val="2"/>
                <w:color w:val="auto"/>
              </w:rPr>
            </w:pPr>
          </w:p>
        </w:tc>
        <w:tc>
          <w:tcPr>
            <w:tcW w:w="1400" w:type="dxa"/>
            <w:vAlign w:val="bottom"/>
            <w:tcBorders>
              <w:bottom w:val="single" w:sz="8" w:color="6D6D6D"/>
            </w:tcBorders>
          </w:tcPr>
          <w:p>
            <w:pPr>
              <w:spacing w:after="0"/>
              <w:rPr>
                <w:sz w:val="2"/>
                <w:szCs w:val="2"/>
                <w:color w:val="auto"/>
              </w:rPr>
            </w:pPr>
          </w:p>
        </w:tc>
        <w:tc>
          <w:tcPr>
            <w:tcW w:w="100" w:type="dxa"/>
            <w:vAlign w:val="bottom"/>
            <w:tcBorders>
              <w:bottom w:val="single" w:sz="8" w:color="6D6D6D"/>
            </w:tcBorders>
          </w:tcPr>
          <w:p>
            <w:pPr>
              <w:spacing w:after="0"/>
              <w:rPr>
                <w:sz w:val="2"/>
                <w:szCs w:val="2"/>
                <w:color w:val="auto"/>
              </w:rPr>
            </w:pPr>
          </w:p>
        </w:tc>
        <w:tc>
          <w:tcPr>
            <w:tcW w:w="1280" w:type="dxa"/>
            <w:vAlign w:val="bottom"/>
            <w:tcBorders>
              <w:bottom w:val="single" w:sz="8" w:color="6D6D6D"/>
            </w:tcBorders>
          </w:tcPr>
          <w:p>
            <w:pPr>
              <w:spacing w:after="0"/>
              <w:rPr>
                <w:sz w:val="2"/>
                <w:szCs w:val="2"/>
                <w:color w:val="auto"/>
              </w:rPr>
            </w:pPr>
          </w:p>
        </w:tc>
      </w:tr>
      <w:tr>
        <w:trPr>
          <w:trHeight w:val="211"/>
        </w:trPr>
        <w:tc>
          <w:tcPr>
            <w:tcW w:w="8440" w:type="dxa"/>
            <w:vAlign w:val="bottom"/>
          </w:tcPr>
          <w:p>
            <w:pPr>
              <w:ind w:left="20"/>
              <w:spacing w:after="0"/>
              <w:rPr>
                <w:sz w:val="20"/>
                <w:szCs w:val="20"/>
                <w:color w:val="auto"/>
              </w:rPr>
            </w:pPr>
            <w:r>
              <w:rPr>
                <w:rFonts w:ascii="Arial" w:cs="Arial" w:eastAsia="Arial" w:hAnsi="Arial"/>
                <w:sz w:val="15"/>
                <w:szCs w:val="15"/>
                <w:color w:val="auto"/>
              </w:rPr>
              <w:t>Basic earnings/(loss) per ordinary share</w:t>
            </w:r>
          </w:p>
        </w:tc>
        <w:tc>
          <w:tcPr>
            <w:tcW w:w="1400" w:type="dxa"/>
            <w:vAlign w:val="bottom"/>
          </w:tcPr>
          <w:p>
            <w:pPr>
              <w:jc w:val="right"/>
              <w:spacing w:after="0"/>
              <w:rPr>
                <w:sz w:val="20"/>
                <w:szCs w:val="20"/>
                <w:color w:val="auto"/>
              </w:rPr>
            </w:pPr>
            <w:r>
              <w:rPr>
                <w:rFonts w:ascii="Arial" w:cs="Arial" w:eastAsia="Arial" w:hAnsi="Arial"/>
                <w:sz w:val="15"/>
                <w:szCs w:val="15"/>
                <w:b w:val="1"/>
                <w:bCs w:val="1"/>
                <w:color w:val="auto"/>
              </w:rPr>
              <w:t>($0.15)</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183964"/>
              </w:rPr>
              <w:t>($0.09)</w:t>
            </w:r>
          </w:p>
        </w:tc>
      </w:tr>
      <w:tr>
        <w:trPr>
          <w:trHeight w:val="243"/>
        </w:trPr>
        <w:tc>
          <w:tcPr>
            <w:tcW w:w="8440" w:type="dxa"/>
            <w:vAlign w:val="bottom"/>
          </w:tcPr>
          <w:p>
            <w:pPr>
              <w:ind w:left="20"/>
              <w:spacing w:after="0"/>
              <w:rPr>
                <w:sz w:val="20"/>
                <w:szCs w:val="20"/>
                <w:color w:val="auto"/>
              </w:rPr>
            </w:pPr>
            <w:r>
              <w:rPr>
                <w:rFonts w:ascii="Arial" w:cs="Arial" w:eastAsia="Arial" w:hAnsi="Arial"/>
                <w:sz w:val="15"/>
                <w:szCs w:val="15"/>
                <w:color w:val="auto"/>
              </w:rPr>
              <w:t>Diluted earnings/(loss) per ordinary share</w:t>
            </w:r>
          </w:p>
        </w:tc>
        <w:tc>
          <w:tcPr>
            <w:tcW w:w="1400" w:type="dxa"/>
            <w:vAlign w:val="bottom"/>
          </w:tcPr>
          <w:p>
            <w:pPr>
              <w:jc w:val="right"/>
              <w:spacing w:after="0"/>
              <w:rPr>
                <w:sz w:val="20"/>
                <w:szCs w:val="20"/>
                <w:color w:val="auto"/>
              </w:rPr>
            </w:pPr>
            <w:r>
              <w:rPr>
                <w:rFonts w:ascii="Arial" w:cs="Arial" w:eastAsia="Arial" w:hAnsi="Arial"/>
                <w:sz w:val="15"/>
                <w:szCs w:val="15"/>
                <w:b w:val="1"/>
                <w:bCs w:val="1"/>
                <w:color w:val="auto"/>
              </w:rPr>
              <w:t>($0.15)</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183964"/>
              </w:rPr>
              <w:t>($0.09)</w:t>
            </w:r>
          </w:p>
        </w:tc>
      </w:tr>
      <w:tr>
        <w:trPr>
          <w:trHeight w:val="25"/>
        </w:trPr>
        <w:tc>
          <w:tcPr>
            <w:tcW w:w="8440" w:type="dxa"/>
            <w:vAlign w:val="bottom"/>
            <w:tcBorders>
              <w:bottom w:val="single" w:sz="8" w:color="183964"/>
            </w:tcBorders>
          </w:tcPr>
          <w:p>
            <w:pPr>
              <w:spacing w:after="0"/>
              <w:rPr>
                <w:sz w:val="2"/>
                <w:szCs w:val="2"/>
                <w:color w:val="auto"/>
              </w:rPr>
            </w:pPr>
          </w:p>
        </w:tc>
        <w:tc>
          <w:tcPr>
            <w:tcW w:w="1400" w:type="dxa"/>
            <w:vAlign w:val="bottom"/>
            <w:tcBorders>
              <w:bottom w:val="single" w:sz="8" w:color="183964"/>
            </w:tcBorders>
          </w:tcPr>
          <w:p>
            <w:pPr>
              <w:spacing w:after="0"/>
              <w:rPr>
                <w:sz w:val="2"/>
                <w:szCs w:val="2"/>
                <w:color w:val="auto"/>
              </w:rPr>
            </w:pPr>
          </w:p>
        </w:tc>
        <w:tc>
          <w:tcPr>
            <w:tcW w:w="100" w:type="dxa"/>
            <w:vAlign w:val="bottom"/>
            <w:tcBorders>
              <w:bottom w:val="single" w:sz="8" w:color="183964"/>
            </w:tcBorders>
          </w:tcPr>
          <w:p>
            <w:pPr>
              <w:spacing w:after="0"/>
              <w:rPr>
                <w:sz w:val="2"/>
                <w:szCs w:val="2"/>
                <w:color w:val="auto"/>
              </w:rPr>
            </w:pPr>
          </w:p>
        </w:tc>
        <w:tc>
          <w:tcPr>
            <w:tcW w:w="1280" w:type="dxa"/>
            <w:vAlign w:val="bottom"/>
            <w:tcBorders>
              <w:bottom w:val="single" w:sz="8" w:color="183964"/>
            </w:tcBorders>
          </w:tcPr>
          <w:p>
            <w:pPr>
              <w:spacing w:after="0"/>
              <w:rPr>
                <w:sz w:val="2"/>
                <w:szCs w:val="2"/>
                <w:color w:val="auto"/>
              </w:rPr>
            </w:pPr>
          </w:p>
        </w:tc>
      </w:tr>
    </w:tbl>
    <w:p>
      <w:pPr>
        <w:spacing w:after="0" w:line="251" w:lineRule="exact"/>
        <w:rPr>
          <w:sz w:val="20"/>
          <w:szCs w:val="20"/>
          <w:color w:val="auto"/>
        </w:rPr>
      </w:pPr>
    </w:p>
    <w:p>
      <w:pPr>
        <w:ind w:left="440" w:hanging="432"/>
        <w:spacing w:after="0"/>
        <w:tabs>
          <w:tab w:leader="none" w:pos="440" w:val="left"/>
        </w:tabs>
        <w:numPr>
          <w:ilvl w:val="0"/>
          <w:numId w:val="23"/>
        </w:numPr>
        <w:rPr>
          <w:rFonts w:ascii="Arial" w:cs="Arial" w:eastAsia="Arial" w:hAnsi="Arial"/>
          <w:sz w:val="15"/>
          <w:szCs w:val="15"/>
          <w:b w:val="1"/>
          <w:bCs w:val="1"/>
          <w:color w:val="183964"/>
        </w:rPr>
      </w:pPr>
      <w:r>
        <w:rPr>
          <w:rFonts w:ascii="Arial" w:cs="Arial" w:eastAsia="Arial" w:hAnsi="Arial"/>
          <w:sz w:val="15"/>
          <w:szCs w:val="15"/>
          <w:b w:val="1"/>
          <w:bCs w:val="1"/>
          <w:color w:val="183964"/>
        </w:rPr>
        <w:t>Equity</w:t>
      </w:r>
    </w:p>
    <w:p>
      <w:pPr>
        <w:spacing w:after="0" w:line="113" w:lineRule="exact"/>
        <w:rPr>
          <w:sz w:val="20"/>
          <w:szCs w:val="20"/>
          <w:color w:val="auto"/>
        </w:rPr>
      </w:pPr>
    </w:p>
    <w:p>
      <w:pPr>
        <w:ind w:right="60"/>
        <w:spacing w:after="0" w:line="259" w:lineRule="auto"/>
        <w:rPr>
          <w:sz w:val="20"/>
          <w:szCs w:val="20"/>
          <w:color w:val="auto"/>
        </w:rPr>
      </w:pPr>
      <w:r>
        <w:rPr>
          <w:rFonts w:ascii="Arial" w:cs="Arial" w:eastAsia="Arial" w:hAnsi="Arial"/>
          <w:sz w:val="15"/>
          <w:szCs w:val="15"/>
          <w:color w:val="auto"/>
        </w:rPr>
        <w:t>On May 9, 2022, the Group announced the commencement of a $50,000 share repurchase program (the "Program") of its ordinary shares of one pence each. The Group executed the Program in two equal tranches. It entered into an irrevocable non-discretionary instruction with Jefferies International Limited (“Jefferies”) in relation to the purchase by Jefferies of the ordinary shares for an aggregate consideration (excluding expenses) of no greater than $ 25,000 for each tranche and the simultaneous on-sale of such ordinary shares by Jefferies to the Group, subject to certain volume and price restrictions. In February 2024, the Group completed the Program and has repurchased an aggregate of 20,182,863 ordinary shares under the Program. These shares have been held as treasury shares and are being used to settle the vesting of restricted stock units or exercise of stock options.</w:t>
      </w:r>
    </w:p>
    <w:p>
      <w:pPr>
        <w:spacing w:after="0" w:line="71" w:lineRule="exact"/>
        <w:rPr>
          <w:sz w:val="20"/>
          <w:szCs w:val="20"/>
          <w:color w:val="auto"/>
        </w:rPr>
      </w:pPr>
    </w:p>
    <w:p>
      <w:pPr>
        <w:ind w:right="180"/>
        <w:spacing w:after="0" w:line="269" w:lineRule="auto"/>
        <w:rPr>
          <w:sz w:val="20"/>
          <w:szCs w:val="20"/>
          <w:color w:val="auto"/>
        </w:rPr>
      </w:pPr>
      <w:r>
        <w:rPr>
          <w:rFonts w:ascii="Arial" w:cs="Arial" w:eastAsia="Arial" w:hAnsi="Arial"/>
          <w:sz w:val="15"/>
          <w:szCs w:val="15"/>
          <w:color w:val="auto"/>
        </w:rPr>
        <w:t>In March 2024, the Group announced a proposed capital return of $100,000 to its shareholders by way of a tender offer (the "Tender Offer"). The proposed Tender Offer was approved by shareholders at the Annual General Meeting of Stockholders held on June 6, 2024, to acquire a maximum number of 33,500,000 ordinary shares (including ordinary shares represented by American Depository Shares (''ADSs'')) for a fixed price of 250 pence per ordinary share (equivalent to £25.00 per ADS) for a maximum aggregate amount of $100,000 excluding expenses.</w:t>
      </w:r>
    </w:p>
    <w:p>
      <w:pPr>
        <w:spacing w:after="0" w:line="50" w:lineRule="exact"/>
        <w:rPr>
          <w:sz w:val="20"/>
          <w:szCs w:val="20"/>
          <w:color w:val="auto"/>
        </w:rPr>
      </w:pPr>
    </w:p>
    <w:p>
      <w:pPr>
        <w:spacing w:after="0" w:line="269" w:lineRule="auto"/>
        <w:rPr>
          <w:sz w:val="20"/>
          <w:szCs w:val="20"/>
          <w:color w:val="auto"/>
        </w:rPr>
      </w:pPr>
      <w:r>
        <w:rPr>
          <w:rFonts w:ascii="Arial" w:cs="Arial" w:eastAsia="Arial" w:hAnsi="Arial"/>
          <w:sz w:val="15"/>
          <w:szCs w:val="15"/>
          <w:color w:val="auto"/>
        </w:rPr>
        <w:t>The Tender Offer was completed on June 24, 2024. The Group repurchased 31,540,670 ordinary shares under the Tender Offer. Following such repurchase, the Group cancelled these shares repurchased. As a result of the cancellation, the nominal value of $600 related to the cancelled shares was reduced from share capital and transferred to a capital redemption reserve, increasing the capital redemption reserve balance to $600 as of June 30, 2024 which was included in other reserve in the Condensed Consolidated Statement of Changes in Equity.</w:t>
      </w:r>
    </w:p>
    <w:p>
      <w:pPr>
        <w:spacing w:after="0" w:line="50" w:lineRule="exact"/>
        <w:rPr>
          <w:sz w:val="20"/>
          <w:szCs w:val="20"/>
          <w:color w:val="auto"/>
        </w:rPr>
      </w:pPr>
    </w:p>
    <w:p>
      <w:pPr>
        <w:ind w:right="60"/>
        <w:spacing w:after="0" w:line="283" w:lineRule="auto"/>
        <w:rPr>
          <w:sz w:val="20"/>
          <w:szCs w:val="20"/>
          <w:color w:val="auto"/>
        </w:rPr>
      </w:pPr>
      <w:r>
        <w:rPr>
          <w:rFonts w:ascii="Arial" w:cs="Arial" w:eastAsia="Arial" w:hAnsi="Arial"/>
          <w:sz w:val="15"/>
          <w:szCs w:val="15"/>
          <w:color w:val="auto"/>
        </w:rPr>
        <w:t>As of December 31, 2023, the Group had 271,853,731 common shares outstanding, including 289,468,159 issued shares net of 17,614,428 shares repurchased and held by the Group in Treasury. As of June 30, 2024, the Group had 239,421,312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1" w:right="359" w:bottom="1440" w:gutter="0" w:footer="0" w:header="0"/>
        </w:sectPr>
      </w:pPr>
    </w:p>
    <w:bookmarkStart w:id="33" w:name="page34"/>
    <w:bookmarkEnd w:id="33"/>
    <w:p>
      <w:pPr>
        <w:ind w:right="640"/>
        <w:spacing w:after="0" w:line="283" w:lineRule="auto"/>
        <w:rPr>
          <w:sz w:val="20"/>
          <w:szCs w:val="20"/>
          <w:color w:val="auto"/>
        </w:rPr>
      </w:pPr>
      <w:r>
        <w:rPr>
          <w:rFonts w:ascii="Arial" w:cs="Arial" w:eastAsia="Arial" w:hAnsi="Arial"/>
          <w:sz w:val="15"/>
          <w:szCs w:val="15"/>
          <w:color w:val="auto"/>
        </w:rPr>
        <w:t>shares outstanding, including 257,927,489 issued shares after deducting 31,540,670 cancelled ordinary shares repurchased through the Tender Offer, net of 18,506,177 shares repurchased and held by the Group in Treasury.</w:t>
      </w:r>
    </w:p>
    <w:p>
      <w:pPr>
        <w:spacing w:after="0" w:line="374" w:lineRule="exact"/>
        <w:rPr>
          <w:sz w:val="20"/>
          <w:szCs w:val="20"/>
          <w:color w:val="auto"/>
        </w:rPr>
      </w:pPr>
    </w:p>
    <w:p>
      <w:pPr>
        <w:ind w:left="420" w:hanging="412"/>
        <w:spacing w:after="0"/>
        <w:tabs>
          <w:tab w:leader="none" w:pos="420" w:val="left"/>
        </w:tabs>
        <w:numPr>
          <w:ilvl w:val="0"/>
          <w:numId w:val="24"/>
        </w:numPr>
        <w:rPr>
          <w:rFonts w:ascii="Arial" w:cs="Arial" w:eastAsia="Arial" w:hAnsi="Arial"/>
          <w:sz w:val="15"/>
          <w:szCs w:val="15"/>
          <w:b w:val="1"/>
          <w:bCs w:val="1"/>
          <w:color w:val="183964"/>
        </w:rPr>
      </w:pPr>
      <w:r>
        <w:rPr>
          <w:rFonts w:ascii="Arial" w:cs="Arial" w:eastAsia="Arial" w:hAnsi="Arial"/>
          <w:sz w:val="15"/>
          <w:szCs w:val="15"/>
          <w:b w:val="1"/>
          <w:bCs w:val="1"/>
          <w:color w:val="183964"/>
        </w:rPr>
        <w:t>Subsidiary Preferred Shares</w:t>
      </w:r>
    </w:p>
    <w:p>
      <w:pPr>
        <w:spacing w:after="0" w:line="100" w:lineRule="exact"/>
        <w:rPr>
          <w:sz w:val="20"/>
          <w:szCs w:val="20"/>
          <w:color w:val="auto"/>
        </w:rPr>
      </w:pPr>
    </w:p>
    <w:p>
      <w:pPr>
        <w:ind w:right="100"/>
        <w:spacing w:after="0" w:line="301" w:lineRule="auto"/>
        <w:rPr>
          <w:sz w:val="20"/>
          <w:szCs w:val="20"/>
          <w:color w:val="auto"/>
        </w:rPr>
      </w:pPr>
      <w:r>
        <w:rPr>
          <w:rFonts w:ascii="Arial" w:cs="Arial" w:eastAsia="Arial" w:hAnsi="Arial"/>
          <w:sz w:val="15"/>
          <w:szCs w:val="15"/>
          <w:color w:val="auto"/>
        </w:rPr>
        <w:t>In April 2024, Seaport closed a Series A-2 preferred share financing with aggregate proceeds of $100,100 of which $68,100 was from outside investors and $32,000 was from the Group. As of June 30, 2024, the Group held equity ownership in Seaport of 57.7 percent on a diluted basis.</w:t>
      </w:r>
    </w:p>
    <w:p>
      <w:pPr>
        <w:spacing w:after="0" w:line="26" w:lineRule="exact"/>
        <w:rPr>
          <w:sz w:val="20"/>
          <w:szCs w:val="20"/>
          <w:color w:val="auto"/>
        </w:rPr>
      </w:pPr>
    </w:p>
    <w:p>
      <w:pPr>
        <w:ind w:right="400"/>
        <w:spacing w:after="0" w:line="301" w:lineRule="auto"/>
        <w:rPr>
          <w:sz w:val="20"/>
          <w:szCs w:val="20"/>
          <w:color w:val="auto"/>
        </w:rPr>
      </w:pPr>
      <w:r>
        <w:rPr>
          <w:rFonts w:ascii="Arial" w:cs="Arial" w:eastAsia="Arial" w:hAnsi="Arial"/>
          <w:sz w:val="15"/>
          <w:szCs w:val="15"/>
          <w:color w:val="auto"/>
        </w:rPr>
        <w:t>Preferred shares issued by subsidiaries often contain redemption and conversion features that are assessed under IFRS 9 in conjunction with the host preferred share instrument. This balance represents subsidiary preferred shares issued to third parties.</w:t>
      </w:r>
    </w:p>
    <w:p>
      <w:pPr>
        <w:spacing w:after="0" w:line="26"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The subsidiary preferred shares are redeemable upon the occurrence of a contingent event, other than full liquidation of the subsidiaries, that is not considered to be within the control of the subsidiaries. Therefore, these subsidiary preferred shares are classified as liabilities. These liabilities are measured at fair value through profit and loss. The preferred shares are convertible into ordinary shares of the subsidiaries at the option of the holders and are mandatorily convertible into ordinary shares under certain circumstances. Under certain scenarios, the number of ordinary shares receivable on conversion will change and therefore, the number of shares that will be issued is not fixed. As such, the conversion feature is considered to be an embedded derivative that normally would require bifurcation. However, since the preferred share liabilities are measured at fair value through profit and loss, as mentioned above, no bifurcation is required.</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color w:val="auto"/>
        </w:rPr>
        <w:t>The preferred shares are entitled to vote with holders of common shares on an as converted basis.</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The fair value of all subsidiary preferred shares as of June 30, 2024 and December 31, 2023, is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180" w:type="dxa"/>
            <w:vAlign w:val="bottom"/>
          </w:tcPr>
          <w:p>
            <w:pPr>
              <w:spacing w:after="0"/>
              <w:rPr>
                <w:sz w:val="13"/>
                <w:szCs w:val="13"/>
                <w:color w:val="auto"/>
              </w:rPr>
            </w:pPr>
          </w:p>
        </w:tc>
        <w:tc>
          <w:tcPr>
            <w:tcW w:w="4220" w:type="dxa"/>
            <w:vAlign w:val="bottom"/>
          </w:tcPr>
          <w:p>
            <w:pPr>
              <w:jc w:val="right"/>
              <w:ind w:right="409"/>
              <w:spacing w:after="0"/>
              <w:rPr>
                <w:sz w:val="20"/>
                <w:szCs w:val="20"/>
                <w:color w:val="auto"/>
              </w:rPr>
            </w:pPr>
            <w:r>
              <w:rPr>
                <w:rFonts w:ascii="Arial" w:cs="Arial" w:eastAsia="Arial" w:hAnsi="Arial"/>
                <w:sz w:val="13"/>
                <w:szCs w:val="13"/>
                <w:b w:val="1"/>
                <w:bCs w:val="1"/>
                <w:color w:val="auto"/>
              </w:rPr>
              <w:t>2024</w:t>
            </w:r>
          </w:p>
        </w:tc>
        <w:tc>
          <w:tcPr>
            <w:tcW w:w="820" w:type="dxa"/>
            <w:vAlign w:val="bottom"/>
          </w:tcPr>
          <w:p>
            <w:pPr>
              <w:jc w:val="right"/>
              <w:spacing w:after="0"/>
              <w:rPr>
                <w:sz w:val="20"/>
                <w:szCs w:val="20"/>
                <w:color w:val="auto"/>
              </w:rPr>
            </w:pPr>
            <w:r>
              <w:rPr>
                <w:rFonts w:ascii="Arial" w:cs="Arial" w:eastAsia="Arial" w:hAnsi="Arial"/>
                <w:sz w:val="13"/>
                <w:szCs w:val="13"/>
                <w:color w:val="183964"/>
              </w:rPr>
              <w:t>2023</w:t>
            </w:r>
          </w:p>
        </w:tc>
      </w:tr>
      <w:tr>
        <w:trPr>
          <w:trHeight w:val="172"/>
        </w:trPr>
        <w:tc>
          <w:tcPr>
            <w:tcW w:w="6180" w:type="dxa"/>
            <w:vAlign w:val="bottom"/>
          </w:tcPr>
          <w:p>
            <w:pPr>
              <w:ind w:left="20"/>
              <w:spacing w:after="0"/>
              <w:rPr>
                <w:sz w:val="20"/>
                <w:szCs w:val="20"/>
                <w:color w:val="auto"/>
              </w:rPr>
            </w:pPr>
            <w:r>
              <w:rPr>
                <w:rFonts w:ascii="Arial" w:cs="Arial" w:eastAsia="Arial" w:hAnsi="Arial"/>
                <w:sz w:val="13"/>
                <w:szCs w:val="13"/>
                <w:color w:val="auto"/>
              </w:rPr>
              <w:t>As of June 30, 2024 and December 31, 2023</w:t>
            </w:r>
          </w:p>
        </w:tc>
        <w:tc>
          <w:tcPr>
            <w:tcW w:w="4220" w:type="dxa"/>
            <w:vAlign w:val="bottom"/>
          </w:tcPr>
          <w:p>
            <w:pPr>
              <w:jc w:val="right"/>
              <w:ind w:right="409"/>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183964"/>
              </w:rPr>
              <w:t>$</w:t>
            </w:r>
          </w:p>
        </w:tc>
      </w:tr>
      <w:tr>
        <w:trPr>
          <w:trHeight w:val="22"/>
        </w:trPr>
        <w:tc>
          <w:tcPr>
            <w:tcW w:w="6180" w:type="dxa"/>
            <w:vAlign w:val="bottom"/>
            <w:tcBorders>
              <w:bottom w:val="single" w:sz="8" w:color="auto"/>
            </w:tcBorders>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12"/>
        </w:trPr>
        <w:tc>
          <w:tcPr>
            <w:tcW w:w="6180" w:type="dxa"/>
            <w:vAlign w:val="bottom"/>
          </w:tcPr>
          <w:p>
            <w:pPr>
              <w:ind w:left="20"/>
              <w:spacing w:after="0"/>
              <w:rPr>
                <w:sz w:val="20"/>
                <w:szCs w:val="20"/>
                <w:color w:val="auto"/>
              </w:rPr>
            </w:pPr>
            <w:r>
              <w:rPr>
                <w:rFonts w:ascii="Arial" w:cs="Arial" w:eastAsia="Arial" w:hAnsi="Arial"/>
                <w:sz w:val="15"/>
                <w:szCs w:val="15"/>
                <w:color w:val="auto"/>
              </w:rPr>
              <w:t>Entrega</w:t>
            </w:r>
          </w:p>
        </w:tc>
        <w:tc>
          <w:tcPr>
            <w:tcW w:w="4220" w:type="dxa"/>
            <w:vAlign w:val="bottom"/>
          </w:tcPr>
          <w:p>
            <w:pPr>
              <w:jc w:val="right"/>
              <w:ind w:right="469"/>
              <w:spacing w:after="0"/>
              <w:rPr>
                <w:sz w:val="20"/>
                <w:szCs w:val="20"/>
                <w:color w:val="auto"/>
              </w:rPr>
            </w:pPr>
            <w:r>
              <w:rPr>
                <w:rFonts w:ascii="Arial" w:cs="Arial" w:eastAsia="Arial" w:hAnsi="Arial"/>
                <w:sz w:val="15"/>
                <w:szCs w:val="15"/>
                <w:b w:val="1"/>
                <w:bCs w:val="1"/>
                <w:color w:val="auto"/>
              </w:rPr>
              <w:t>169</w:t>
            </w:r>
          </w:p>
        </w:tc>
        <w:tc>
          <w:tcPr>
            <w:tcW w:w="820" w:type="dxa"/>
            <w:vAlign w:val="bottom"/>
          </w:tcPr>
          <w:p>
            <w:pPr>
              <w:jc w:val="right"/>
              <w:spacing w:after="0"/>
              <w:rPr>
                <w:sz w:val="20"/>
                <w:szCs w:val="20"/>
                <w:color w:val="auto"/>
              </w:rPr>
            </w:pPr>
            <w:r>
              <w:rPr>
                <w:rFonts w:ascii="Arial" w:cs="Arial" w:eastAsia="Arial" w:hAnsi="Arial"/>
                <w:sz w:val="15"/>
                <w:szCs w:val="15"/>
                <w:color w:val="183964"/>
              </w:rPr>
              <w:t>169</w:t>
            </w:r>
          </w:p>
        </w:tc>
      </w:tr>
      <w:tr>
        <w:trPr>
          <w:trHeight w:val="243"/>
        </w:trPr>
        <w:tc>
          <w:tcPr>
            <w:tcW w:w="6180" w:type="dxa"/>
            <w:vAlign w:val="bottom"/>
          </w:tcPr>
          <w:p>
            <w:pPr>
              <w:ind w:left="20"/>
              <w:spacing w:after="0"/>
              <w:rPr>
                <w:sz w:val="20"/>
                <w:szCs w:val="20"/>
                <w:color w:val="auto"/>
              </w:rPr>
            </w:pPr>
            <w:r>
              <w:rPr>
                <w:rFonts w:ascii="Arial" w:cs="Arial" w:eastAsia="Arial" w:hAnsi="Arial"/>
                <w:sz w:val="15"/>
                <w:szCs w:val="15"/>
                <w:color w:val="auto"/>
              </w:rPr>
              <w:t>Seaport</w:t>
            </w:r>
          </w:p>
        </w:tc>
        <w:tc>
          <w:tcPr>
            <w:tcW w:w="4220" w:type="dxa"/>
            <w:vAlign w:val="bottom"/>
          </w:tcPr>
          <w:p>
            <w:pPr>
              <w:jc w:val="right"/>
              <w:ind w:right="469"/>
              <w:spacing w:after="0"/>
              <w:rPr>
                <w:sz w:val="20"/>
                <w:szCs w:val="20"/>
                <w:color w:val="auto"/>
              </w:rPr>
            </w:pPr>
            <w:r>
              <w:rPr>
                <w:rFonts w:ascii="Arial" w:cs="Arial" w:eastAsia="Arial" w:hAnsi="Arial"/>
                <w:sz w:val="15"/>
                <w:szCs w:val="15"/>
                <w:b w:val="1"/>
                <w:bCs w:val="1"/>
                <w:color w:val="auto"/>
              </w:rPr>
              <w:t>69,713</w:t>
            </w:r>
          </w:p>
        </w:tc>
        <w:tc>
          <w:tcPr>
            <w:tcW w:w="820" w:type="dxa"/>
            <w:vAlign w:val="bottom"/>
          </w:tcPr>
          <w:p>
            <w:pPr>
              <w:jc w:val="right"/>
              <w:spacing w:after="0"/>
              <w:rPr>
                <w:sz w:val="20"/>
                <w:szCs w:val="20"/>
                <w:color w:val="auto"/>
              </w:rPr>
            </w:pPr>
            <w:r>
              <w:rPr>
                <w:rFonts w:ascii="Arial" w:cs="Arial" w:eastAsia="Arial" w:hAnsi="Arial"/>
                <w:sz w:val="15"/>
                <w:szCs w:val="15"/>
                <w:color w:val="183964"/>
              </w:rPr>
              <w:t>—</w:t>
            </w:r>
          </w:p>
        </w:tc>
      </w:tr>
      <w:tr>
        <w:trPr>
          <w:trHeight w:val="25"/>
        </w:trPr>
        <w:tc>
          <w:tcPr>
            <w:tcW w:w="6180" w:type="dxa"/>
            <w:vAlign w:val="bottom"/>
            <w:tcBorders>
              <w:bottom w:val="single" w:sz="8" w:color="183964"/>
            </w:tcBorders>
          </w:tcPr>
          <w:p>
            <w:pPr>
              <w:spacing w:after="0"/>
              <w:rPr>
                <w:sz w:val="2"/>
                <w:szCs w:val="2"/>
                <w:color w:val="auto"/>
              </w:rPr>
            </w:pPr>
          </w:p>
        </w:tc>
        <w:tc>
          <w:tcPr>
            <w:tcW w:w="4220" w:type="dxa"/>
            <w:vAlign w:val="bottom"/>
            <w:tcBorders>
              <w:bottom w:val="single" w:sz="8" w:color="183964"/>
            </w:tcBorders>
          </w:tcPr>
          <w:p>
            <w:pPr>
              <w:spacing w:after="0"/>
              <w:rPr>
                <w:sz w:val="2"/>
                <w:szCs w:val="2"/>
                <w:color w:val="auto"/>
              </w:rPr>
            </w:pPr>
          </w:p>
        </w:tc>
        <w:tc>
          <w:tcPr>
            <w:tcW w:w="820" w:type="dxa"/>
            <w:vAlign w:val="bottom"/>
            <w:tcBorders>
              <w:bottom w:val="single" w:sz="8" w:color="183964"/>
            </w:tcBorders>
          </w:tcPr>
          <w:p>
            <w:pPr>
              <w:spacing w:after="0"/>
              <w:rPr>
                <w:sz w:val="2"/>
                <w:szCs w:val="2"/>
                <w:color w:val="auto"/>
              </w:rPr>
            </w:pPr>
          </w:p>
        </w:tc>
      </w:tr>
      <w:tr>
        <w:trPr>
          <w:trHeight w:val="212"/>
        </w:trPr>
        <w:tc>
          <w:tcPr>
            <w:tcW w:w="6180" w:type="dxa"/>
            <w:vAlign w:val="bottom"/>
          </w:tcPr>
          <w:p>
            <w:pPr>
              <w:ind w:left="20"/>
              <w:spacing w:after="0"/>
              <w:rPr>
                <w:sz w:val="20"/>
                <w:szCs w:val="20"/>
                <w:color w:val="auto"/>
              </w:rPr>
            </w:pPr>
            <w:r>
              <w:rPr>
                <w:rFonts w:ascii="Arial" w:cs="Arial" w:eastAsia="Arial" w:hAnsi="Arial"/>
                <w:sz w:val="15"/>
                <w:szCs w:val="15"/>
                <w:b w:val="1"/>
                <w:bCs w:val="1"/>
                <w:color w:val="auto"/>
              </w:rPr>
              <w:t>Total subsidiary preferred share balance</w:t>
            </w:r>
          </w:p>
        </w:tc>
        <w:tc>
          <w:tcPr>
            <w:tcW w:w="4220" w:type="dxa"/>
            <w:vAlign w:val="bottom"/>
          </w:tcPr>
          <w:p>
            <w:pPr>
              <w:jc w:val="right"/>
              <w:ind w:right="469"/>
              <w:spacing w:after="0"/>
              <w:rPr>
                <w:sz w:val="20"/>
                <w:szCs w:val="20"/>
                <w:color w:val="auto"/>
              </w:rPr>
            </w:pPr>
            <w:r>
              <w:rPr>
                <w:rFonts w:ascii="Arial" w:cs="Arial" w:eastAsia="Arial" w:hAnsi="Arial"/>
                <w:sz w:val="15"/>
                <w:szCs w:val="15"/>
                <w:b w:val="1"/>
                <w:bCs w:val="1"/>
                <w:color w:val="auto"/>
              </w:rPr>
              <w:t>69,882</w:t>
            </w:r>
          </w:p>
        </w:tc>
        <w:tc>
          <w:tcPr>
            <w:tcW w:w="820" w:type="dxa"/>
            <w:vAlign w:val="bottom"/>
          </w:tcPr>
          <w:p>
            <w:pPr>
              <w:jc w:val="right"/>
              <w:spacing w:after="0"/>
              <w:rPr>
                <w:sz w:val="20"/>
                <w:szCs w:val="20"/>
                <w:color w:val="auto"/>
              </w:rPr>
            </w:pPr>
            <w:r>
              <w:rPr>
                <w:rFonts w:ascii="Arial" w:cs="Arial" w:eastAsia="Arial" w:hAnsi="Arial"/>
                <w:sz w:val="15"/>
                <w:szCs w:val="15"/>
                <w:color w:val="183964"/>
              </w:rPr>
              <w:t>169</w:t>
            </w:r>
          </w:p>
        </w:tc>
      </w:tr>
      <w:tr>
        <w:trPr>
          <w:trHeight w:val="25"/>
        </w:trPr>
        <w:tc>
          <w:tcPr>
            <w:tcW w:w="618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158" w:lineRule="exact"/>
        <w:rPr>
          <w:sz w:val="20"/>
          <w:szCs w:val="20"/>
          <w:color w:val="auto"/>
        </w:rPr>
      </w:pPr>
    </w:p>
    <w:p>
      <w:pPr>
        <w:ind w:right="60"/>
        <w:spacing w:after="0" w:line="268" w:lineRule="auto"/>
        <w:rPr>
          <w:sz w:val="20"/>
          <w:szCs w:val="20"/>
          <w:color w:val="auto"/>
        </w:rPr>
      </w:pPr>
      <w:r>
        <w:rPr>
          <w:rFonts w:ascii="Arial" w:cs="Arial" w:eastAsia="Arial" w:hAnsi="Arial"/>
          <w:sz w:val="15"/>
          <w:szCs w:val="15"/>
          <w:color w:val="auto"/>
        </w:rPr>
        <w:t>As is customary, in the event of any voluntary or involuntary liquidation, dissolution or winding up of a subsidiary, the holders of outstanding subsidiary preferred shares shall be entitled to be paid out of the assets of the subsidiary available for distribution to shareholders and before any payment shall be made to holders of ordinary shares. A merger, acquisition, sale of voting control or other transaction of a subsidiary in which the shareholders of the subsidiary immediately before the transaction do not own a majority of the outstanding shares of the surviving company shall be deemed to be a liquidation event. Additionally, a sale, lease, transfer or other disposition of all or substantially all of the assets of the subsidiary shall also be deemed a liquidation event.</w:t>
      </w:r>
    </w:p>
    <w:p>
      <w:pPr>
        <w:spacing w:after="0" w:line="49" w:lineRule="exact"/>
        <w:rPr>
          <w:sz w:val="20"/>
          <w:szCs w:val="20"/>
          <w:color w:val="auto"/>
        </w:rPr>
      </w:pPr>
    </w:p>
    <w:p>
      <w:pPr>
        <w:ind w:right="260"/>
        <w:spacing w:after="0" w:line="301" w:lineRule="auto"/>
        <w:rPr>
          <w:sz w:val="20"/>
          <w:szCs w:val="20"/>
          <w:color w:val="auto"/>
        </w:rPr>
      </w:pPr>
      <w:r>
        <w:rPr>
          <w:rFonts w:ascii="Arial" w:cs="Arial" w:eastAsia="Arial" w:hAnsi="Arial"/>
          <w:sz w:val="15"/>
          <w:szCs w:val="15"/>
          <w:color w:val="auto"/>
        </w:rPr>
        <w:t>As of June 30, 2024 and December 31, 2023, the minimum liquidation preference reflecting the amounts that would be payable to the subsidiary preferred holders upon a liquidation event of the subsidiaries, is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0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240" w:type="dxa"/>
            <w:vAlign w:val="bottom"/>
          </w:tcPr>
          <w:p>
            <w:pPr>
              <w:jc w:val="right"/>
              <w:spacing w:after="0"/>
              <w:rPr>
                <w:sz w:val="20"/>
                <w:szCs w:val="20"/>
                <w:color w:val="auto"/>
              </w:rPr>
            </w:pPr>
            <w:r>
              <w:rPr>
                <w:rFonts w:ascii="Arial" w:cs="Arial" w:eastAsia="Arial" w:hAnsi="Arial"/>
                <w:sz w:val="13"/>
                <w:szCs w:val="13"/>
                <w:color w:val="183964"/>
              </w:rPr>
              <w:t>2023</w:t>
            </w:r>
          </w:p>
        </w:tc>
      </w:tr>
      <w:tr>
        <w:trPr>
          <w:trHeight w:val="172"/>
        </w:trPr>
        <w:tc>
          <w:tcPr>
            <w:tcW w:w="9080" w:type="dxa"/>
            <w:vAlign w:val="bottom"/>
          </w:tcPr>
          <w:p>
            <w:pPr>
              <w:ind w:left="20"/>
              <w:spacing w:after="0"/>
              <w:rPr>
                <w:sz w:val="20"/>
                <w:szCs w:val="20"/>
                <w:color w:val="auto"/>
              </w:rPr>
            </w:pPr>
            <w:r>
              <w:rPr>
                <w:rFonts w:ascii="Arial" w:cs="Arial" w:eastAsia="Arial" w:hAnsi="Arial"/>
                <w:sz w:val="13"/>
                <w:szCs w:val="13"/>
                <w:color w:val="auto"/>
              </w:rPr>
              <w:t>As of June 30, 2024 and December 31, 2023</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183964"/>
              </w:rPr>
              <w:t>$</w:t>
            </w:r>
          </w:p>
        </w:tc>
      </w:tr>
      <w:tr>
        <w:trPr>
          <w:trHeight w:val="22"/>
        </w:trPr>
        <w:tc>
          <w:tcPr>
            <w:tcW w:w="90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1"/>
        </w:trPr>
        <w:tc>
          <w:tcPr>
            <w:tcW w:w="9080" w:type="dxa"/>
            <w:vAlign w:val="bottom"/>
          </w:tcPr>
          <w:p>
            <w:pPr>
              <w:ind w:left="20"/>
              <w:spacing w:after="0"/>
              <w:rPr>
                <w:sz w:val="20"/>
                <w:szCs w:val="20"/>
                <w:color w:val="auto"/>
              </w:rPr>
            </w:pPr>
            <w:r>
              <w:rPr>
                <w:rFonts w:ascii="Arial" w:cs="Arial" w:eastAsia="Arial" w:hAnsi="Arial"/>
                <w:sz w:val="15"/>
                <w:szCs w:val="15"/>
                <w:color w:val="auto"/>
              </w:rPr>
              <w:t>Entrega</w:t>
            </w:r>
          </w:p>
        </w:tc>
        <w:tc>
          <w:tcPr>
            <w:tcW w:w="900" w:type="dxa"/>
            <w:vAlign w:val="bottom"/>
          </w:tcPr>
          <w:p>
            <w:pPr>
              <w:jc w:val="right"/>
              <w:ind w:right="48"/>
              <w:spacing w:after="0"/>
              <w:rPr>
                <w:sz w:val="20"/>
                <w:szCs w:val="20"/>
                <w:color w:val="auto"/>
              </w:rPr>
            </w:pPr>
            <w:r>
              <w:rPr>
                <w:rFonts w:ascii="Arial" w:cs="Arial" w:eastAsia="Arial" w:hAnsi="Arial"/>
                <w:sz w:val="15"/>
                <w:szCs w:val="15"/>
                <w:b w:val="1"/>
                <w:bCs w:val="1"/>
                <w:color w:val="auto"/>
              </w:rPr>
              <w:t>2,216</w:t>
            </w:r>
          </w:p>
        </w:tc>
        <w:tc>
          <w:tcPr>
            <w:tcW w:w="1240" w:type="dxa"/>
            <w:vAlign w:val="bottom"/>
          </w:tcPr>
          <w:p>
            <w:pPr>
              <w:jc w:val="right"/>
              <w:spacing w:after="0"/>
              <w:rPr>
                <w:sz w:val="20"/>
                <w:szCs w:val="20"/>
                <w:color w:val="auto"/>
              </w:rPr>
            </w:pPr>
            <w:r>
              <w:rPr>
                <w:rFonts w:ascii="Arial" w:cs="Arial" w:eastAsia="Arial" w:hAnsi="Arial"/>
                <w:sz w:val="15"/>
                <w:szCs w:val="15"/>
                <w:color w:val="183964"/>
              </w:rPr>
              <w:t>2,216</w:t>
            </w:r>
          </w:p>
        </w:tc>
      </w:tr>
      <w:tr>
        <w:trPr>
          <w:trHeight w:val="243"/>
        </w:trPr>
        <w:tc>
          <w:tcPr>
            <w:tcW w:w="9080" w:type="dxa"/>
            <w:vAlign w:val="bottom"/>
          </w:tcPr>
          <w:p>
            <w:pPr>
              <w:ind w:left="20"/>
              <w:spacing w:after="0"/>
              <w:rPr>
                <w:sz w:val="20"/>
                <w:szCs w:val="20"/>
                <w:color w:val="auto"/>
              </w:rPr>
            </w:pPr>
            <w:r>
              <w:rPr>
                <w:rFonts w:ascii="Arial" w:cs="Arial" w:eastAsia="Arial" w:hAnsi="Arial"/>
                <w:sz w:val="15"/>
                <w:szCs w:val="15"/>
                <w:color w:val="auto"/>
              </w:rPr>
              <w:t>Follica</w:t>
            </w:r>
          </w:p>
        </w:tc>
        <w:tc>
          <w:tcPr>
            <w:tcW w:w="900" w:type="dxa"/>
            <w:vAlign w:val="bottom"/>
          </w:tcPr>
          <w:p>
            <w:pPr>
              <w:jc w:val="right"/>
              <w:ind w:right="48"/>
              <w:spacing w:after="0"/>
              <w:rPr>
                <w:sz w:val="20"/>
                <w:szCs w:val="20"/>
                <w:color w:val="auto"/>
              </w:rPr>
            </w:pPr>
            <w:r>
              <w:rPr>
                <w:rFonts w:ascii="Arial" w:cs="Arial" w:eastAsia="Arial" w:hAnsi="Arial"/>
                <w:sz w:val="15"/>
                <w:szCs w:val="15"/>
                <w:b w:val="1"/>
                <w:bCs w:val="1"/>
                <w:color w:val="auto"/>
              </w:rPr>
              <w:t>6,405</w:t>
            </w:r>
          </w:p>
        </w:tc>
        <w:tc>
          <w:tcPr>
            <w:tcW w:w="1240" w:type="dxa"/>
            <w:vAlign w:val="bottom"/>
          </w:tcPr>
          <w:p>
            <w:pPr>
              <w:jc w:val="right"/>
              <w:spacing w:after="0"/>
              <w:rPr>
                <w:sz w:val="20"/>
                <w:szCs w:val="20"/>
                <w:color w:val="auto"/>
              </w:rPr>
            </w:pPr>
            <w:r>
              <w:rPr>
                <w:rFonts w:ascii="Arial" w:cs="Arial" w:eastAsia="Arial" w:hAnsi="Arial"/>
                <w:sz w:val="15"/>
                <w:szCs w:val="15"/>
                <w:color w:val="183964"/>
              </w:rPr>
              <w:t>6,405</w:t>
            </w:r>
          </w:p>
        </w:tc>
      </w:tr>
      <w:tr>
        <w:trPr>
          <w:trHeight w:val="243"/>
        </w:trPr>
        <w:tc>
          <w:tcPr>
            <w:tcW w:w="9080" w:type="dxa"/>
            <w:vAlign w:val="bottom"/>
          </w:tcPr>
          <w:p>
            <w:pPr>
              <w:ind w:left="20"/>
              <w:spacing w:after="0"/>
              <w:rPr>
                <w:sz w:val="20"/>
                <w:szCs w:val="20"/>
                <w:color w:val="auto"/>
              </w:rPr>
            </w:pPr>
            <w:r>
              <w:rPr>
                <w:rFonts w:ascii="Arial" w:cs="Arial" w:eastAsia="Arial" w:hAnsi="Arial"/>
                <w:sz w:val="15"/>
                <w:szCs w:val="15"/>
                <w:color w:val="auto"/>
              </w:rPr>
              <w:t>Seaport</w:t>
            </w:r>
          </w:p>
        </w:tc>
        <w:tc>
          <w:tcPr>
            <w:tcW w:w="900" w:type="dxa"/>
            <w:vAlign w:val="bottom"/>
          </w:tcPr>
          <w:p>
            <w:pPr>
              <w:jc w:val="right"/>
              <w:ind w:right="48"/>
              <w:spacing w:after="0"/>
              <w:rPr>
                <w:sz w:val="20"/>
                <w:szCs w:val="20"/>
                <w:color w:val="auto"/>
              </w:rPr>
            </w:pPr>
            <w:r>
              <w:rPr>
                <w:rFonts w:ascii="Arial" w:cs="Arial" w:eastAsia="Arial" w:hAnsi="Arial"/>
                <w:sz w:val="15"/>
                <w:szCs w:val="15"/>
                <w:b w:val="1"/>
                <w:bCs w:val="1"/>
                <w:color w:val="auto"/>
              </w:rPr>
              <w:t>68,100</w:t>
            </w:r>
          </w:p>
        </w:tc>
        <w:tc>
          <w:tcPr>
            <w:tcW w:w="1240" w:type="dxa"/>
            <w:vAlign w:val="bottom"/>
          </w:tcPr>
          <w:p>
            <w:pPr>
              <w:jc w:val="right"/>
              <w:spacing w:after="0"/>
              <w:rPr>
                <w:sz w:val="20"/>
                <w:szCs w:val="20"/>
                <w:color w:val="auto"/>
              </w:rPr>
            </w:pPr>
            <w:r>
              <w:rPr>
                <w:rFonts w:ascii="Arial" w:cs="Arial" w:eastAsia="Arial" w:hAnsi="Arial"/>
                <w:sz w:val="15"/>
                <w:szCs w:val="15"/>
                <w:color w:val="183964"/>
              </w:rPr>
              <w:t>—</w:t>
            </w:r>
          </w:p>
        </w:tc>
      </w:tr>
      <w:tr>
        <w:trPr>
          <w:trHeight w:val="25"/>
        </w:trPr>
        <w:tc>
          <w:tcPr>
            <w:tcW w:w="9080" w:type="dxa"/>
            <w:vAlign w:val="bottom"/>
            <w:tcBorders>
              <w:bottom w:val="single" w:sz="8" w:color="183964"/>
            </w:tcBorders>
          </w:tcPr>
          <w:p>
            <w:pPr>
              <w:spacing w:after="0"/>
              <w:rPr>
                <w:sz w:val="2"/>
                <w:szCs w:val="2"/>
                <w:color w:val="auto"/>
              </w:rPr>
            </w:pPr>
          </w:p>
        </w:tc>
        <w:tc>
          <w:tcPr>
            <w:tcW w:w="900" w:type="dxa"/>
            <w:vAlign w:val="bottom"/>
            <w:tcBorders>
              <w:bottom w:val="single" w:sz="8" w:color="183964"/>
            </w:tcBorders>
          </w:tcPr>
          <w:p>
            <w:pPr>
              <w:spacing w:after="0"/>
              <w:rPr>
                <w:sz w:val="2"/>
                <w:szCs w:val="2"/>
                <w:color w:val="auto"/>
              </w:rPr>
            </w:pPr>
          </w:p>
        </w:tc>
        <w:tc>
          <w:tcPr>
            <w:tcW w:w="1240" w:type="dxa"/>
            <w:vAlign w:val="bottom"/>
            <w:tcBorders>
              <w:bottom w:val="single" w:sz="8" w:color="183964"/>
            </w:tcBorders>
          </w:tcPr>
          <w:p>
            <w:pPr>
              <w:spacing w:after="0"/>
              <w:rPr>
                <w:sz w:val="2"/>
                <w:szCs w:val="2"/>
                <w:color w:val="auto"/>
              </w:rPr>
            </w:pPr>
          </w:p>
        </w:tc>
      </w:tr>
      <w:tr>
        <w:trPr>
          <w:trHeight w:val="211"/>
        </w:trPr>
        <w:tc>
          <w:tcPr>
            <w:tcW w:w="9080" w:type="dxa"/>
            <w:vAlign w:val="bottom"/>
          </w:tcPr>
          <w:p>
            <w:pPr>
              <w:ind w:left="20"/>
              <w:spacing w:after="0"/>
              <w:rPr>
                <w:sz w:val="20"/>
                <w:szCs w:val="20"/>
                <w:color w:val="auto"/>
              </w:rPr>
            </w:pPr>
            <w:r>
              <w:rPr>
                <w:rFonts w:ascii="Arial" w:cs="Arial" w:eastAsia="Arial" w:hAnsi="Arial"/>
                <w:sz w:val="15"/>
                <w:szCs w:val="15"/>
                <w:b w:val="1"/>
                <w:bCs w:val="1"/>
                <w:color w:val="auto"/>
              </w:rPr>
              <w:t>Total minimum liquidation preference</w:t>
            </w:r>
          </w:p>
        </w:tc>
        <w:tc>
          <w:tcPr>
            <w:tcW w:w="900" w:type="dxa"/>
            <w:vAlign w:val="bottom"/>
          </w:tcPr>
          <w:p>
            <w:pPr>
              <w:jc w:val="right"/>
              <w:ind w:right="48"/>
              <w:spacing w:after="0"/>
              <w:rPr>
                <w:sz w:val="20"/>
                <w:szCs w:val="20"/>
                <w:color w:val="auto"/>
              </w:rPr>
            </w:pPr>
            <w:r>
              <w:rPr>
                <w:rFonts w:ascii="Arial" w:cs="Arial" w:eastAsia="Arial" w:hAnsi="Arial"/>
                <w:sz w:val="15"/>
                <w:szCs w:val="15"/>
                <w:b w:val="1"/>
                <w:bCs w:val="1"/>
                <w:color w:val="auto"/>
              </w:rPr>
              <w:t>76,721</w:t>
            </w:r>
          </w:p>
        </w:tc>
        <w:tc>
          <w:tcPr>
            <w:tcW w:w="1240" w:type="dxa"/>
            <w:vAlign w:val="bottom"/>
          </w:tcPr>
          <w:p>
            <w:pPr>
              <w:jc w:val="right"/>
              <w:spacing w:after="0"/>
              <w:rPr>
                <w:sz w:val="20"/>
                <w:szCs w:val="20"/>
                <w:color w:val="auto"/>
              </w:rPr>
            </w:pPr>
            <w:r>
              <w:rPr>
                <w:rFonts w:ascii="Arial" w:cs="Arial" w:eastAsia="Arial" w:hAnsi="Arial"/>
                <w:sz w:val="15"/>
                <w:szCs w:val="15"/>
                <w:color w:val="183964"/>
              </w:rPr>
              <w:t>8,621</w:t>
            </w:r>
          </w:p>
        </w:tc>
      </w:tr>
      <w:tr>
        <w:trPr>
          <w:trHeight w:val="25"/>
        </w:trPr>
        <w:tc>
          <w:tcPr>
            <w:tcW w:w="90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365"/>
        </w:trPr>
        <w:tc>
          <w:tcPr>
            <w:tcW w:w="9080" w:type="dxa"/>
            <w:vAlign w:val="bottom"/>
          </w:tcPr>
          <w:p>
            <w:pPr>
              <w:spacing w:after="0"/>
              <w:rPr>
                <w:sz w:val="20"/>
                <w:szCs w:val="20"/>
                <w:color w:val="auto"/>
              </w:rPr>
            </w:pPr>
            <w:r>
              <w:rPr>
                <w:rFonts w:ascii="Arial" w:cs="Arial" w:eastAsia="Arial" w:hAnsi="Arial"/>
                <w:sz w:val="15"/>
                <w:szCs w:val="15"/>
                <w:color w:val="auto"/>
              </w:rPr>
              <w:t>For the six months ended June 30, 2024, the Group recognized the following changes in the value of subsidiary preferred shares:</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515"/>
        </w:trPr>
        <w:tc>
          <w:tcPr>
            <w:tcW w:w="9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Subsidiary Preferred</w:t>
            </w:r>
          </w:p>
        </w:tc>
      </w:tr>
      <w:tr>
        <w:trPr>
          <w:trHeight w:val="149"/>
        </w:trPr>
        <w:tc>
          <w:tcPr>
            <w:tcW w:w="90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Shares</w:t>
            </w:r>
          </w:p>
        </w:tc>
      </w:tr>
      <w:tr>
        <w:trPr>
          <w:trHeight w:val="166"/>
        </w:trPr>
        <w:tc>
          <w:tcPr>
            <w:tcW w:w="9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41"/>
        </w:trPr>
        <w:tc>
          <w:tcPr>
            <w:tcW w:w="90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03"/>
        </w:trPr>
        <w:tc>
          <w:tcPr>
            <w:tcW w:w="9080" w:type="dxa"/>
            <w:vAlign w:val="bottom"/>
          </w:tcPr>
          <w:p>
            <w:pPr>
              <w:ind w:left="20"/>
              <w:spacing w:after="0"/>
              <w:rPr>
                <w:sz w:val="20"/>
                <w:szCs w:val="20"/>
                <w:color w:val="auto"/>
              </w:rPr>
            </w:pPr>
            <w:r>
              <w:rPr>
                <w:rFonts w:ascii="Arial" w:cs="Arial" w:eastAsia="Arial" w:hAnsi="Arial"/>
                <w:sz w:val="15"/>
                <w:szCs w:val="15"/>
                <w:color w:val="auto"/>
              </w:rPr>
              <w:t>Balance as of December 31 2023</w:t>
            </w:r>
          </w:p>
        </w:tc>
        <w:tc>
          <w:tcPr>
            <w:tcW w:w="9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183964"/>
              </w:rPr>
              <w:t>169</w:t>
            </w:r>
          </w:p>
        </w:tc>
      </w:tr>
      <w:tr>
        <w:trPr>
          <w:trHeight w:val="243"/>
        </w:trPr>
        <w:tc>
          <w:tcPr>
            <w:tcW w:w="9080" w:type="dxa"/>
            <w:vAlign w:val="bottom"/>
          </w:tcPr>
          <w:p>
            <w:pPr>
              <w:ind w:left="20"/>
              <w:spacing w:after="0"/>
              <w:rPr>
                <w:sz w:val="20"/>
                <w:szCs w:val="20"/>
                <w:color w:val="auto"/>
              </w:rPr>
            </w:pPr>
            <w:r>
              <w:rPr>
                <w:rFonts w:ascii="Arial" w:cs="Arial" w:eastAsia="Arial" w:hAnsi="Arial"/>
                <w:sz w:val="15"/>
                <w:szCs w:val="15"/>
                <w:color w:val="auto"/>
              </w:rPr>
              <w:t>Issuance of new preferred shares</w:t>
            </w:r>
          </w:p>
        </w:tc>
        <w:tc>
          <w:tcPr>
            <w:tcW w:w="9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183964"/>
              </w:rPr>
              <w:t>68,100</w:t>
            </w:r>
          </w:p>
        </w:tc>
      </w:tr>
      <w:tr>
        <w:trPr>
          <w:trHeight w:val="243"/>
        </w:trPr>
        <w:tc>
          <w:tcPr>
            <w:tcW w:w="9080" w:type="dxa"/>
            <w:vAlign w:val="bottom"/>
          </w:tcPr>
          <w:p>
            <w:pPr>
              <w:ind w:left="20"/>
              <w:spacing w:after="0"/>
              <w:rPr>
                <w:sz w:val="20"/>
                <w:szCs w:val="20"/>
                <w:color w:val="auto"/>
              </w:rPr>
            </w:pPr>
            <w:r>
              <w:rPr>
                <w:rFonts w:ascii="Arial" w:cs="Arial" w:eastAsia="Arial" w:hAnsi="Arial"/>
                <w:sz w:val="15"/>
                <w:szCs w:val="15"/>
                <w:color w:val="auto"/>
              </w:rPr>
              <w:t>Increase/(decrease) in value of preferred shares measured at fair value*</w:t>
            </w:r>
          </w:p>
        </w:tc>
        <w:tc>
          <w:tcPr>
            <w:tcW w:w="9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183964"/>
              </w:rPr>
              <w:t>1,613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234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6140" w:type="dxa"/>
            <w:vAlign w:val="bottom"/>
          </w:tcPr>
          <w:p>
            <w:pPr>
              <w:spacing w:after="0"/>
              <w:rPr>
                <w:sz w:val="20"/>
                <w:szCs w:val="20"/>
                <w:color w:val="auto"/>
              </w:rPr>
            </w:pPr>
            <w:r>
              <w:rPr>
                <w:rFonts w:ascii="Arial" w:cs="Arial" w:eastAsia="Arial" w:hAnsi="Arial"/>
                <w:sz w:val="15"/>
                <w:szCs w:val="15"/>
                <w:b w:val="1"/>
                <w:bCs w:val="1"/>
                <w:color w:val="auto"/>
              </w:rPr>
              <w:t>Balance as of June 30</w:t>
            </w:r>
          </w:p>
        </w:tc>
        <w:tc>
          <w:tcPr>
            <w:tcW w:w="50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69,882</w:t>
            </w:r>
          </w:p>
        </w:tc>
        <w:tc>
          <w:tcPr>
            <w:tcW w:w="0" w:type="dxa"/>
            <w:vAlign w:val="bottom"/>
          </w:tcPr>
          <w:p>
            <w:pPr>
              <w:spacing w:after="0"/>
              <w:rPr>
                <w:sz w:val="1"/>
                <w:szCs w:val="1"/>
                <w:color w:val="auto"/>
              </w:rPr>
            </w:pPr>
          </w:p>
        </w:tc>
      </w:tr>
      <w:tr>
        <w:trPr>
          <w:trHeight w:val="81"/>
        </w:trPr>
        <w:tc>
          <w:tcPr>
            <w:tcW w:w="6140" w:type="dxa"/>
            <w:vAlign w:val="bottom"/>
          </w:tcPr>
          <w:p>
            <w:pPr>
              <w:spacing w:after="0"/>
              <w:rPr>
                <w:sz w:val="7"/>
                <w:szCs w:val="7"/>
                <w:color w:val="auto"/>
              </w:rPr>
            </w:pPr>
          </w:p>
        </w:tc>
        <w:tc>
          <w:tcPr>
            <w:tcW w:w="5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234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81" w:lineRule="exact"/>
        <w:rPr>
          <w:sz w:val="20"/>
          <w:szCs w:val="20"/>
          <w:color w:val="auto"/>
        </w:rPr>
      </w:pPr>
    </w:p>
    <w:p>
      <w:pPr>
        <w:ind w:left="160" w:hanging="152"/>
        <w:spacing w:after="0"/>
        <w:tabs>
          <w:tab w:leader="none" w:pos="160" w:val="left"/>
        </w:tabs>
        <w:numPr>
          <w:ilvl w:val="0"/>
          <w:numId w:val="25"/>
        </w:numPr>
        <w:rPr>
          <w:rFonts w:ascii="Arial" w:cs="Arial" w:eastAsia="Arial" w:hAnsi="Arial"/>
          <w:sz w:val="11"/>
          <w:szCs w:val="11"/>
          <w:color w:val="183964"/>
        </w:rPr>
      </w:pPr>
      <w:r>
        <w:rPr>
          <w:rFonts w:ascii="Arial" w:cs="Arial" w:eastAsia="Arial" w:hAnsi="Arial"/>
          <w:sz w:val="11"/>
          <w:szCs w:val="11"/>
          <w:color w:val="183964"/>
        </w:rPr>
        <w:t>The changes in fair value of preferred shares are included in total finance income/(costs) – fair value accounting in the Condensed Consolidated Statement of Comprehensive Income/(Loss).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738505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3" w:right="359" w:bottom="1440" w:gutter="0" w:footer="0" w:header="0"/>
        </w:sectPr>
      </w:pPr>
    </w:p>
    <w:bookmarkStart w:id="34" w:name="page35"/>
    <w:bookmarkEnd w:id="34"/>
    <w:p>
      <w:pPr>
        <w:ind w:left="440" w:hanging="432"/>
        <w:spacing w:after="0"/>
        <w:tabs>
          <w:tab w:leader="none" w:pos="440" w:val="left"/>
        </w:tabs>
        <w:numPr>
          <w:ilvl w:val="0"/>
          <w:numId w:val="26"/>
        </w:numPr>
        <w:rPr>
          <w:rFonts w:ascii="Arial" w:cs="Arial" w:eastAsia="Arial" w:hAnsi="Arial"/>
          <w:sz w:val="15"/>
          <w:szCs w:val="15"/>
          <w:b w:val="1"/>
          <w:bCs w:val="1"/>
          <w:color w:val="183964"/>
        </w:rPr>
      </w:pPr>
      <w:r>
        <w:rPr>
          <w:rFonts w:ascii="Arial" w:cs="Arial" w:eastAsia="Arial" w:hAnsi="Arial"/>
          <w:sz w:val="15"/>
          <w:szCs w:val="15"/>
          <w:b w:val="1"/>
          <w:bCs w:val="1"/>
          <w:color w:val="183964"/>
        </w:rPr>
        <w:t>Sale of Future Royalties Liability</w:t>
      </w:r>
    </w:p>
    <w:p>
      <w:pPr>
        <w:spacing w:after="0" w:line="100" w:lineRule="exact"/>
        <w:rPr>
          <w:sz w:val="20"/>
          <w:szCs w:val="20"/>
          <w:color w:val="auto"/>
        </w:rPr>
      </w:pPr>
    </w:p>
    <w:p>
      <w:pPr>
        <w:jc w:val="both"/>
        <w:ind w:right="100"/>
        <w:spacing w:after="0" w:line="273" w:lineRule="auto"/>
        <w:rPr>
          <w:sz w:val="20"/>
          <w:szCs w:val="20"/>
          <w:color w:val="auto"/>
        </w:rPr>
      </w:pPr>
      <w:r>
        <w:rPr>
          <w:rFonts w:ascii="Arial" w:cs="Arial" w:eastAsia="Arial" w:hAnsi="Arial"/>
          <w:sz w:val="15"/>
          <w:szCs w:val="15"/>
          <w:color w:val="auto"/>
        </w:rPr>
        <w:t>On March 4, 2011, the Group entered into a license agreement with Karuna Therapeutics, Inc. (“Karuna”) according to which the Group granted Karuna an exclusive license to research, develop and sell KarXT in exchange for a royalty on annual net sales, development and regulatory milestones and a fixed portion of sublicensing income, if any (hereinafter “License Agreement”).</w:t>
      </w:r>
    </w:p>
    <w:p>
      <w:pPr>
        <w:spacing w:after="0" w:line="46"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color w:val="auto"/>
        </w:rPr>
        <w:t>On March 22, 2023, the Group signed an agreement with Royalty Pharma (the "Royalty Purchase Agreement"), according to which the Group sold Royalty Pharma a partial right to receive royalty payments made by Karuna in respect of net sales of KarXT, if and when received. According to the Royalty Purchase Agreement, all royalties due to the Group under the License Agreement will be paid to Royalty Pharma up until an annual sales threshold of $60,000, while all royalties above such annual threshold in a given year will be split 33% to Royalty Pharma and 67% to the Group. Under the terms of the Royalty Purchase Agreement, the Group received a non-refundable initial payment of $100,000 at the execution of the Royalty Purchase Agreement and is eligible to receive additional payments in the aggregate of up to an additional $400,000 based on the achievement of certain regulatory and commercial milestones.</w:t>
      </w:r>
    </w:p>
    <w:p>
      <w:pPr>
        <w:spacing w:after="0" w:line="54" w:lineRule="exact"/>
        <w:rPr>
          <w:sz w:val="20"/>
          <w:szCs w:val="20"/>
          <w:color w:val="auto"/>
        </w:rPr>
      </w:pPr>
    </w:p>
    <w:p>
      <w:pPr>
        <w:ind w:right="40"/>
        <w:spacing w:after="0" w:line="269" w:lineRule="auto"/>
        <w:rPr>
          <w:sz w:val="20"/>
          <w:szCs w:val="20"/>
          <w:color w:val="auto"/>
        </w:rPr>
      </w:pPr>
      <w:r>
        <w:rPr>
          <w:rFonts w:ascii="Arial" w:cs="Arial" w:eastAsia="Arial" w:hAnsi="Arial"/>
          <w:sz w:val="15"/>
          <w:szCs w:val="15"/>
          <w:color w:val="auto"/>
        </w:rPr>
        <w:t>The Group continues to hold the rights under the License Agreement and has a contractual obligation to deliver cash to Royalty Pharma for a portion of the royalties it receives. Therefore, the Group will continue to account for any royalties and regulatory milestones due to the Group under the License Agreement as revenue and record the proceeds from the Royalty Purchase Agreement as a financial liability on its financial statements. In determining the appropriate accounting treatment for the Royalty Purchase Agreement, management applied significant judgement.</w:t>
      </w:r>
    </w:p>
    <w:p>
      <w:pPr>
        <w:spacing w:after="0" w:line="64" w:lineRule="exact"/>
        <w:rPr>
          <w:sz w:val="20"/>
          <w:szCs w:val="20"/>
          <w:color w:val="auto"/>
        </w:rPr>
      </w:pPr>
    </w:p>
    <w:p>
      <w:pPr>
        <w:ind w:right="440"/>
        <w:spacing w:after="0" w:line="283" w:lineRule="auto"/>
        <w:rPr>
          <w:sz w:val="20"/>
          <w:szCs w:val="20"/>
          <w:color w:val="auto"/>
        </w:rPr>
      </w:pPr>
      <w:r>
        <w:rPr>
          <w:rFonts w:ascii="Arial" w:cs="Arial" w:eastAsia="Arial" w:hAnsi="Arial"/>
          <w:sz w:val="15"/>
          <w:szCs w:val="15"/>
          <w:color w:val="auto"/>
        </w:rPr>
        <w:t>The acquisition of Karuna by Bristol Myers Squibb (NYSE: BMY), which closed on March 18, 2024, had no impact on the Group's rights or obligations under the License Agreement or Royalty Purchase Agreement, each of which remains in full force and effect.</w:t>
      </w:r>
    </w:p>
    <w:p>
      <w:pPr>
        <w:spacing w:after="0" w:line="39" w:lineRule="exact"/>
        <w:rPr>
          <w:sz w:val="20"/>
          <w:szCs w:val="20"/>
          <w:color w:val="auto"/>
        </w:rPr>
      </w:pPr>
    </w:p>
    <w:p>
      <w:pPr>
        <w:ind w:right="180"/>
        <w:spacing w:after="0" w:line="269" w:lineRule="auto"/>
        <w:rPr>
          <w:sz w:val="20"/>
          <w:szCs w:val="20"/>
          <w:color w:val="auto"/>
        </w:rPr>
      </w:pPr>
      <w:r>
        <w:rPr>
          <w:rFonts w:ascii="Arial" w:cs="Arial" w:eastAsia="Arial" w:hAnsi="Arial"/>
          <w:sz w:val="15"/>
          <w:szCs w:val="15"/>
          <w:color w:val="auto"/>
        </w:rPr>
        <w:t>In order to determine the amortized cost of the sale of future royalties liability, management is required to estimate the total amount of future receipts from and payments to Royalty Pharma under the Royalty Purchase Agreement over the life of the agreement. The $100,000 liability, recorded at execution of the Royalty Purchase Agreement, is accreted to the total of these receipts and payments as interest expense over the life of the Royalty Purchase Agreement. These estimates contain assumptions that impact both the amortized cost of the liability and the interest expense that are recognized in each reporting period.</w:t>
      </w:r>
    </w:p>
    <w:p>
      <w:pPr>
        <w:spacing w:after="0" w:line="50"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color w:val="auto"/>
        </w:rPr>
        <w:t>Additional proceeds received from Royalty Pharma will increase the Group’s financial liability. As royalty payments are made to Royalty Pharma, the balance of the liability will be effectively repaid over the life of the Royalty Purchase Agreement. To date, the Group has not made any royalty payments to Royalty Pharma. The estimated timing and amount of royalty payments to and proceeds from Royalty Pharma are likely to change over the life of the Royalty Purchase Agreement. A significant increase or decrease in estimated royalty payments, or a significant shift in the timing of cash flows, will materially impact the sale of future royalties liability, interest expense and the time period for repayment. The Group periodically assesses the expected payments to, or proceeds from, Royalty Pharma. Any such changes in amount or timing of cash flows requires the Group to re-calculate the amortized cost of the sale of future royalties liability as the present value of the estimated future cash flows from the Royalty Purchase Agreement that are discounted at the liability’s original effective interest rate. The adjustment is recognized immediately in profit or loss as income or expense.</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color w:val="auto"/>
        </w:rPr>
        <w:t>The following shows the activity in respect of the sale of future royalties liability: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40" w:type="dxa"/>
            <w:vAlign w:val="bottom"/>
          </w:tcPr>
          <w:p>
            <w:pPr>
              <w:spacing w:after="0"/>
              <w:rPr>
                <w:sz w:val="12"/>
                <w:szCs w:val="12"/>
                <w:color w:val="auto"/>
              </w:rPr>
            </w:pPr>
          </w:p>
        </w:tc>
        <w:tc>
          <w:tcPr>
            <w:tcW w:w="4800" w:type="dxa"/>
            <w:vAlign w:val="bottom"/>
            <w:gridSpan w:val="2"/>
          </w:tcPr>
          <w:p>
            <w:pPr>
              <w:jc w:val="right"/>
              <w:ind w:right="40"/>
              <w:spacing w:after="0"/>
              <w:rPr>
                <w:sz w:val="20"/>
                <w:szCs w:val="20"/>
                <w:color w:val="auto"/>
              </w:rPr>
            </w:pPr>
            <w:r>
              <w:rPr>
                <w:rFonts w:ascii="Arial" w:cs="Arial" w:eastAsia="Arial" w:hAnsi="Arial"/>
                <w:sz w:val="13"/>
                <w:szCs w:val="13"/>
                <w:color w:val="auto"/>
              </w:rPr>
              <w:t>Sale of future royalties</w:t>
            </w:r>
          </w:p>
        </w:tc>
      </w:tr>
      <w:tr>
        <w:trPr>
          <w:trHeight w:val="149"/>
        </w:trPr>
        <w:tc>
          <w:tcPr>
            <w:tcW w:w="6440" w:type="dxa"/>
            <w:vAlign w:val="bottom"/>
          </w:tcPr>
          <w:p>
            <w:pPr>
              <w:spacing w:after="0"/>
              <w:rPr>
                <w:sz w:val="12"/>
                <w:szCs w:val="12"/>
                <w:color w:val="auto"/>
              </w:rPr>
            </w:pPr>
          </w:p>
        </w:tc>
        <w:tc>
          <w:tcPr>
            <w:tcW w:w="4800" w:type="dxa"/>
            <w:vAlign w:val="bottom"/>
            <w:gridSpan w:val="2"/>
          </w:tcPr>
          <w:p>
            <w:pPr>
              <w:jc w:val="right"/>
              <w:ind w:right="40"/>
              <w:spacing w:after="0"/>
              <w:rPr>
                <w:sz w:val="20"/>
                <w:szCs w:val="20"/>
                <w:color w:val="auto"/>
              </w:rPr>
            </w:pPr>
            <w:r>
              <w:rPr>
                <w:rFonts w:ascii="Arial" w:cs="Arial" w:eastAsia="Arial" w:hAnsi="Arial"/>
                <w:sz w:val="13"/>
                <w:szCs w:val="13"/>
                <w:color w:val="auto"/>
              </w:rPr>
              <w:t>liability</w:t>
            </w:r>
          </w:p>
        </w:tc>
      </w:tr>
      <w:tr>
        <w:trPr>
          <w:trHeight w:val="166"/>
        </w:trPr>
        <w:tc>
          <w:tcPr>
            <w:tcW w:w="6440" w:type="dxa"/>
            <w:vAlign w:val="bottom"/>
          </w:tcPr>
          <w:p>
            <w:pPr>
              <w:spacing w:after="0"/>
              <w:rPr>
                <w:sz w:val="14"/>
                <w:szCs w:val="14"/>
                <w:color w:val="auto"/>
              </w:rPr>
            </w:pPr>
          </w:p>
        </w:tc>
        <w:tc>
          <w:tcPr>
            <w:tcW w:w="47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41"/>
        </w:trPr>
        <w:tc>
          <w:tcPr>
            <w:tcW w:w="6440" w:type="dxa"/>
            <w:vAlign w:val="bottom"/>
            <w:tcBorders>
              <w:bottom w:val="single" w:sz="8" w:color="auto"/>
            </w:tcBorders>
          </w:tcPr>
          <w:p>
            <w:pPr>
              <w:spacing w:after="0"/>
              <w:rPr>
                <w:sz w:val="3"/>
                <w:szCs w:val="3"/>
                <w:color w:val="auto"/>
              </w:rPr>
            </w:pPr>
          </w:p>
        </w:tc>
        <w:tc>
          <w:tcPr>
            <w:tcW w:w="47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03"/>
        </w:trPr>
        <w:tc>
          <w:tcPr>
            <w:tcW w:w="6440" w:type="dxa"/>
            <w:vAlign w:val="bottom"/>
          </w:tcPr>
          <w:p>
            <w:pPr>
              <w:ind w:left="20"/>
              <w:spacing w:after="0"/>
              <w:rPr>
                <w:sz w:val="20"/>
                <w:szCs w:val="20"/>
                <w:color w:val="auto"/>
              </w:rPr>
            </w:pPr>
            <w:r>
              <w:rPr>
                <w:rFonts w:ascii="Arial" w:cs="Arial" w:eastAsia="Arial" w:hAnsi="Arial"/>
                <w:sz w:val="15"/>
                <w:szCs w:val="15"/>
                <w:color w:val="auto"/>
              </w:rPr>
              <w:t>Balance as of December 31, 2023</w:t>
            </w:r>
          </w:p>
        </w:tc>
        <w:tc>
          <w:tcPr>
            <w:tcW w:w="4780" w:type="dxa"/>
            <w:vAlign w:val="bottom"/>
          </w:tcPr>
          <w:p>
            <w:pPr>
              <w:jc w:val="right"/>
              <w:spacing w:after="0"/>
              <w:rPr>
                <w:sz w:val="20"/>
                <w:szCs w:val="20"/>
                <w:color w:val="auto"/>
              </w:rPr>
            </w:pPr>
            <w:r>
              <w:rPr>
                <w:rFonts w:ascii="Arial" w:cs="Arial" w:eastAsia="Arial" w:hAnsi="Arial"/>
                <w:sz w:val="15"/>
                <w:szCs w:val="15"/>
                <w:color w:val="183964"/>
              </w:rPr>
              <w:t>110,159</w:t>
            </w:r>
          </w:p>
        </w:tc>
        <w:tc>
          <w:tcPr>
            <w:tcW w:w="20" w:type="dxa"/>
            <w:vAlign w:val="bottom"/>
          </w:tcPr>
          <w:p>
            <w:pPr>
              <w:spacing w:after="0"/>
              <w:rPr>
                <w:sz w:val="17"/>
                <w:szCs w:val="17"/>
                <w:color w:val="auto"/>
              </w:rPr>
            </w:pPr>
          </w:p>
        </w:tc>
      </w:tr>
      <w:tr>
        <w:trPr>
          <w:trHeight w:val="243"/>
        </w:trPr>
        <w:tc>
          <w:tcPr>
            <w:tcW w:w="6440" w:type="dxa"/>
            <w:vAlign w:val="bottom"/>
          </w:tcPr>
          <w:p>
            <w:pPr>
              <w:ind w:left="20"/>
              <w:spacing w:after="0"/>
              <w:rPr>
                <w:sz w:val="20"/>
                <w:szCs w:val="20"/>
                <w:color w:val="auto"/>
              </w:rPr>
            </w:pPr>
            <w:r>
              <w:rPr>
                <w:rFonts w:ascii="Arial" w:cs="Arial" w:eastAsia="Arial" w:hAnsi="Arial"/>
                <w:sz w:val="15"/>
                <w:szCs w:val="15"/>
                <w:color w:val="auto"/>
              </w:rPr>
              <w:t>Non cash interest expense recognized</w:t>
            </w:r>
          </w:p>
        </w:tc>
        <w:tc>
          <w:tcPr>
            <w:tcW w:w="4780" w:type="dxa"/>
            <w:vAlign w:val="bottom"/>
          </w:tcPr>
          <w:p>
            <w:pPr>
              <w:jc w:val="right"/>
              <w:spacing w:after="0"/>
              <w:rPr>
                <w:sz w:val="20"/>
                <w:szCs w:val="20"/>
                <w:color w:val="auto"/>
              </w:rPr>
            </w:pPr>
            <w:r>
              <w:rPr>
                <w:rFonts w:ascii="Arial" w:cs="Arial" w:eastAsia="Arial" w:hAnsi="Arial"/>
                <w:sz w:val="15"/>
                <w:szCs w:val="15"/>
                <w:color w:val="183964"/>
              </w:rPr>
              <w:t>10,551</w:t>
            </w:r>
          </w:p>
        </w:tc>
        <w:tc>
          <w:tcPr>
            <w:tcW w:w="20" w:type="dxa"/>
            <w:vAlign w:val="bottom"/>
          </w:tcPr>
          <w:p>
            <w:pPr>
              <w:spacing w:after="0"/>
              <w:rPr>
                <w:sz w:val="21"/>
                <w:szCs w:val="21"/>
                <w:color w:val="auto"/>
              </w:rPr>
            </w:pPr>
          </w:p>
        </w:tc>
      </w:tr>
      <w:tr>
        <w:trPr>
          <w:trHeight w:val="33"/>
        </w:trPr>
        <w:tc>
          <w:tcPr>
            <w:tcW w:w="6440" w:type="dxa"/>
            <w:vAlign w:val="bottom"/>
            <w:tcBorders>
              <w:bottom w:val="single" w:sz="8" w:color="6D6D6D"/>
            </w:tcBorders>
          </w:tcPr>
          <w:p>
            <w:pPr>
              <w:spacing w:after="0"/>
              <w:rPr>
                <w:sz w:val="2"/>
                <w:szCs w:val="2"/>
                <w:color w:val="auto"/>
              </w:rPr>
            </w:pPr>
          </w:p>
        </w:tc>
        <w:tc>
          <w:tcPr>
            <w:tcW w:w="4780" w:type="dxa"/>
            <w:vAlign w:val="bottom"/>
            <w:tcBorders>
              <w:bottom w:val="single" w:sz="8" w:color="6D6D6D"/>
            </w:tcBorders>
          </w:tcPr>
          <w:p>
            <w:pPr>
              <w:spacing w:after="0"/>
              <w:rPr>
                <w:sz w:val="2"/>
                <w:szCs w:val="2"/>
                <w:color w:val="auto"/>
              </w:rPr>
            </w:pPr>
          </w:p>
        </w:tc>
        <w:tc>
          <w:tcPr>
            <w:tcW w:w="20" w:type="dxa"/>
            <w:vAlign w:val="bottom"/>
          </w:tcPr>
          <w:p>
            <w:pPr>
              <w:spacing w:after="0"/>
              <w:rPr>
                <w:sz w:val="2"/>
                <w:szCs w:val="2"/>
                <w:color w:val="auto"/>
              </w:rPr>
            </w:pPr>
          </w:p>
        </w:tc>
      </w:tr>
      <w:tr>
        <w:trPr>
          <w:trHeight w:val="211"/>
        </w:trPr>
        <w:tc>
          <w:tcPr>
            <w:tcW w:w="6440" w:type="dxa"/>
            <w:vAlign w:val="bottom"/>
          </w:tcPr>
          <w:p>
            <w:pPr>
              <w:ind w:left="20"/>
              <w:spacing w:after="0"/>
              <w:rPr>
                <w:sz w:val="20"/>
                <w:szCs w:val="20"/>
                <w:color w:val="auto"/>
              </w:rPr>
            </w:pPr>
            <w:r>
              <w:rPr>
                <w:rFonts w:ascii="Arial" w:cs="Arial" w:eastAsia="Arial" w:hAnsi="Arial"/>
                <w:sz w:val="15"/>
                <w:szCs w:val="15"/>
                <w:color w:val="auto"/>
              </w:rPr>
              <w:t>Balance as of June 30, 2024</w:t>
            </w:r>
          </w:p>
        </w:tc>
        <w:tc>
          <w:tcPr>
            <w:tcW w:w="4780" w:type="dxa"/>
            <w:vAlign w:val="bottom"/>
          </w:tcPr>
          <w:p>
            <w:pPr>
              <w:jc w:val="right"/>
              <w:spacing w:after="0"/>
              <w:rPr>
                <w:sz w:val="20"/>
                <w:szCs w:val="20"/>
                <w:color w:val="auto"/>
              </w:rPr>
            </w:pPr>
            <w:r>
              <w:rPr>
                <w:rFonts w:ascii="Arial" w:cs="Arial" w:eastAsia="Arial" w:hAnsi="Arial"/>
                <w:sz w:val="15"/>
                <w:szCs w:val="15"/>
                <w:b w:val="1"/>
                <w:bCs w:val="1"/>
                <w:color w:val="auto"/>
              </w:rPr>
              <w:t>120,710</w:t>
            </w:r>
          </w:p>
        </w:tc>
        <w:tc>
          <w:tcPr>
            <w:tcW w:w="20" w:type="dxa"/>
            <w:vAlign w:val="bottom"/>
          </w:tcPr>
          <w:p>
            <w:pPr>
              <w:spacing w:after="0"/>
              <w:rPr>
                <w:sz w:val="18"/>
                <w:szCs w:val="18"/>
                <w:color w:val="auto"/>
              </w:rPr>
            </w:pPr>
          </w:p>
        </w:tc>
      </w:tr>
      <w:tr>
        <w:trPr>
          <w:trHeight w:val="235"/>
        </w:trPr>
        <w:tc>
          <w:tcPr>
            <w:tcW w:w="6440" w:type="dxa"/>
            <w:vAlign w:val="bottom"/>
          </w:tcPr>
          <w:p>
            <w:pPr>
              <w:ind w:left="20"/>
              <w:spacing w:after="0"/>
              <w:rPr>
                <w:sz w:val="20"/>
                <w:szCs w:val="20"/>
                <w:color w:val="auto"/>
              </w:rPr>
            </w:pPr>
            <w:r>
              <w:rPr>
                <w:rFonts w:ascii="Arial" w:cs="Arial" w:eastAsia="Arial" w:hAnsi="Arial"/>
                <w:sz w:val="15"/>
                <w:szCs w:val="15"/>
                <w:color w:val="auto"/>
              </w:rPr>
              <w:t>Less sale of future royalties liability, current</w:t>
            </w:r>
          </w:p>
        </w:tc>
        <w:tc>
          <w:tcPr>
            <w:tcW w:w="4780" w:type="dxa"/>
            <w:vAlign w:val="bottom"/>
          </w:tcPr>
          <w:p>
            <w:pPr>
              <w:jc w:val="right"/>
              <w:spacing w:after="0"/>
              <w:rPr>
                <w:sz w:val="20"/>
                <w:szCs w:val="20"/>
                <w:color w:val="auto"/>
              </w:rPr>
            </w:pPr>
            <w:r>
              <w:rPr>
                <w:rFonts w:ascii="Arial" w:cs="Arial" w:eastAsia="Arial" w:hAnsi="Arial"/>
                <w:sz w:val="15"/>
                <w:szCs w:val="15"/>
                <w:color w:val="183964"/>
              </w:rPr>
              <w:t>-3,252</w:t>
            </w:r>
          </w:p>
        </w:tc>
        <w:tc>
          <w:tcPr>
            <w:tcW w:w="20" w:type="dxa"/>
            <w:vAlign w:val="bottom"/>
          </w:tcPr>
          <w:p>
            <w:pPr>
              <w:spacing w:after="0"/>
              <w:rPr>
                <w:sz w:val="20"/>
                <w:szCs w:val="20"/>
                <w:color w:val="auto"/>
              </w:rPr>
            </w:pPr>
          </w:p>
        </w:tc>
      </w:tr>
      <w:tr>
        <w:trPr>
          <w:trHeight w:val="243"/>
        </w:trPr>
        <w:tc>
          <w:tcPr>
            <w:tcW w:w="6440" w:type="dxa"/>
            <w:vAlign w:val="bottom"/>
          </w:tcPr>
          <w:p>
            <w:pPr>
              <w:ind w:left="20"/>
              <w:spacing w:after="0"/>
              <w:rPr>
                <w:sz w:val="20"/>
                <w:szCs w:val="20"/>
                <w:color w:val="auto"/>
              </w:rPr>
            </w:pPr>
            <w:r>
              <w:rPr>
                <w:rFonts w:ascii="Arial" w:cs="Arial" w:eastAsia="Arial" w:hAnsi="Arial"/>
                <w:sz w:val="15"/>
                <w:szCs w:val="15"/>
                <w:color w:val="auto"/>
              </w:rPr>
              <w:t>Sale of future royalties liability, non-current</w:t>
            </w:r>
          </w:p>
        </w:tc>
        <w:tc>
          <w:tcPr>
            <w:tcW w:w="4780" w:type="dxa"/>
            <w:vAlign w:val="bottom"/>
          </w:tcPr>
          <w:p>
            <w:pPr>
              <w:jc w:val="right"/>
              <w:spacing w:after="0"/>
              <w:rPr>
                <w:sz w:val="20"/>
                <w:szCs w:val="20"/>
                <w:color w:val="auto"/>
              </w:rPr>
            </w:pPr>
            <w:r>
              <w:rPr>
                <w:rFonts w:ascii="Arial" w:cs="Arial" w:eastAsia="Arial" w:hAnsi="Arial"/>
                <w:sz w:val="15"/>
                <w:szCs w:val="15"/>
                <w:color w:val="183964"/>
              </w:rPr>
              <w:t>117,458</w:t>
            </w:r>
          </w:p>
        </w:tc>
        <w:tc>
          <w:tcPr>
            <w:tcW w:w="20" w:type="dxa"/>
            <w:vAlign w:val="bottom"/>
          </w:tcPr>
          <w:p>
            <w:pPr>
              <w:spacing w:after="0"/>
              <w:rPr>
                <w:sz w:val="21"/>
                <w:szCs w:val="21"/>
                <w:color w:val="auto"/>
              </w:rPr>
            </w:pPr>
          </w:p>
        </w:tc>
      </w:tr>
      <w:tr>
        <w:trPr>
          <w:trHeight w:val="1687"/>
        </w:trPr>
        <w:tc>
          <w:tcPr>
            <w:tcW w:w="6440" w:type="dxa"/>
            <w:vAlign w:val="bottom"/>
            <w:tcBorders>
              <w:bottom w:val="single" w:sz="8" w:color="9A9A9A"/>
            </w:tcBorders>
          </w:tcPr>
          <w:p>
            <w:pPr>
              <w:spacing w:after="0"/>
              <w:rPr>
                <w:sz w:val="24"/>
                <w:szCs w:val="24"/>
                <w:color w:val="auto"/>
              </w:rPr>
            </w:pPr>
          </w:p>
        </w:tc>
        <w:tc>
          <w:tcPr>
            <w:tcW w:w="4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1" w:right="339" w:bottom="1440" w:gutter="0" w:footer="0" w:header="0"/>
        </w:sectPr>
      </w:pPr>
    </w:p>
    <w:bookmarkStart w:id="35" w:name="page36"/>
    <w:bookmarkEnd w:id="35"/>
    <w:p>
      <w:pPr>
        <w:ind w:left="440" w:hanging="432"/>
        <w:spacing w:after="0"/>
        <w:tabs>
          <w:tab w:leader="none" w:pos="440" w:val="left"/>
        </w:tabs>
        <w:numPr>
          <w:ilvl w:val="0"/>
          <w:numId w:val="27"/>
        </w:numPr>
        <w:rPr>
          <w:rFonts w:ascii="Arial" w:cs="Arial" w:eastAsia="Arial" w:hAnsi="Arial"/>
          <w:sz w:val="15"/>
          <w:szCs w:val="15"/>
          <w:b w:val="1"/>
          <w:bCs w:val="1"/>
          <w:color w:val="183964"/>
        </w:rPr>
      </w:pPr>
      <w:r>
        <w:rPr>
          <w:rFonts w:ascii="Arial" w:cs="Arial" w:eastAsia="Arial" w:hAnsi="Arial"/>
          <w:sz w:val="15"/>
          <w:szCs w:val="15"/>
          <w:b w:val="1"/>
          <w:bCs w:val="1"/>
          <w:color w:val="183964"/>
        </w:rPr>
        <w:t>Financial Instruments</w:t>
      </w:r>
    </w:p>
    <w:p>
      <w:pPr>
        <w:spacing w:after="0" w:line="100" w:lineRule="exact"/>
        <w:rPr>
          <w:sz w:val="20"/>
          <w:szCs w:val="20"/>
          <w:color w:val="auto"/>
        </w:rPr>
      </w:pPr>
    </w:p>
    <w:p>
      <w:pPr>
        <w:ind w:right="600"/>
        <w:spacing w:after="0" w:line="283" w:lineRule="auto"/>
        <w:rPr>
          <w:sz w:val="20"/>
          <w:szCs w:val="20"/>
          <w:color w:val="auto"/>
        </w:rPr>
      </w:pPr>
      <w:r>
        <w:rPr>
          <w:rFonts w:ascii="Arial" w:cs="Arial" w:eastAsia="Arial" w:hAnsi="Arial"/>
          <w:sz w:val="15"/>
          <w:szCs w:val="15"/>
          <w:color w:val="auto"/>
        </w:rPr>
        <w:t>The Group’s financial instruments consist of financial assets in the form of notes, convertible notes and investment in shares, and financial liabilities, including preferred shares. Many of these financial instruments are presented at fair value, with changes in fair value recorded through profit and loss.</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color w:val="183964"/>
        </w:rPr>
        <w:t>Fair Value Process</w:t>
      </w:r>
    </w:p>
    <w:p>
      <w:pPr>
        <w:spacing w:after="0" w:line="17"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For financial instruments measured at fair value under IFRS 9, the change in the fair value is reflected through profit and loss. Using the guidance in IFRS 13, the total business enterprise value and allocable equity of each entity being valued can be determined using a market backsolve approach through a recent arm’s length financing round (or a future probable arm's length transaction), market/asset probability-weighted expected return method ("PWERM") approach, discounted cash flow approach, or hybrid approaches. The approaches, in order of strongest fair value evidence, are detailed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80" w:type="dxa"/>
            <w:vAlign w:val="bottom"/>
          </w:tcPr>
          <w:p>
            <w:pPr>
              <w:ind w:left="20"/>
              <w:spacing w:after="0"/>
              <w:rPr>
                <w:sz w:val="20"/>
                <w:szCs w:val="20"/>
                <w:color w:val="auto"/>
              </w:rPr>
            </w:pPr>
            <w:r>
              <w:rPr>
                <w:rFonts w:ascii="Arial" w:cs="Arial" w:eastAsia="Arial" w:hAnsi="Arial"/>
                <w:sz w:val="13"/>
                <w:szCs w:val="13"/>
                <w:b w:val="1"/>
                <w:bCs w:val="1"/>
                <w:color w:val="auto"/>
              </w:rPr>
              <w:t>Valuation Method</w:t>
            </w:r>
          </w:p>
        </w:tc>
        <w:tc>
          <w:tcPr>
            <w:tcW w:w="9140" w:type="dxa"/>
            <w:vAlign w:val="bottom"/>
          </w:tcPr>
          <w:p>
            <w:pPr>
              <w:ind w:left="420"/>
              <w:spacing w:after="0"/>
              <w:rPr>
                <w:sz w:val="20"/>
                <w:szCs w:val="20"/>
                <w:color w:val="auto"/>
              </w:rPr>
            </w:pPr>
            <w:r>
              <w:rPr>
                <w:rFonts w:ascii="Arial" w:cs="Arial" w:eastAsia="Arial" w:hAnsi="Arial"/>
                <w:sz w:val="13"/>
                <w:szCs w:val="13"/>
                <w:b w:val="1"/>
                <w:bCs w:val="1"/>
                <w:color w:val="auto"/>
              </w:rPr>
              <w:t>Description</w:t>
            </w:r>
          </w:p>
        </w:tc>
      </w:tr>
      <w:tr>
        <w:trPr>
          <w:trHeight w:val="22"/>
        </w:trPr>
        <w:tc>
          <w:tcPr>
            <w:tcW w:w="2080" w:type="dxa"/>
            <w:vAlign w:val="bottom"/>
            <w:tcBorders>
              <w:bottom w:val="single" w:sz="8" w:color="183964"/>
            </w:tcBorders>
          </w:tcPr>
          <w:p>
            <w:pPr>
              <w:spacing w:after="0" w:line="20" w:lineRule="exact"/>
              <w:rPr>
                <w:sz w:val="1"/>
                <w:szCs w:val="1"/>
                <w:color w:val="auto"/>
              </w:rPr>
            </w:pPr>
          </w:p>
        </w:tc>
        <w:tc>
          <w:tcPr>
            <w:tcW w:w="9140" w:type="dxa"/>
            <w:vAlign w:val="bottom"/>
            <w:tcBorders>
              <w:bottom w:val="single" w:sz="8" w:color="183964"/>
            </w:tcBorders>
          </w:tcPr>
          <w:p>
            <w:pPr>
              <w:spacing w:after="0" w:line="20" w:lineRule="exact"/>
              <w:rPr>
                <w:sz w:val="1"/>
                <w:szCs w:val="1"/>
                <w:color w:val="auto"/>
              </w:rPr>
            </w:pPr>
          </w:p>
        </w:tc>
      </w:tr>
      <w:tr>
        <w:trPr>
          <w:trHeight w:val="192"/>
        </w:trPr>
        <w:tc>
          <w:tcPr>
            <w:tcW w:w="2080" w:type="dxa"/>
            <w:vAlign w:val="bottom"/>
          </w:tcPr>
          <w:p>
            <w:pPr>
              <w:ind w:left="20"/>
              <w:spacing w:after="0"/>
              <w:rPr>
                <w:sz w:val="20"/>
                <w:szCs w:val="20"/>
                <w:color w:val="auto"/>
              </w:rPr>
            </w:pPr>
            <w:r>
              <w:rPr>
                <w:rFonts w:ascii="Arial" w:cs="Arial" w:eastAsia="Arial" w:hAnsi="Arial"/>
                <w:sz w:val="15"/>
                <w:szCs w:val="15"/>
                <w:color w:val="auto"/>
              </w:rPr>
              <w:t>Market – Backsolve</w:t>
            </w:r>
          </w:p>
        </w:tc>
        <w:tc>
          <w:tcPr>
            <w:tcW w:w="9140" w:type="dxa"/>
            <w:vAlign w:val="bottom"/>
          </w:tcPr>
          <w:p>
            <w:pPr>
              <w:ind w:left="420"/>
              <w:spacing w:after="0"/>
              <w:rPr>
                <w:sz w:val="20"/>
                <w:szCs w:val="20"/>
                <w:color w:val="auto"/>
              </w:rPr>
            </w:pPr>
            <w:r>
              <w:rPr>
                <w:rFonts w:ascii="Arial" w:cs="Arial" w:eastAsia="Arial" w:hAnsi="Arial"/>
                <w:sz w:val="15"/>
                <w:szCs w:val="15"/>
                <w:color w:val="auto"/>
              </w:rPr>
              <w:t>The market backsolve approach benchmarks the original issue price (OIP) of the company’s latest funding transaction as current</w:t>
            </w:r>
          </w:p>
        </w:tc>
      </w:tr>
      <w:tr>
        <w:trPr>
          <w:trHeight w:val="213"/>
        </w:trPr>
        <w:tc>
          <w:tcPr>
            <w:tcW w:w="2080" w:type="dxa"/>
            <w:vAlign w:val="bottom"/>
            <w:tcBorders>
              <w:bottom w:val="single" w:sz="8" w:color="183964"/>
            </w:tcBorders>
          </w:tcPr>
          <w:p>
            <w:pPr>
              <w:spacing w:after="0"/>
              <w:rPr>
                <w:sz w:val="18"/>
                <w:szCs w:val="18"/>
                <w:color w:val="auto"/>
              </w:rPr>
            </w:pPr>
          </w:p>
        </w:tc>
        <w:tc>
          <w:tcPr>
            <w:tcW w:w="9140" w:type="dxa"/>
            <w:vAlign w:val="bottom"/>
            <w:tcBorders>
              <w:bottom w:val="single" w:sz="8" w:color="183964"/>
            </w:tcBorders>
          </w:tcPr>
          <w:p>
            <w:pPr>
              <w:ind w:left="420"/>
              <w:spacing w:after="0"/>
              <w:rPr>
                <w:sz w:val="20"/>
                <w:szCs w:val="20"/>
                <w:color w:val="auto"/>
              </w:rPr>
            </w:pPr>
            <w:r>
              <w:rPr>
                <w:rFonts w:ascii="Arial" w:cs="Arial" w:eastAsia="Arial" w:hAnsi="Arial"/>
                <w:sz w:val="15"/>
                <w:szCs w:val="15"/>
                <w:color w:val="auto"/>
              </w:rPr>
              <w:t>value.</w:t>
            </w:r>
          </w:p>
        </w:tc>
      </w:tr>
      <w:tr>
        <w:trPr>
          <w:trHeight w:val="199"/>
        </w:trPr>
        <w:tc>
          <w:tcPr>
            <w:tcW w:w="2080" w:type="dxa"/>
            <w:vAlign w:val="bottom"/>
          </w:tcPr>
          <w:p>
            <w:pPr>
              <w:ind w:left="20"/>
              <w:spacing w:after="0"/>
              <w:rPr>
                <w:sz w:val="20"/>
                <w:szCs w:val="20"/>
                <w:color w:val="auto"/>
              </w:rPr>
            </w:pPr>
            <w:r>
              <w:rPr>
                <w:rFonts w:ascii="Arial" w:cs="Arial" w:eastAsia="Arial" w:hAnsi="Arial"/>
                <w:sz w:val="15"/>
                <w:szCs w:val="15"/>
                <w:color w:val="auto"/>
              </w:rPr>
              <w:t>Market/Asset – PWERM</w:t>
            </w:r>
          </w:p>
        </w:tc>
        <w:tc>
          <w:tcPr>
            <w:tcW w:w="9140" w:type="dxa"/>
            <w:vAlign w:val="bottom"/>
          </w:tcPr>
          <w:p>
            <w:pPr>
              <w:ind w:left="420"/>
              <w:spacing w:after="0"/>
              <w:rPr>
                <w:sz w:val="20"/>
                <w:szCs w:val="20"/>
                <w:color w:val="auto"/>
              </w:rPr>
            </w:pPr>
            <w:r>
              <w:rPr>
                <w:rFonts w:ascii="Arial" w:cs="Arial" w:eastAsia="Arial" w:hAnsi="Arial"/>
                <w:sz w:val="15"/>
                <w:szCs w:val="15"/>
                <w:color w:val="auto"/>
              </w:rPr>
              <w:t>Under a PWERM, the company value is based upon the probability-weighted present value of expected future investment</w:t>
            </w:r>
          </w:p>
        </w:tc>
      </w:tr>
      <w:tr>
        <w:trPr>
          <w:trHeight w:val="176"/>
        </w:trPr>
        <w:tc>
          <w:tcPr>
            <w:tcW w:w="2080" w:type="dxa"/>
            <w:vAlign w:val="bottom"/>
          </w:tcPr>
          <w:p>
            <w:pPr>
              <w:spacing w:after="0"/>
              <w:rPr>
                <w:sz w:val="15"/>
                <w:szCs w:val="15"/>
                <w:color w:val="auto"/>
              </w:rPr>
            </w:pPr>
          </w:p>
        </w:tc>
        <w:tc>
          <w:tcPr>
            <w:tcW w:w="9140" w:type="dxa"/>
            <w:vAlign w:val="bottom"/>
          </w:tcPr>
          <w:p>
            <w:pPr>
              <w:ind w:left="420"/>
              <w:spacing w:after="0"/>
              <w:rPr>
                <w:sz w:val="20"/>
                <w:szCs w:val="20"/>
                <w:color w:val="auto"/>
              </w:rPr>
            </w:pPr>
            <w:r>
              <w:rPr>
                <w:rFonts w:ascii="Arial" w:cs="Arial" w:eastAsia="Arial" w:hAnsi="Arial"/>
                <w:sz w:val="15"/>
                <w:szCs w:val="15"/>
                <w:color w:val="auto"/>
              </w:rPr>
              <w:t>returns, considering each of the possible future outcomes available to the enterprise. Possible future outcomes can include IPO</w:t>
            </w:r>
          </w:p>
        </w:tc>
      </w:tr>
      <w:tr>
        <w:trPr>
          <w:trHeight w:val="189"/>
        </w:trPr>
        <w:tc>
          <w:tcPr>
            <w:tcW w:w="2080" w:type="dxa"/>
            <w:vAlign w:val="bottom"/>
          </w:tcPr>
          <w:p>
            <w:pPr>
              <w:spacing w:after="0"/>
              <w:rPr>
                <w:sz w:val="16"/>
                <w:szCs w:val="16"/>
                <w:color w:val="auto"/>
              </w:rPr>
            </w:pPr>
          </w:p>
        </w:tc>
        <w:tc>
          <w:tcPr>
            <w:tcW w:w="9140" w:type="dxa"/>
            <w:vAlign w:val="bottom"/>
          </w:tcPr>
          <w:p>
            <w:pPr>
              <w:ind w:left="420"/>
              <w:spacing w:after="0"/>
              <w:rPr>
                <w:sz w:val="20"/>
                <w:szCs w:val="20"/>
                <w:color w:val="auto"/>
              </w:rPr>
            </w:pPr>
            <w:r>
              <w:rPr>
                <w:rFonts w:ascii="Arial" w:cs="Arial" w:eastAsia="Arial" w:hAnsi="Arial"/>
                <w:sz w:val="15"/>
                <w:szCs w:val="15"/>
                <w:color w:val="auto"/>
              </w:rPr>
              <w:t>scenarios, potential SPAC transactions, merger and acquisition transactions as well as other similar exit transactions of the</w:t>
            </w:r>
          </w:p>
        </w:tc>
      </w:tr>
      <w:tr>
        <w:trPr>
          <w:trHeight w:val="213"/>
        </w:trPr>
        <w:tc>
          <w:tcPr>
            <w:tcW w:w="2080" w:type="dxa"/>
            <w:vAlign w:val="bottom"/>
            <w:tcBorders>
              <w:bottom w:val="single" w:sz="8" w:color="183964"/>
            </w:tcBorders>
          </w:tcPr>
          <w:p>
            <w:pPr>
              <w:spacing w:after="0"/>
              <w:rPr>
                <w:sz w:val="18"/>
                <w:szCs w:val="18"/>
                <w:color w:val="auto"/>
              </w:rPr>
            </w:pPr>
          </w:p>
        </w:tc>
        <w:tc>
          <w:tcPr>
            <w:tcW w:w="9140" w:type="dxa"/>
            <w:vAlign w:val="bottom"/>
            <w:tcBorders>
              <w:bottom w:val="single" w:sz="8" w:color="183964"/>
            </w:tcBorders>
          </w:tcPr>
          <w:p>
            <w:pPr>
              <w:ind w:left="420"/>
              <w:spacing w:after="0"/>
              <w:rPr>
                <w:sz w:val="20"/>
                <w:szCs w:val="20"/>
                <w:color w:val="auto"/>
              </w:rPr>
            </w:pPr>
            <w:r>
              <w:rPr>
                <w:rFonts w:ascii="Arial" w:cs="Arial" w:eastAsia="Arial" w:hAnsi="Arial"/>
                <w:sz w:val="15"/>
                <w:szCs w:val="15"/>
                <w:color w:val="auto"/>
              </w:rPr>
              <w:t>investee.</w:t>
            </w:r>
          </w:p>
        </w:tc>
      </w:tr>
      <w:tr>
        <w:trPr>
          <w:trHeight w:val="199"/>
        </w:trPr>
        <w:tc>
          <w:tcPr>
            <w:tcW w:w="2080" w:type="dxa"/>
            <w:vAlign w:val="bottom"/>
          </w:tcPr>
          <w:p>
            <w:pPr>
              <w:ind w:left="20"/>
              <w:spacing w:after="0"/>
              <w:rPr>
                <w:sz w:val="20"/>
                <w:szCs w:val="20"/>
                <w:color w:val="auto"/>
              </w:rPr>
            </w:pPr>
            <w:r>
              <w:rPr>
                <w:rFonts w:ascii="Arial" w:cs="Arial" w:eastAsia="Arial" w:hAnsi="Arial"/>
                <w:sz w:val="15"/>
                <w:szCs w:val="15"/>
                <w:color w:val="auto"/>
              </w:rPr>
              <w:t>Income Based – DCF</w:t>
            </w:r>
          </w:p>
        </w:tc>
        <w:tc>
          <w:tcPr>
            <w:tcW w:w="9140" w:type="dxa"/>
            <w:vAlign w:val="bottom"/>
          </w:tcPr>
          <w:p>
            <w:pPr>
              <w:ind w:left="420"/>
              <w:spacing w:after="0"/>
              <w:rPr>
                <w:sz w:val="20"/>
                <w:szCs w:val="20"/>
                <w:color w:val="auto"/>
              </w:rPr>
            </w:pPr>
            <w:r>
              <w:rPr>
                <w:rFonts w:ascii="Arial" w:cs="Arial" w:eastAsia="Arial" w:hAnsi="Arial"/>
                <w:sz w:val="15"/>
                <w:szCs w:val="15"/>
                <w:color w:val="auto"/>
              </w:rPr>
              <w:t>The income approach is used to estimate fair value based on the income streams, such as cash flows or earnings, that an asset</w:t>
            </w:r>
          </w:p>
        </w:tc>
      </w:tr>
      <w:tr>
        <w:trPr>
          <w:trHeight w:val="213"/>
        </w:trPr>
        <w:tc>
          <w:tcPr>
            <w:tcW w:w="2080" w:type="dxa"/>
            <w:vAlign w:val="bottom"/>
            <w:tcBorders>
              <w:bottom w:val="single" w:sz="8" w:color="183964"/>
            </w:tcBorders>
          </w:tcPr>
          <w:p>
            <w:pPr>
              <w:spacing w:after="0"/>
              <w:rPr>
                <w:sz w:val="18"/>
                <w:szCs w:val="18"/>
                <w:color w:val="auto"/>
              </w:rPr>
            </w:pPr>
          </w:p>
        </w:tc>
        <w:tc>
          <w:tcPr>
            <w:tcW w:w="9140" w:type="dxa"/>
            <w:vAlign w:val="bottom"/>
            <w:tcBorders>
              <w:bottom w:val="single" w:sz="8" w:color="183964"/>
            </w:tcBorders>
          </w:tcPr>
          <w:p>
            <w:pPr>
              <w:ind w:left="420"/>
              <w:spacing w:after="0"/>
              <w:rPr>
                <w:sz w:val="20"/>
                <w:szCs w:val="20"/>
                <w:color w:val="auto"/>
              </w:rPr>
            </w:pPr>
            <w:r>
              <w:rPr>
                <w:rFonts w:ascii="Arial" w:cs="Arial" w:eastAsia="Arial" w:hAnsi="Arial"/>
                <w:sz w:val="15"/>
                <w:szCs w:val="15"/>
                <w:color w:val="auto"/>
              </w:rPr>
              <w:t>or business can be expected to generate.</w:t>
            </w:r>
          </w:p>
        </w:tc>
      </w:tr>
    </w:tbl>
    <w:p>
      <w:pPr>
        <w:spacing w:after="0" w:line="158" w:lineRule="exact"/>
        <w:rPr>
          <w:sz w:val="20"/>
          <w:szCs w:val="20"/>
          <w:color w:val="auto"/>
        </w:rPr>
      </w:pPr>
    </w:p>
    <w:p>
      <w:pPr>
        <w:ind w:right="420"/>
        <w:spacing w:after="0" w:line="273" w:lineRule="auto"/>
        <w:rPr>
          <w:sz w:val="20"/>
          <w:szCs w:val="20"/>
          <w:color w:val="auto"/>
        </w:rPr>
      </w:pPr>
      <w:r>
        <w:rPr>
          <w:rFonts w:ascii="Arial" w:cs="Arial" w:eastAsia="Arial" w:hAnsi="Arial"/>
          <w:sz w:val="15"/>
          <w:szCs w:val="15"/>
          <w:color w:val="auto"/>
        </w:rPr>
        <w:t>At each measurement date, investments held at fair value (that are not publicly traded) as well as the fair value of preferred share liabilities, including embedded conversion rights that are not bifurcated, were determined using the following allocation methods: option pricing model (“OPM”), PWERM, or hybrid allocation framework. The methods are detailed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800" w:type="dxa"/>
            <w:vAlign w:val="bottom"/>
          </w:tcPr>
          <w:p>
            <w:pPr>
              <w:ind w:left="20"/>
              <w:spacing w:after="0"/>
              <w:rPr>
                <w:sz w:val="20"/>
                <w:szCs w:val="20"/>
                <w:color w:val="auto"/>
              </w:rPr>
            </w:pPr>
            <w:r>
              <w:rPr>
                <w:rFonts w:ascii="Arial" w:cs="Arial" w:eastAsia="Arial" w:hAnsi="Arial"/>
                <w:sz w:val="13"/>
                <w:szCs w:val="13"/>
                <w:b w:val="1"/>
                <w:bCs w:val="1"/>
                <w:color w:val="auto"/>
              </w:rPr>
              <w:t>Allocation Method</w:t>
            </w:r>
          </w:p>
        </w:tc>
        <w:tc>
          <w:tcPr>
            <w:tcW w:w="9420" w:type="dxa"/>
            <w:vAlign w:val="bottom"/>
          </w:tcPr>
          <w:p>
            <w:pPr>
              <w:ind w:left="700"/>
              <w:spacing w:after="0"/>
              <w:rPr>
                <w:sz w:val="20"/>
                <w:szCs w:val="20"/>
                <w:color w:val="auto"/>
              </w:rPr>
            </w:pPr>
            <w:r>
              <w:rPr>
                <w:rFonts w:ascii="Arial" w:cs="Arial" w:eastAsia="Arial" w:hAnsi="Arial"/>
                <w:sz w:val="13"/>
                <w:szCs w:val="13"/>
                <w:b w:val="1"/>
                <w:bCs w:val="1"/>
                <w:color w:val="auto"/>
              </w:rPr>
              <w:t>Description</w:t>
            </w:r>
          </w:p>
        </w:tc>
      </w:tr>
      <w:tr>
        <w:trPr>
          <w:trHeight w:val="22"/>
        </w:trPr>
        <w:tc>
          <w:tcPr>
            <w:tcW w:w="1800" w:type="dxa"/>
            <w:vAlign w:val="bottom"/>
            <w:tcBorders>
              <w:bottom w:val="single" w:sz="8" w:color="183964"/>
            </w:tcBorders>
          </w:tcPr>
          <w:p>
            <w:pPr>
              <w:spacing w:after="0" w:line="20" w:lineRule="exact"/>
              <w:rPr>
                <w:sz w:val="1"/>
                <w:szCs w:val="1"/>
                <w:color w:val="auto"/>
              </w:rPr>
            </w:pPr>
          </w:p>
        </w:tc>
        <w:tc>
          <w:tcPr>
            <w:tcW w:w="9420" w:type="dxa"/>
            <w:vAlign w:val="bottom"/>
            <w:tcBorders>
              <w:bottom w:val="single" w:sz="8" w:color="183964"/>
            </w:tcBorders>
          </w:tcPr>
          <w:p>
            <w:pPr>
              <w:spacing w:after="0" w:line="20" w:lineRule="exact"/>
              <w:rPr>
                <w:sz w:val="1"/>
                <w:szCs w:val="1"/>
                <w:color w:val="auto"/>
              </w:rPr>
            </w:pPr>
          </w:p>
        </w:tc>
      </w:tr>
      <w:tr>
        <w:trPr>
          <w:trHeight w:val="192"/>
        </w:trPr>
        <w:tc>
          <w:tcPr>
            <w:tcW w:w="1800" w:type="dxa"/>
            <w:vAlign w:val="bottom"/>
          </w:tcPr>
          <w:p>
            <w:pPr>
              <w:ind w:left="20"/>
              <w:spacing w:after="0"/>
              <w:rPr>
                <w:sz w:val="20"/>
                <w:szCs w:val="20"/>
                <w:color w:val="auto"/>
              </w:rPr>
            </w:pPr>
            <w:r>
              <w:rPr>
                <w:rFonts w:ascii="Arial" w:cs="Arial" w:eastAsia="Arial" w:hAnsi="Arial"/>
                <w:sz w:val="15"/>
                <w:szCs w:val="15"/>
                <w:color w:val="auto"/>
              </w:rPr>
              <w:t>OPM</w:t>
            </w:r>
          </w:p>
        </w:tc>
        <w:tc>
          <w:tcPr>
            <w:tcW w:w="9420" w:type="dxa"/>
            <w:vAlign w:val="bottom"/>
          </w:tcPr>
          <w:p>
            <w:pPr>
              <w:ind w:left="700"/>
              <w:spacing w:after="0"/>
              <w:rPr>
                <w:sz w:val="20"/>
                <w:szCs w:val="20"/>
                <w:color w:val="auto"/>
              </w:rPr>
            </w:pPr>
            <w:r>
              <w:rPr>
                <w:rFonts w:ascii="Arial" w:cs="Arial" w:eastAsia="Arial" w:hAnsi="Arial"/>
                <w:sz w:val="15"/>
                <w:szCs w:val="15"/>
                <w:color w:val="auto"/>
              </w:rPr>
              <w:t>The OPM model treats preferred stock as call options on the enterprise’s equity value, with exercise prices based on the</w:t>
            </w:r>
          </w:p>
        </w:tc>
      </w:tr>
      <w:tr>
        <w:trPr>
          <w:trHeight w:val="213"/>
        </w:trPr>
        <w:tc>
          <w:tcPr>
            <w:tcW w:w="1800" w:type="dxa"/>
            <w:vAlign w:val="bottom"/>
            <w:tcBorders>
              <w:bottom w:val="single" w:sz="8" w:color="183964"/>
            </w:tcBorders>
          </w:tcPr>
          <w:p>
            <w:pPr>
              <w:spacing w:after="0"/>
              <w:rPr>
                <w:sz w:val="18"/>
                <w:szCs w:val="18"/>
                <w:color w:val="auto"/>
              </w:rPr>
            </w:pPr>
          </w:p>
        </w:tc>
        <w:tc>
          <w:tcPr>
            <w:tcW w:w="9420" w:type="dxa"/>
            <w:vAlign w:val="bottom"/>
            <w:tcBorders>
              <w:bottom w:val="single" w:sz="8" w:color="183964"/>
            </w:tcBorders>
          </w:tcPr>
          <w:p>
            <w:pPr>
              <w:ind w:left="700"/>
              <w:spacing w:after="0"/>
              <w:rPr>
                <w:sz w:val="20"/>
                <w:szCs w:val="20"/>
                <w:color w:val="auto"/>
              </w:rPr>
            </w:pPr>
            <w:r>
              <w:rPr>
                <w:rFonts w:ascii="Arial" w:cs="Arial" w:eastAsia="Arial" w:hAnsi="Arial"/>
                <w:sz w:val="15"/>
                <w:szCs w:val="15"/>
                <w:color w:val="auto"/>
              </w:rPr>
              <w:t>liquidation preferences of the preferred stock.</w:t>
            </w:r>
          </w:p>
        </w:tc>
      </w:tr>
      <w:tr>
        <w:trPr>
          <w:trHeight w:val="199"/>
        </w:trPr>
        <w:tc>
          <w:tcPr>
            <w:tcW w:w="1800" w:type="dxa"/>
            <w:vAlign w:val="bottom"/>
          </w:tcPr>
          <w:p>
            <w:pPr>
              <w:ind w:left="20"/>
              <w:spacing w:after="0"/>
              <w:rPr>
                <w:sz w:val="20"/>
                <w:szCs w:val="20"/>
                <w:color w:val="auto"/>
              </w:rPr>
            </w:pPr>
            <w:r>
              <w:rPr>
                <w:rFonts w:ascii="Arial" w:cs="Arial" w:eastAsia="Arial" w:hAnsi="Arial"/>
                <w:sz w:val="15"/>
                <w:szCs w:val="15"/>
                <w:color w:val="auto"/>
              </w:rPr>
              <w:t>PWERM</w:t>
            </w:r>
          </w:p>
        </w:tc>
        <w:tc>
          <w:tcPr>
            <w:tcW w:w="9420" w:type="dxa"/>
            <w:vAlign w:val="bottom"/>
          </w:tcPr>
          <w:p>
            <w:pPr>
              <w:ind w:left="700"/>
              <w:spacing w:after="0"/>
              <w:rPr>
                <w:sz w:val="20"/>
                <w:szCs w:val="20"/>
                <w:color w:val="auto"/>
              </w:rPr>
            </w:pPr>
            <w:r>
              <w:rPr>
                <w:rFonts w:ascii="Arial" w:cs="Arial" w:eastAsia="Arial" w:hAnsi="Arial"/>
                <w:sz w:val="15"/>
                <w:szCs w:val="15"/>
                <w:color w:val="auto"/>
              </w:rPr>
              <w:t>Under a PWERM, share value is based upon the probability-weighted present value of expected future investment returns,</w:t>
            </w:r>
          </w:p>
        </w:tc>
      </w:tr>
      <w:tr>
        <w:trPr>
          <w:trHeight w:val="213"/>
        </w:trPr>
        <w:tc>
          <w:tcPr>
            <w:tcW w:w="1800" w:type="dxa"/>
            <w:vAlign w:val="bottom"/>
            <w:tcBorders>
              <w:bottom w:val="single" w:sz="8" w:color="183964"/>
            </w:tcBorders>
          </w:tcPr>
          <w:p>
            <w:pPr>
              <w:spacing w:after="0"/>
              <w:rPr>
                <w:sz w:val="18"/>
                <w:szCs w:val="18"/>
                <w:color w:val="auto"/>
              </w:rPr>
            </w:pPr>
          </w:p>
        </w:tc>
        <w:tc>
          <w:tcPr>
            <w:tcW w:w="9420" w:type="dxa"/>
            <w:vAlign w:val="bottom"/>
            <w:tcBorders>
              <w:bottom w:val="single" w:sz="8" w:color="183964"/>
            </w:tcBorders>
          </w:tcPr>
          <w:p>
            <w:pPr>
              <w:ind w:left="700"/>
              <w:spacing w:after="0"/>
              <w:rPr>
                <w:sz w:val="20"/>
                <w:szCs w:val="20"/>
                <w:color w:val="auto"/>
              </w:rPr>
            </w:pPr>
            <w:r>
              <w:rPr>
                <w:rFonts w:ascii="Arial" w:cs="Arial" w:eastAsia="Arial" w:hAnsi="Arial"/>
                <w:sz w:val="15"/>
                <w:szCs w:val="15"/>
                <w:color w:val="auto"/>
              </w:rPr>
              <w:t>considering each of the possible future outcomes available to the enterprise, as well as the rights of each share class.</w:t>
            </w:r>
          </w:p>
        </w:tc>
      </w:tr>
      <w:tr>
        <w:trPr>
          <w:trHeight w:val="199"/>
        </w:trPr>
        <w:tc>
          <w:tcPr>
            <w:tcW w:w="1800" w:type="dxa"/>
            <w:vAlign w:val="bottom"/>
          </w:tcPr>
          <w:p>
            <w:pPr>
              <w:ind w:left="20"/>
              <w:spacing w:after="0"/>
              <w:rPr>
                <w:sz w:val="20"/>
                <w:szCs w:val="20"/>
                <w:color w:val="auto"/>
              </w:rPr>
            </w:pPr>
            <w:r>
              <w:rPr>
                <w:rFonts w:ascii="Arial" w:cs="Arial" w:eastAsia="Arial" w:hAnsi="Arial"/>
                <w:sz w:val="15"/>
                <w:szCs w:val="15"/>
                <w:color w:val="auto"/>
              </w:rPr>
              <w:t>Hybrid</w:t>
            </w:r>
          </w:p>
        </w:tc>
        <w:tc>
          <w:tcPr>
            <w:tcW w:w="9420" w:type="dxa"/>
            <w:vAlign w:val="bottom"/>
          </w:tcPr>
          <w:p>
            <w:pPr>
              <w:ind w:left="700"/>
              <w:spacing w:after="0"/>
              <w:rPr>
                <w:sz w:val="20"/>
                <w:szCs w:val="20"/>
                <w:color w:val="auto"/>
              </w:rPr>
            </w:pPr>
            <w:r>
              <w:rPr>
                <w:rFonts w:ascii="Arial" w:cs="Arial" w:eastAsia="Arial" w:hAnsi="Arial"/>
                <w:sz w:val="15"/>
                <w:szCs w:val="15"/>
                <w:color w:val="auto"/>
              </w:rPr>
              <w:t>The hybrid method is a combination of the PWERM and OPM. Under the hybrid method, multiple liquidity scenarios are</w:t>
            </w:r>
          </w:p>
        </w:tc>
      </w:tr>
      <w:tr>
        <w:trPr>
          <w:trHeight w:val="189"/>
        </w:trPr>
        <w:tc>
          <w:tcPr>
            <w:tcW w:w="1800" w:type="dxa"/>
            <w:vAlign w:val="bottom"/>
          </w:tcPr>
          <w:p>
            <w:pPr>
              <w:spacing w:after="0"/>
              <w:rPr>
                <w:sz w:val="16"/>
                <w:szCs w:val="16"/>
                <w:color w:val="auto"/>
              </w:rPr>
            </w:pPr>
          </w:p>
        </w:tc>
        <w:tc>
          <w:tcPr>
            <w:tcW w:w="9420" w:type="dxa"/>
            <w:vAlign w:val="bottom"/>
          </w:tcPr>
          <w:p>
            <w:pPr>
              <w:ind w:left="700"/>
              <w:spacing w:after="0"/>
              <w:rPr>
                <w:sz w:val="20"/>
                <w:szCs w:val="20"/>
                <w:color w:val="auto"/>
              </w:rPr>
            </w:pPr>
            <w:r>
              <w:rPr>
                <w:rFonts w:ascii="Arial" w:cs="Arial" w:eastAsia="Arial" w:hAnsi="Arial"/>
                <w:sz w:val="15"/>
                <w:szCs w:val="15"/>
                <w:color w:val="auto"/>
              </w:rPr>
              <w:t>weighted based on the probability of the scenario's occurrence, similar to the PWERM, while also utilizing the OPM to estimate</w:t>
            </w:r>
          </w:p>
        </w:tc>
      </w:tr>
      <w:tr>
        <w:trPr>
          <w:trHeight w:val="213"/>
        </w:trPr>
        <w:tc>
          <w:tcPr>
            <w:tcW w:w="1800" w:type="dxa"/>
            <w:vAlign w:val="bottom"/>
            <w:tcBorders>
              <w:bottom w:val="single" w:sz="8" w:color="183964"/>
            </w:tcBorders>
          </w:tcPr>
          <w:p>
            <w:pPr>
              <w:spacing w:after="0"/>
              <w:rPr>
                <w:sz w:val="18"/>
                <w:szCs w:val="18"/>
                <w:color w:val="auto"/>
              </w:rPr>
            </w:pPr>
          </w:p>
        </w:tc>
        <w:tc>
          <w:tcPr>
            <w:tcW w:w="9420" w:type="dxa"/>
            <w:vAlign w:val="bottom"/>
            <w:tcBorders>
              <w:bottom w:val="single" w:sz="8" w:color="183964"/>
            </w:tcBorders>
          </w:tcPr>
          <w:p>
            <w:pPr>
              <w:ind w:left="700"/>
              <w:spacing w:after="0"/>
              <w:rPr>
                <w:sz w:val="20"/>
                <w:szCs w:val="20"/>
                <w:color w:val="auto"/>
              </w:rPr>
            </w:pPr>
            <w:r>
              <w:rPr>
                <w:rFonts w:ascii="Arial" w:cs="Arial" w:eastAsia="Arial" w:hAnsi="Arial"/>
                <w:sz w:val="15"/>
                <w:szCs w:val="15"/>
                <w:color w:val="auto"/>
              </w:rPr>
              <w:t>the allocation of value in one or more of the scenarios.</w:t>
            </w:r>
          </w:p>
        </w:tc>
      </w:tr>
    </w:tbl>
    <w:p>
      <w:pPr>
        <w:spacing w:after="0" w:line="77" w:lineRule="exact"/>
        <w:rPr>
          <w:sz w:val="20"/>
          <w:szCs w:val="20"/>
          <w:color w:val="auto"/>
        </w:rPr>
      </w:pPr>
    </w:p>
    <w:p>
      <w:pPr>
        <w:ind w:right="40"/>
        <w:spacing w:after="0" w:line="282" w:lineRule="auto"/>
        <w:rPr>
          <w:sz w:val="20"/>
          <w:szCs w:val="20"/>
          <w:color w:val="auto"/>
        </w:rPr>
      </w:pPr>
      <w:r>
        <w:rPr>
          <w:rFonts w:ascii="Arial" w:cs="Arial" w:eastAsia="Arial" w:hAnsi="Arial"/>
          <w:sz w:val="15"/>
          <w:szCs w:val="15"/>
          <w:color w:val="auto"/>
        </w:rPr>
        <w:t>Valuation policies and procedures are regularly monitored by the Group. Fair value measurements, including those categorized within Level 3, are prepared and reviewed for reasonableness and compliance with the fair value measurements guidance under IFRS accounting standards. The Group measures fair value using the following fair value hierarchy that reflects the significance of the inputs used in making the measurements: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40" w:type="dxa"/>
            <w:vAlign w:val="bottom"/>
          </w:tcPr>
          <w:p>
            <w:pPr>
              <w:ind w:left="20"/>
              <w:spacing w:after="0"/>
              <w:rPr>
                <w:sz w:val="20"/>
                <w:szCs w:val="20"/>
                <w:color w:val="auto"/>
              </w:rPr>
            </w:pPr>
            <w:r>
              <w:rPr>
                <w:rFonts w:ascii="Arial" w:cs="Arial" w:eastAsia="Arial" w:hAnsi="Arial"/>
                <w:sz w:val="13"/>
                <w:szCs w:val="13"/>
                <w:b w:val="1"/>
                <w:bCs w:val="1"/>
                <w:color w:val="auto"/>
              </w:rPr>
              <w:t>Fair Value</w:t>
            </w:r>
          </w:p>
        </w:tc>
        <w:tc>
          <w:tcPr>
            <w:tcW w:w="9480" w:type="dxa"/>
            <w:vAlign w:val="bottom"/>
          </w:tcPr>
          <w:p>
            <w:pPr>
              <w:spacing w:after="0"/>
              <w:rPr>
                <w:sz w:val="12"/>
                <w:szCs w:val="12"/>
                <w:color w:val="auto"/>
              </w:rPr>
            </w:pPr>
          </w:p>
        </w:tc>
      </w:tr>
      <w:tr>
        <w:trPr>
          <w:trHeight w:val="172"/>
        </w:trPr>
        <w:tc>
          <w:tcPr>
            <w:tcW w:w="1740" w:type="dxa"/>
            <w:vAlign w:val="bottom"/>
          </w:tcPr>
          <w:p>
            <w:pPr>
              <w:ind w:left="20"/>
              <w:spacing w:after="0"/>
              <w:rPr>
                <w:sz w:val="20"/>
                <w:szCs w:val="20"/>
                <w:color w:val="auto"/>
              </w:rPr>
            </w:pPr>
            <w:r>
              <w:rPr>
                <w:rFonts w:ascii="Arial" w:cs="Arial" w:eastAsia="Arial" w:hAnsi="Arial"/>
                <w:sz w:val="13"/>
                <w:szCs w:val="13"/>
                <w:b w:val="1"/>
                <w:bCs w:val="1"/>
                <w:color w:val="auto"/>
              </w:rPr>
              <w:t>Hierarchy Level</w:t>
            </w:r>
          </w:p>
        </w:tc>
        <w:tc>
          <w:tcPr>
            <w:tcW w:w="9480" w:type="dxa"/>
            <w:vAlign w:val="bottom"/>
          </w:tcPr>
          <w:p>
            <w:pPr>
              <w:ind w:left="760"/>
              <w:spacing w:after="0"/>
              <w:rPr>
                <w:sz w:val="20"/>
                <w:szCs w:val="20"/>
                <w:color w:val="auto"/>
              </w:rPr>
            </w:pPr>
            <w:r>
              <w:rPr>
                <w:rFonts w:ascii="Arial" w:cs="Arial" w:eastAsia="Arial" w:hAnsi="Arial"/>
                <w:sz w:val="13"/>
                <w:szCs w:val="13"/>
                <w:b w:val="1"/>
                <w:bCs w:val="1"/>
                <w:color w:val="auto"/>
              </w:rPr>
              <w:t>Description</w:t>
            </w:r>
          </w:p>
        </w:tc>
      </w:tr>
      <w:tr>
        <w:trPr>
          <w:trHeight w:val="22"/>
        </w:trPr>
        <w:tc>
          <w:tcPr>
            <w:tcW w:w="1740" w:type="dxa"/>
            <w:vAlign w:val="bottom"/>
            <w:tcBorders>
              <w:bottom w:val="single" w:sz="8" w:color="183964"/>
            </w:tcBorders>
          </w:tcPr>
          <w:p>
            <w:pPr>
              <w:spacing w:after="0" w:line="20" w:lineRule="exact"/>
              <w:rPr>
                <w:sz w:val="1"/>
                <w:szCs w:val="1"/>
                <w:color w:val="auto"/>
              </w:rPr>
            </w:pPr>
          </w:p>
        </w:tc>
        <w:tc>
          <w:tcPr>
            <w:tcW w:w="9480" w:type="dxa"/>
            <w:vAlign w:val="bottom"/>
            <w:tcBorders>
              <w:bottom w:val="single" w:sz="8" w:color="183964"/>
            </w:tcBorders>
          </w:tcPr>
          <w:p>
            <w:pPr>
              <w:spacing w:after="0" w:line="20" w:lineRule="exact"/>
              <w:rPr>
                <w:sz w:val="1"/>
                <w:szCs w:val="1"/>
                <w:color w:val="auto"/>
              </w:rPr>
            </w:pPr>
          </w:p>
        </w:tc>
      </w:tr>
      <w:tr>
        <w:trPr>
          <w:trHeight w:val="203"/>
        </w:trPr>
        <w:tc>
          <w:tcPr>
            <w:tcW w:w="1740" w:type="dxa"/>
            <w:vAlign w:val="bottom"/>
          </w:tcPr>
          <w:p>
            <w:pPr>
              <w:ind w:left="20"/>
              <w:spacing w:after="0"/>
              <w:rPr>
                <w:sz w:val="20"/>
                <w:szCs w:val="20"/>
                <w:color w:val="auto"/>
              </w:rPr>
            </w:pPr>
            <w:r>
              <w:rPr>
                <w:rFonts w:ascii="Arial" w:cs="Arial" w:eastAsia="Arial" w:hAnsi="Arial"/>
                <w:sz w:val="15"/>
                <w:szCs w:val="15"/>
                <w:color w:val="auto"/>
              </w:rPr>
              <w:t>Level 1</w:t>
            </w:r>
          </w:p>
        </w:tc>
        <w:tc>
          <w:tcPr>
            <w:tcW w:w="9480" w:type="dxa"/>
            <w:vAlign w:val="bottom"/>
          </w:tcPr>
          <w:p>
            <w:pPr>
              <w:ind w:left="760"/>
              <w:spacing w:after="0"/>
              <w:rPr>
                <w:sz w:val="20"/>
                <w:szCs w:val="20"/>
                <w:color w:val="auto"/>
              </w:rPr>
            </w:pPr>
            <w:r>
              <w:rPr>
                <w:rFonts w:ascii="Arial" w:cs="Arial" w:eastAsia="Arial" w:hAnsi="Arial"/>
                <w:sz w:val="15"/>
                <w:szCs w:val="15"/>
                <w:color w:val="auto"/>
              </w:rPr>
              <w:t>Inputs that are quoted market prices (unadjusted) in active markets for identical instruments.</w:t>
            </w:r>
          </w:p>
        </w:tc>
      </w:tr>
      <w:tr>
        <w:trPr>
          <w:trHeight w:val="33"/>
        </w:trPr>
        <w:tc>
          <w:tcPr>
            <w:tcW w:w="1740" w:type="dxa"/>
            <w:vAlign w:val="bottom"/>
            <w:tcBorders>
              <w:bottom w:val="single" w:sz="8" w:color="183964"/>
            </w:tcBorders>
          </w:tcPr>
          <w:p>
            <w:pPr>
              <w:spacing w:after="0"/>
              <w:rPr>
                <w:sz w:val="2"/>
                <w:szCs w:val="2"/>
                <w:color w:val="auto"/>
              </w:rPr>
            </w:pPr>
          </w:p>
        </w:tc>
        <w:tc>
          <w:tcPr>
            <w:tcW w:w="9480" w:type="dxa"/>
            <w:vAlign w:val="bottom"/>
            <w:tcBorders>
              <w:bottom w:val="single" w:sz="8" w:color="183964"/>
            </w:tcBorders>
          </w:tcPr>
          <w:p>
            <w:pPr>
              <w:spacing w:after="0"/>
              <w:rPr>
                <w:sz w:val="2"/>
                <w:szCs w:val="2"/>
                <w:color w:val="auto"/>
              </w:rPr>
            </w:pPr>
          </w:p>
        </w:tc>
      </w:tr>
      <w:tr>
        <w:trPr>
          <w:trHeight w:val="179"/>
        </w:trPr>
        <w:tc>
          <w:tcPr>
            <w:tcW w:w="1740" w:type="dxa"/>
            <w:vAlign w:val="bottom"/>
          </w:tcPr>
          <w:p>
            <w:pPr>
              <w:ind w:left="20"/>
              <w:spacing w:after="0"/>
              <w:rPr>
                <w:sz w:val="20"/>
                <w:szCs w:val="20"/>
                <w:color w:val="auto"/>
              </w:rPr>
            </w:pPr>
            <w:r>
              <w:rPr>
                <w:rFonts w:ascii="Arial" w:cs="Arial" w:eastAsia="Arial" w:hAnsi="Arial"/>
                <w:sz w:val="15"/>
                <w:szCs w:val="15"/>
                <w:color w:val="auto"/>
              </w:rPr>
              <w:t>Level 2</w:t>
            </w:r>
          </w:p>
        </w:tc>
        <w:tc>
          <w:tcPr>
            <w:tcW w:w="9480" w:type="dxa"/>
            <w:vAlign w:val="bottom"/>
          </w:tcPr>
          <w:p>
            <w:pPr>
              <w:ind w:left="760"/>
              <w:spacing w:after="0"/>
              <w:rPr>
                <w:sz w:val="20"/>
                <w:szCs w:val="20"/>
                <w:color w:val="auto"/>
              </w:rPr>
            </w:pPr>
            <w:r>
              <w:rPr>
                <w:rFonts w:ascii="Arial" w:cs="Arial" w:eastAsia="Arial" w:hAnsi="Arial"/>
                <w:sz w:val="15"/>
                <w:szCs w:val="15"/>
                <w:color w:val="auto"/>
              </w:rPr>
              <w:t>Inputs other than quoted prices included within Level 1 that are observable either directly (i.e. as prices) or indirectly (i.e. derived</w:t>
            </w:r>
          </w:p>
        </w:tc>
      </w:tr>
      <w:tr>
        <w:trPr>
          <w:trHeight w:val="200"/>
        </w:trPr>
        <w:tc>
          <w:tcPr>
            <w:tcW w:w="1740" w:type="dxa"/>
            <w:vAlign w:val="bottom"/>
          </w:tcPr>
          <w:p>
            <w:pPr>
              <w:spacing w:after="0"/>
              <w:rPr>
                <w:sz w:val="17"/>
                <w:szCs w:val="17"/>
                <w:color w:val="auto"/>
              </w:rPr>
            </w:pPr>
          </w:p>
        </w:tc>
        <w:tc>
          <w:tcPr>
            <w:tcW w:w="9480" w:type="dxa"/>
            <w:vAlign w:val="bottom"/>
          </w:tcPr>
          <w:p>
            <w:pPr>
              <w:ind w:left="760"/>
              <w:spacing w:after="0"/>
              <w:rPr>
                <w:sz w:val="20"/>
                <w:szCs w:val="20"/>
                <w:color w:val="auto"/>
              </w:rPr>
            </w:pPr>
            <w:r>
              <w:rPr>
                <w:rFonts w:ascii="Arial" w:cs="Arial" w:eastAsia="Arial" w:hAnsi="Arial"/>
                <w:sz w:val="15"/>
                <w:szCs w:val="15"/>
                <w:color w:val="auto"/>
              </w:rPr>
              <w:t>from prices).</w:t>
            </w:r>
          </w:p>
        </w:tc>
      </w:tr>
      <w:tr>
        <w:trPr>
          <w:trHeight w:val="33"/>
        </w:trPr>
        <w:tc>
          <w:tcPr>
            <w:tcW w:w="1740" w:type="dxa"/>
            <w:vAlign w:val="bottom"/>
            <w:tcBorders>
              <w:bottom w:val="single" w:sz="8" w:color="183964"/>
            </w:tcBorders>
          </w:tcPr>
          <w:p>
            <w:pPr>
              <w:spacing w:after="0"/>
              <w:rPr>
                <w:sz w:val="2"/>
                <w:szCs w:val="2"/>
                <w:color w:val="auto"/>
              </w:rPr>
            </w:pPr>
          </w:p>
        </w:tc>
        <w:tc>
          <w:tcPr>
            <w:tcW w:w="9480" w:type="dxa"/>
            <w:vAlign w:val="bottom"/>
            <w:tcBorders>
              <w:bottom w:val="single" w:sz="8" w:color="183964"/>
            </w:tcBorders>
          </w:tcPr>
          <w:p>
            <w:pPr>
              <w:spacing w:after="0"/>
              <w:rPr>
                <w:sz w:val="2"/>
                <w:szCs w:val="2"/>
                <w:color w:val="auto"/>
              </w:rPr>
            </w:pPr>
          </w:p>
        </w:tc>
      </w:tr>
      <w:tr>
        <w:trPr>
          <w:trHeight w:val="179"/>
        </w:trPr>
        <w:tc>
          <w:tcPr>
            <w:tcW w:w="1740" w:type="dxa"/>
            <w:vAlign w:val="bottom"/>
          </w:tcPr>
          <w:p>
            <w:pPr>
              <w:ind w:left="20"/>
              <w:spacing w:after="0"/>
              <w:rPr>
                <w:sz w:val="20"/>
                <w:szCs w:val="20"/>
                <w:color w:val="auto"/>
              </w:rPr>
            </w:pPr>
            <w:r>
              <w:rPr>
                <w:rFonts w:ascii="Arial" w:cs="Arial" w:eastAsia="Arial" w:hAnsi="Arial"/>
                <w:sz w:val="15"/>
                <w:szCs w:val="15"/>
                <w:color w:val="auto"/>
              </w:rPr>
              <w:t>Level 3</w:t>
            </w:r>
          </w:p>
        </w:tc>
        <w:tc>
          <w:tcPr>
            <w:tcW w:w="9480" w:type="dxa"/>
            <w:vAlign w:val="bottom"/>
          </w:tcPr>
          <w:p>
            <w:pPr>
              <w:ind w:left="760"/>
              <w:spacing w:after="0"/>
              <w:rPr>
                <w:sz w:val="20"/>
                <w:szCs w:val="20"/>
                <w:color w:val="auto"/>
              </w:rPr>
            </w:pPr>
            <w:r>
              <w:rPr>
                <w:rFonts w:ascii="Arial" w:cs="Arial" w:eastAsia="Arial" w:hAnsi="Arial"/>
                <w:sz w:val="15"/>
                <w:szCs w:val="15"/>
                <w:color w:val="auto"/>
              </w:rPr>
              <w:t>Inputs that are unobservable. This category includes all instruments for which the valuation technique includes inputs not based</w:t>
            </w:r>
          </w:p>
        </w:tc>
      </w:tr>
      <w:tr>
        <w:trPr>
          <w:trHeight w:val="200"/>
        </w:trPr>
        <w:tc>
          <w:tcPr>
            <w:tcW w:w="1740" w:type="dxa"/>
            <w:vAlign w:val="bottom"/>
          </w:tcPr>
          <w:p>
            <w:pPr>
              <w:spacing w:after="0"/>
              <w:rPr>
                <w:sz w:val="17"/>
                <w:szCs w:val="17"/>
                <w:color w:val="auto"/>
              </w:rPr>
            </w:pPr>
          </w:p>
        </w:tc>
        <w:tc>
          <w:tcPr>
            <w:tcW w:w="9480" w:type="dxa"/>
            <w:vAlign w:val="bottom"/>
          </w:tcPr>
          <w:p>
            <w:pPr>
              <w:ind w:left="760"/>
              <w:spacing w:after="0"/>
              <w:rPr>
                <w:sz w:val="20"/>
                <w:szCs w:val="20"/>
                <w:color w:val="auto"/>
              </w:rPr>
            </w:pPr>
            <w:r>
              <w:rPr>
                <w:rFonts w:ascii="Arial" w:cs="Arial" w:eastAsia="Arial" w:hAnsi="Arial"/>
                <w:sz w:val="15"/>
                <w:szCs w:val="15"/>
                <w:color w:val="auto"/>
              </w:rPr>
              <w:t>on observable data and the unobservable inputs have a significant effect on the instruments' valuation.</w:t>
            </w:r>
          </w:p>
        </w:tc>
      </w:tr>
      <w:tr>
        <w:trPr>
          <w:trHeight w:val="33"/>
        </w:trPr>
        <w:tc>
          <w:tcPr>
            <w:tcW w:w="1740" w:type="dxa"/>
            <w:vAlign w:val="bottom"/>
            <w:tcBorders>
              <w:bottom w:val="single" w:sz="8" w:color="183964"/>
            </w:tcBorders>
          </w:tcPr>
          <w:p>
            <w:pPr>
              <w:spacing w:after="0"/>
              <w:rPr>
                <w:sz w:val="2"/>
                <w:szCs w:val="2"/>
                <w:color w:val="auto"/>
              </w:rPr>
            </w:pPr>
          </w:p>
        </w:tc>
        <w:tc>
          <w:tcPr>
            <w:tcW w:w="9480" w:type="dxa"/>
            <w:vAlign w:val="bottom"/>
            <w:tcBorders>
              <w:bottom w:val="single" w:sz="8" w:color="183964"/>
            </w:tcBorders>
          </w:tcPr>
          <w:p>
            <w:pPr>
              <w:spacing w:after="0"/>
              <w:rPr>
                <w:sz w:val="2"/>
                <w:szCs w:val="2"/>
                <w:color w:val="auto"/>
              </w:rPr>
            </w:pPr>
          </w:p>
        </w:tc>
      </w:tr>
    </w:tbl>
    <w:p>
      <w:pPr>
        <w:spacing w:after="0" w:line="158" w:lineRule="exact"/>
        <w:rPr>
          <w:sz w:val="20"/>
          <w:szCs w:val="20"/>
          <w:color w:val="auto"/>
        </w:rPr>
      </w:pPr>
    </w:p>
    <w:p>
      <w:pPr>
        <w:ind w:right="320"/>
        <w:spacing w:after="0" w:line="301" w:lineRule="auto"/>
        <w:rPr>
          <w:sz w:val="20"/>
          <w:szCs w:val="20"/>
          <w:color w:val="auto"/>
        </w:rPr>
      </w:pPr>
      <w:r>
        <w:rPr>
          <w:rFonts w:ascii="Arial" w:cs="Arial" w:eastAsia="Arial" w:hAnsi="Arial"/>
          <w:sz w:val="15"/>
          <w:szCs w:val="15"/>
          <w:color w:val="auto"/>
        </w:rPr>
        <w:t>Whilst the Group considers the methodologies and assumptions adopted in fair value measurements as supportable and reasonable, because of the inherent uncertainty of valuation, those estimated values may differ significantly from the values that would have been used had a ready market for the investment existed.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735330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1" w:right="339" w:bottom="1440" w:gutter="0" w:footer="0" w:header="0"/>
        </w:sectPr>
      </w:pPr>
    </w:p>
    <w:bookmarkStart w:id="36" w:name="page37"/>
    <w:bookmarkEnd w:id="36"/>
    <w:p>
      <w:pPr>
        <w:spacing w:after="0"/>
        <w:rPr>
          <w:sz w:val="20"/>
          <w:szCs w:val="20"/>
          <w:color w:val="auto"/>
        </w:rPr>
      </w:pPr>
      <w:r>
        <w:rPr>
          <w:rFonts w:ascii="Arial" w:cs="Arial" w:eastAsia="Arial" w:hAnsi="Arial"/>
          <w:sz w:val="15"/>
          <w:szCs w:val="15"/>
          <w:color w:val="183964"/>
        </w:rPr>
        <w:t>Subsidiary Preferred Shares Liability</w:t>
      </w:r>
    </w:p>
    <w:p>
      <w:pPr>
        <w:spacing w:after="0" w:line="17" w:lineRule="exact"/>
        <w:rPr>
          <w:sz w:val="20"/>
          <w:szCs w:val="20"/>
          <w:color w:val="auto"/>
        </w:rPr>
      </w:pPr>
    </w:p>
    <w:p>
      <w:pPr>
        <w:ind w:right="360"/>
        <w:spacing w:after="0" w:line="282" w:lineRule="auto"/>
        <w:rPr>
          <w:sz w:val="20"/>
          <w:szCs w:val="20"/>
          <w:color w:val="auto"/>
        </w:rPr>
      </w:pPr>
      <w:r>
        <w:rPr>
          <w:rFonts w:ascii="Arial" w:cs="Arial" w:eastAsia="Arial" w:hAnsi="Arial"/>
          <w:sz w:val="15"/>
          <w:szCs w:val="15"/>
          <w:color w:val="auto"/>
        </w:rPr>
        <w:t>The following table summarizes the changes in the Group’s subsidiary preferred shares measured at fair value, which are categorized as Level 3 in the fair value hierarchy:</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00" w:type="dxa"/>
            <w:vAlign w:val="bottom"/>
          </w:tcPr>
          <w:p>
            <w:pPr>
              <w:spacing w:after="0"/>
              <w:rPr>
                <w:sz w:val="13"/>
                <w:szCs w:val="13"/>
                <w:color w:val="auto"/>
              </w:rPr>
            </w:pPr>
          </w:p>
        </w:tc>
        <w:tc>
          <w:tcPr>
            <w:tcW w:w="4420" w:type="dxa"/>
            <w:vAlign w:val="bottom"/>
          </w:tcPr>
          <w:p>
            <w:pPr>
              <w:jc w:val="right"/>
              <w:spacing w:after="0"/>
              <w:rPr>
                <w:sz w:val="20"/>
                <w:szCs w:val="20"/>
                <w:color w:val="auto"/>
              </w:rPr>
            </w:pPr>
            <w:r>
              <w:rPr>
                <w:rFonts w:ascii="Arial" w:cs="Arial" w:eastAsia="Arial" w:hAnsi="Arial"/>
                <w:sz w:val="13"/>
                <w:szCs w:val="13"/>
                <w:color w:val="auto"/>
              </w:rPr>
              <w:t>Subsidiary Preferred</w:t>
            </w:r>
          </w:p>
        </w:tc>
      </w:tr>
      <w:tr>
        <w:trPr>
          <w:trHeight w:val="148"/>
        </w:trPr>
        <w:tc>
          <w:tcPr>
            <w:tcW w:w="6800" w:type="dxa"/>
            <w:vAlign w:val="bottom"/>
          </w:tcPr>
          <w:p>
            <w:pPr>
              <w:spacing w:after="0"/>
              <w:rPr>
                <w:sz w:val="12"/>
                <w:szCs w:val="12"/>
                <w:color w:val="auto"/>
              </w:rPr>
            </w:pPr>
          </w:p>
        </w:tc>
        <w:tc>
          <w:tcPr>
            <w:tcW w:w="4420" w:type="dxa"/>
            <w:vAlign w:val="bottom"/>
          </w:tcPr>
          <w:p>
            <w:pPr>
              <w:jc w:val="right"/>
              <w:spacing w:after="0"/>
              <w:rPr>
                <w:sz w:val="20"/>
                <w:szCs w:val="20"/>
                <w:color w:val="auto"/>
              </w:rPr>
            </w:pPr>
            <w:r>
              <w:rPr>
                <w:rFonts w:ascii="Arial" w:cs="Arial" w:eastAsia="Arial" w:hAnsi="Arial"/>
                <w:sz w:val="13"/>
                <w:szCs w:val="13"/>
                <w:color w:val="auto"/>
              </w:rPr>
              <w:t>Shares</w:t>
            </w:r>
          </w:p>
        </w:tc>
      </w:tr>
      <w:tr>
        <w:trPr>
          <w:trHeight w:val="166"/>
        </w:trPr>
        <w:tc>
          <w:tcPr>
            <w:tcW w:w="6800" w:type="dxa"/>
            <w:vAlign w:val="bottom"/>
          </w:tcPr>
          <w:p>
            <w:pPr>
              <w:spacing w:after="0"/>
              <w:rPr>
                <w:sz w:val="14"/>
                <w:szCs w:val="14"/>
                <w:color w:val="auto"/>
              </w:rPr>
            </w:pPr>
          </w:p>
        </w:tc>
        <w:tc>
          <w:tcPr>
            <w:tcW w:w="44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41"/>
        </w:trPr>
        <w:tc>
          <w:tcPr>
            <w:tcW w:w="6800" w:type="dxa"/>
            <w:vAlign w:val="bottom"/>
            <w:tcBorders>
              <w:bottom w:val="single" w:sz="8" w:color="183964"/>
            </w:tcBorders>
          </w:tcPr>
          <w:p>
            <w:pPr>
              <w:spacing w:after="0"/>
              <w:rPr>
                <w:sz w:val="3"/>
                <w:szCs w:val="3"/>
                <w:color w:val="auto"/>
              </w:rPr>
            </w:pPr>
          </w:p>
        </w:tc>
        <w:tc>
          <w:tcPr>
            <w:tcW w:w="4420" w:type="dxa"/>
            <w:vAlign w:val="bottom"/>
            <w:tcBorders>
              <w:bottom w:val="single" w:sz="8" w:color="183964"/>
            </w:tcBorders>
          </w:tcPr>
          <w:p>
            <w:pPr>
              <w:spacing w:after="0"/>
              <w:rPr>
                <w:sz w:val="3"/>
                <w:szCs w:val="3"/>
                <w:color w:val="auto"/>
              </w:rPr>
            </w:pPr>
          </w:p>
        </w:tc>
      </w:tr>
      <w:tr>
        <w:trPr>
          <w:trHeight w:val="204"/>
        </w:trPr>
        <w:tc>
          <w:tcPr>
            <w:tcW w:w="6800" w:type="dxa"/>
            <w:vAlign w:val="bottom"/>
          </w:tcPr>
          <w:p>
            <w:pPr>
              <w:ind w:left="20"/>
              <w:spacing w:after="0"/>
              <w:rPr>
                <w:sz w:val="20"/>
                <w:szCs w:val="20"/>
                <w:color w:val="auto"/>
              </w:rPr>
            </w:pPr>
            <w:r>
              <w:rPr>
                <w:rFonts w:ascii="Arial" w:cs="Arial" w:eastAsia="Arial" w:hAnsi="Arial"/>
                <w:sz w:val="15"/>
                <w:szCs w:val="15"/>
                <w:color w:val="auto"/>
              </w:rPr>
              <w:t>Balance at December 31, 2023 and January 1, 2024</w:t>
            </w:r>
          </w:p>
        </w:tc>
        <w:tc>
          <w:tcPr>
            <w:tcW w:w="4420" w:type="dxa"/>
            <w:vAlign w:val="bottom"/>
          </w:tcPr>
          <w:p>
            <w:pPr>
              <w:jc w:val="right"/>
              <w:ind w:right="9"/>
              <w:spacing w:after="0"/>
              <w:rPr>
                <w:sz w:val="20"/>
                <w:szCs w:val="20"/>
                <w:color w:val="auto"/>
              </w:rPr>
            </w:pPr>
            <w:r>
              <w:rPr>
                <w:rFonts w:ascii="Arial" w:cs="Arial" w:eastAsia="Arial" w:hAnsi="Arial"/>
                <w:sz w:val="15"/>
                <w:szCs w:val="15"/>
                <w:color w:val="183964"/>
              </w:rPr>
              <w:t>169</w:t>
            </w:r>
          </w:p>
        </w:tc>
      </w:tr>
      <w:tr>
        <w:trPr>
          <w:trHeight w:val="243"/>
        </w:trPr>
        <w:tc>
          <w:tcPr>
            <w:tcW w:w="6800" w:type="dxa"/>
            <w:vAlign w:val="bottom"/>
          </w:tcPr>
          <w:p>
            <w:pPr>
              <w:ind w:left="20"/>
              <w:spacing w:after="0"/>
              <w:rPr>
                <w:sz w:val="20"/>
                <w:szCs w:val="20"/>
                <w:color w:val="auto"/>
              </w:rPr>
            </w:pPr>
            <w:r>
              <w:rPr>
                <w:rFonts w:ascii="Arial" w:cs="Arial" w:eastAsia="Arial" w:hAnsi="Arial"/>
                <w:sz w:val="15"/>
                <w:szCs w:val="15"/>
                <w:color w:val="auto"/>
              </w:rPr>
              <w:t>Value at issuance</w:t>
            </w:r>
          </w:p>
        </w:tc>
        <w:tc>
          <w:tcPr>
            <w:tcW w:w="4420" w:type="dxa"/>
            <w:vAlign w:val="bottom"/>
          </w:tcPr>
          <w:p>
            <w:pPr>
              <w:jc w:val="right"/>
              <w:ind w:right="9"/>
              <w:spacing w:after="0"/>
              <w:rPr>
                <w:sz w:val="20"/>
                <w:szCs w:val="20"/>
                <w:color w:val="auto"/>
              </w:rPr>
            </w:pPr>
            <w:r>
              <w:rPr>
                <w:rFonts w:ascii="Arial" w:cs="Arial" w:eastAsia="Arial" w:hAnsi="Arial"/>
                <w:sz w:val="15"/>
                <w:szCs w:val="15"/>
                <w:color w:val="183964"/>
              </w:rPr>
              <w:t>68,100</w:t>
            </w:r>
          </w:p>
        </w:tc>
      </w:tr>
      <w:tr>
        <w:trPr>
          <w:trHeight w:val="243"/>
        </w:trPr>
        <w:tc>
          <w:tcPr>
            <w:tcW w:w="6800" w:type="dxa"/>
            <w:vAlign w:val="bottom"/>
          </w:tcPr>
          <w:p>
            <w:pPr>
              <w:ind w:left="20"/>
              <w:spacing w:after="0"/>
              <w:rPr>
                <w:sz w:val="20"/>
                <w:szCs w:val="20"/>
                <w:color w:val="auto"/>
              </w:rPr>
            </w:pPr>
            <w:r>
              <w:rPr>
                <w:rFonts w:ascii="Arial" w:cs="Arial" w:eastAsia="Arial" w:hAnsi="Arial"/>
                <w:sz w:val="15"/>
                <w:szCs w:val="15"/>
                <w:color w:val="auto"/>
              </w:rPr>
              <w:t>Change in fair value</w:t>
            </w:r>
          </w:p>
        </w:tc>
        <w:tc>
          <w:tcPr>
            <w:tcW w:w="4420" w:type="dxa"/>
            <w:vAlign w:val="bottom"/>
          </w:tcPr>
          <w:p>
            <w:pPr>
              <w:jc w:val="right"/>
              <w:ind w:right="9"/>
              <w:spacing w:after="0"/>
              <w:rPr>
                <w:sz w:val="20"/>
                <w:szCs w:val="20"/>
                <w:color w:val="auto"/>
              </w:rPr>
            </w:pPr>
            <w:r>
              <w:rPr>
                <w:rFonts w:ascii="Arial" w:cs="Arial" w:eastAsia="Arial" w:hAnsi="Arial"/>
                <w:sz w:val="15"/>
                <w:szCs w:val="15"/>
                <w:color w:val="183964"/>
              </w:rPr>
              <w:t>1,613</w:t>
            </w:r>
          </w:p>
        </w:tc>
      </w:tr>
      <w:tr>
        <w:trPr>
          <w:trHeight w:val="33"/>
        </w:trPr>
        <w:tc>
          <w:tcPr>
            <w:tcW w:w="680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r>
      <w:tr>
        <w:trPr>
          <w:trHeight w:val="212"/>
        </w:trPr>
        <w:tc>
          <w:tcPr>
            <w:tcW w:w="6800" w:type="dxa"/>
            <w:vAlign w:val="bottom"/>
          </w:tcPr>
          <w:p>
            <w:pPr>
              <w:ind w:left="20"/>
              <w:spacing w:after="0"/>
              <w:rPr>
                <w:sz w:val="20"/>
                <w:szCs w:val="20"/>
                <w:color w:val="auto"/>
              </w:rPr>
            </w:pPr>
            <w:r>
              <w:rPr>
                <w:rFonts w:ascii="Arial" w:cs="Arial" w:eastAsia="Arial" w:hAnsi="Arial"/>
                <w:sz w:val="15"/>
                <w:szCs w:val="15"/>
                <w:b w:val="1"/>
                <w:bCs w:val="1"/>
                <w:color w:val="auto"/>
              </w:rPr>
              <w:t>Balance at June 30, 2024</w:t>
            </w:r>
          </w:p>
        </w:tc>
        <w:tc>
          <w:tcPr>
            <w:tcW w:w="4420" w:type="dxa"/>
            <w:vAlign w:val="bottom"/>
          </w:tcPr>
          <w:p>
            <w:pPr>
              <w:jc w:val="right"/>
              <w:ind w:right="9"/>
              <w:spacing w:after="0"/>
              <w:rPr>
                <w:sz w:val="20"/>
                <w:szCs w:val="20"/>
                <w:color w:val="auto"/>
              </w:rPr>
            </w:pPr>
            <w:r>
              <w:rPr>
                <w:rFonts w:ascii="Arial" w:cs="Arial" w:eastAsia="Arial" w:hAnsi="Arial"/>
                <w:sz w:val="15"/>
                <w:szCs w:val="15"/>
                <w:b w:val="1"/>
                <w:bCs w:val="1"/>
                <w:color w:val="auto"/>
              </w:rPr>
              <w:t>69,882</w:t>
            </w:r>
          </w:p>
        </w:tc>
      </w:tr>
      <w:tr>
        <w:trPr>
          <w:trHeight w:val="25"/>
        </w:trPr>
        <w:tc>
          <w:tcPr>
            <w:tcW w:w="680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r>
    </w:tbl>
    <w:p>
      <w:pPr>
        <w:spacing w:after="0" w:line="172" w:lineRule="exact"/>
        <w:rPr>
          <w:sz w:val="20"/>
          <w:szCs w:val="20"/>
          <w:color w:val="auto"/>
        </w:rPr>
      </w:pPr>
    </w:p>
    <w:p>
      <w:pPr>
        <w:ind w:right="320"/>
        <w:spacing w:after="0" w:line="283" w:lineRule="auto"/>
        <w:rPr>
          <w:sz w:val="20"/>
          <w:szCs w:val="20"/>
          <w:color w:val="auto"/>
        </w:rPr>
      </w:pPr>
      <w:r>
        <w:rPr>
          <w:rFonts w:ascii="Arial" w:cs="Arial" w:eastAsia="Arial" w:hAnsi="Arial"/>
          <w:sz w:val="15"/>
          <w:szCs w:val="15"/>
          <w:color w:val="auto"/>
        </w:rPr>
        <w:t>The change in fair value of preferred shares liabilities are recorded in finance income/(costs) – fair value accounting in the Condensed Consolidated Statement of Comprehensive Income/(Loss).</w:t>
      </w:r>
    </w:p>
    <w:p>
      <w:pPr>
        <w:spacing w:after="0" w:line="52" w:lineRule="exact"/>
        <w:rPr>
          <w:sz w:val="20"/>
          <w:szCs w:val="20"/>
          <w:color w:val="auto"/>
        </w:rPr>
      </w:pPr>
    </w:p>
    <w:p>
      <w:pPr>
        <w:ind w:right="660"/>
        <w:spacing w:after="0" w:line="283" w:lineRule="auto"/>
        <w:rPr>
          <w:sz w:val="20"/>
          <w:szCs w:val="20"/>
          <w:color w:val="auto"/>
        </w:rPr>
      </w:pPr>
      <w:r>
        <w:rPr>
          <w:rFonts w:ascii="Arial" w:cs="Arial" w:eastAsia="Arial" w:hAnsi="Arial"/>
          <w:sz w:val="15"/>
          <w:szCs w:val="15"/>
          <w:color w:val="auto"/>
        </w:rPr>
        <w:t>The significant unobservable inputs used at June 30, 2024 in the fair value measurement of the Group’s material subsidiary preferred shares liability and the sensitivity of the fair value measurement for this liability to changes of these significant unobservable inputs are summarized in the table below.</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vMerge w:val="restart"/>
          </w:tcPr>
          <w:p>
            <w:pPr>
              <w:ind w:left="20"/>
              <w:spacing w:after="0"/>
              <w:rPr>
                <w:sz w:val="20"/>
                <w:szCs w:val="20"/>
                <w:color w:val="auto"/>
              </w:rPr>
            </w:pPr>
            <w:r>
              <w:rPr>
                <w:rFonts w:ascii="Arial" w:cs="Arial" w:eastAsia="Arial" w:hAnsi="Arial"/>
                <w:sz w:val="13"/>
                <w:szCs w:val="13"/>
                <w:color w:val="auto"/>
              </w:rPr>
              <w:t>As of June 30, 2024</w:t>
            </w:r>
          </w:p>
        </w:tc>
        <w:tc>
          <w:tcPr>
            <w:tcW w:w="5920" w:type="dxa"/>
            <w:vAlign w:val="bottom"/>
            <w:gridSpan w:val="3"/>
          </w:tcPr>
          <w:p>
            <w:pPr>
              <w:jc w:val="right"/>
              <w:ind w:right="1367"/>
              <w:spacing w:after="0"/>
              <w:rPr>
                <w:sz w:val="20"/>
                <w:szCs w:val="20"/>
                <w:color w:val="auto"/>
              </w:rPr>
            </w:pPr>
            <w:r>
              <w:rPr>
                <w:rFonts w:ascii="Arial" w:cs="Arial" w:eastAsia="Arial" w:hAnsi="Arial"/>
                <w:sz w:val="13"/>
                <w:szCs w:val="13"/>
                <w:color w:val="183964"/>
              </w:rPr>
              <w:t>Subsidiary Preferred Share Liability Measured through</w:t>
            </w:r>
          </w:p>
        </w:tc>
        <w:tc>
          <w:tcPr>
            <w:tcW w:w="0" w:type="dxa"/>
            <w:vAlign w:val="bottom"/>
          </w:tcPr>
          <w:p>
            <w:pPr>
              <w:spacing w:after="0"/>
              <w:rPr>
                <w:sz w:val="1"/>
                <w:szCs w:val="1"/>
                <w:color w:val="auto"/>
              </w:rPr>
            </w:pPr>
          </w:p>
        </w:tc>
      </w:tr>
      <w:tr>
        <w:trPr>
          <w:trHeight w:val="173"/>
        </w:trPr>
        <w:tc>
          <w:tcPr>
            <w:tcW w:w="5300" w:type="dxa"/>
            <w:vAlign w:val="bottom"/>
            <w:tcBorders>
              <w:bottom w:val="single" w:sz="8" w:color="auto"/>
            </w:tcBorders>
            <w:vMerge w:val="continue"/>
          </w:tcPr>
          <w:p>
            <w:pPr>
              <w:spacing w:after="0"/>
              <w:rPr>
                <w:sz w:val="15"/>
                <w:szCs w:val="15"/>
                <w:color w:val="auto"/>
              </w:rPr>
            </w:pPr>
          </w:p>
        </w:tc>
        <w:tc>
          <w:tcPr>
            <w:tcW w:w="4080" w:type="dxa"/>
            <w:vAlign w:val="bottom"/>
            <w:tcBorders>
              <w:bottom w:val="single" w:sz="8" w:color="183964"/>
            </w:tcBorders>
            <w:gridSpan w:val="2"/>
          </w:tcPr>
          <w:p>
            <w:pPr>
              <w:jc w:val="right"/>
              <w:spacing w:after="0"/>
              <w:rPr>
                <w:sz w:val="20"/>
                <w:szCs w:val="20"/>
                <w:color w:val="auto"/>
              </w:rPr>
            </w:pPr>
            <w:r>
              <w:rPr>
                <w:rFonts w:ascii="Arial" w:cs="Arial" w:eastAsia="Arial" w:hAnsi="Arial"/>
                <w:sz w:val="13"/>
                <w:szCs w:val="13"/>
                <w:color w:val="183964"/>
              </w:rPr>
              <w:t>Market Backsolve &amp; Two-Scenario OPM</w:t>
            </w:r>
          </w:p>
        </w:tc>
        <w:tc>
          <w:tcPr>
            <w:tcW w:w="1840" w:type="dxa"/>
            <w:vAlign w:val="bottom"/>
            <w:tcBorders>
              <w:bottom w:val="single" w:sz="8" w:color="183964"/>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300" w:type="dxa"/>
            <w:vAlign w:val="bottom"/>
            <w:vMerge w:val="restart"/>
          </w:tcPr>
          <w:p>
            <w:pPr>
              <w:ind w:left="20"/>
              <w:spacing w:after="0"/>
              <w:rPr>
                <w:sz w:val="20"/>
                <w:szCs w:val="20"/>
                <w:color w:val="auto"/>
              </w:rPr>
            </w:pPr>
            <w:r>
              <w:rPr>
                <w:rFonts w:ascii="Arial" w:cs="Arial" w:eastAsia="Arial" w:hAnsi="Arial"/>
                <w:sz w:val="13"/>
                <w:szCs w:val="13"/>
                <w:color w:val="auto"/>
              </w:rPr>
              <w:t>Unobservable Inputs</w:t>
            </w:r>
          </w:p>
        </w:tc>
        <w:tc>
          <w:tcPr>
            <w:tcW w:w="2520" w:type="dxa"/>
            <w:vAlign w:val="bottom"/>
            <w:vMerge w:val="restart"/>
          </w:tcPr>
          <w:p>
            <w:pPr>
              <w:jc w:val="right"/>
              <w:ind w:right="450"/>
              <w:spacing w:after="0"/>
              <w:rPr>
                <w:sz w:val="20"/>
                <w:szCs w:val="20"/>
                <w:color w:val="auto"/>
              </w:rPr>
            </w:pPr>
            <w:r>
              <w:rPr>
                <w:rFonts w:ascii="Arial" w:cs="Arial" w:eastAsia="Arial" w:hAnsi="Arial"/>
                <w:sz w:val="13"/>
                <w:szCs w:val="13"/>
                <w:color w:val="183964"/>
              </w:rPr>
              <w:t>Input Value</w:t>
            </w:r>
          </w:p>
        </w:tc>
        <w:tc>
          <w:tcPr>
            <w:tcW w:w="1560" w:type="dxa"/>
            <w:vAlign w:val="bottom"/>
            <w:vMerge w:val="restart"/>
          </w:tcPr>
          <w:p>
            <w:pPr>
              <w:jc w:val="right"/>
              <w:ind w:right="5"/>
              <w:spacing w:after="0"/>
              <w:rPr>
                <w:sz w:val="20"/>
                <w:szCs w:val="20"/>
                <w:color w:val="auto"/>
              </w:rPr>
            </w:pPr>
            <w:r>
              <w:rPr>
                <w:rFonts w:ascii="Arial" w:cs="Arial" w:eastAsia="Arial" w:hAnsi="Arial"/>
                <w:sz w:val="13"/>
                <w:szCs w:val="13"/>
                <w:color w:val="183964"/>
              </w:rPr>
              <w:t>Sensitivity Range</w:t>
            </w:r>
          </w:p>
        </w:tc>
        <w:tc>
          <w:tcPr>
            <w:tcW w:w="1840" w:type="dxa"/>
            <w:vAlign w:val="bottom"/>
          </w:tcPr>
          <w:p>
            <w:pPr>
              <w:jc w:val="right"/>
              <w:spacing w:after="0"/>
              <w:rPr>
                <w:sz w:val="20"/>
                <w:szCs w:val="20"/>
                <w:color w:val="auto"/>
              </w:rPr>
            </w:pPr>
            <w:r>
              <w:rPr>
                <w:rFonts w:ascii="Arial" w:cs="Arial" w:eastAsia="Arial" w:hAnsi="Arial"/>
                <w:sz w:val="13"/>
                <w:szCs w:val="13"/>
                <w:b w:val="1"/>
                <w:bCs w:val="1"/>
                <w:color w:val="183964"/>
                <w:w w:val="95"/>
              </w:rPr>
              <w:t>Fair Value Increase/(Decrease)</w:t>
            </w:r>
          </w:p>
        </w:tc>
        <w:tc>
          <w:tcPr>
            <w:tcW w:w="0" w:type="dxa"/>
            <w:vAlign w:val="bottom"/>
          </w:tcPr>
          <w:p>
            <w:pPr>
              <w:spacing w:after="0"/>
              <w:rPr>
                <w:sz w:val="1"/>
                <w:szCs w:val="1"/>
                <w:color w:val="auto"/>
              </w:rPr>
            </w:pPr>
          </w:p>
        </w:tc>
      </w:tr>
      <w:tr>
        <w:trPr>
          <w:trHeight w:val="176"/>
        </w:trPr>
        <w:tc>
          <w:tcPr>
            <w:tcW w:w="5300" w:type="dxa"/>
            <w:vAlign w:val="bottom"/>
            <w:tcBorders>
              <w:bottom w:val="single" w:sz="8" w:color="001544"/>
            </w:tcBorders>
            <w:vMerge w:val="continue"/>
          </w:tcPr>
          <w:p>
            <w:pPr>
              <w:spacing w:after="0"/>
              <w:rPr>
                <w:sz w:val="15"/>
                <w:szCs w:val="15"/>
                <w:color w:val="auto"/>
              </w:rPr>
            </w:pPr>
          </w:p>
        </w:tc>
        <w:tc>
          <w:tcPr>
            <w:tcW w:w="2520" w:type="dxa"/>
            <w:vAlign w:val="bottom"/>
            <w:tcBorders>
              <w:bottom w:val="single" w:sz="8" w:color="auto"/>
            </w:tcBorders>
            <w:vMerge w:val="continue"/>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183964"/>
              </w:rPr>
              <w:t>$</w:t>
            </w:r>
          </w:p>
        </w:tc>
        <w:tc>
          <w:tcPr>
            <w:tcW w:w="0" w:type="dxa"/>
            <w:vAlign w:val="bottom"/>
          </w:tcPr>
          <w:p>
            <w:pPr>
              <w:spacing w:after="0"/>
              <w:rPr>
                <w:sz w:val="1"/>
                <w:szCs w:val="1"/>
                <w:color w:val="auto"/>
              </w:rPr>
            </w:pPr>
          </w:p>
        </w:tc>
      </w:tr>
      <w:tr>
        <w:trPr>
          <w:trHeight w:val="208"/>
        </w:trPr>
        <w:tc>
          <w:tcPr>
            <w:tcW w:w="5300" w:type="dxa"/>
            <w:vAlign w:val="bottom"/>
          </w:tcPr>
          <w:p>
            <w:pPr>
              <w:ind w:left="20"/>
              <w:spacing w:after="0"/>
              <w:rPr>
                <w:sz w:val="20"/>
                <w:szCs w:val="20"/>
                <w:color w:val="auto"/>
              </w:rPr>
            </w:pPr>
            <w:r>
              <w:rPr>
                <w:rFonts w:ascii="Arial" w:cs="Arial" w:eastAsia="Arial" w:hAnsi="Arial"/>
                <w:sz w:val="15"/>
                <w:szCs w:val="15"/>
                <w:color w:val="auto"/>
              </w:rPr>
              <w:t>Equity Value</w:t>
            </w:r>
          </w:p>
        </w:tc>
        <w:tc>
          <w:tcPr>
            <w:tcW w:w="2520" w:type="dxa"/>
            <w:vAlign w:val="bottom"/>
          </w:tcPr>
          <w:p>
            <w:pPr>
              <w:jc w:val="right"/>
              <w:ind w:right="450"/>
              <w:spacing w:after="0"/>
              <w:rPr>
                <w:sz w:val="20"/>
                <w:szCs w:val="20"/>
                <w:color w:val="auto"/>
              </w:rPr>
            </w:pPr>
            <w:r>
              <w:rPr>
                <w:rFonts w:ascii="Arial" w:cs="Arial" w:eastAsia="Arial" w:hAnsi="Arial"/>
                <w:sz w:val="15"/>
                <w:szCs w:val="15"/>
                <w:color w:val="183964"/>
              </w:rPr>
              <w:t>192,200</w:t>
            </w:r>
          </w:p>
        </w:tc>
        <w:tc>
          <w:tcPr>
            <w:tcW w:w="1560" w:type="dxa"/>
            <w:vAlign w:val="bottom"/>
          </w:tcPr>
          <w:p>
            <w:pPr>
              <w:jc w:val="right"/>
              <w:ind w:right="5"/>
              <w:spacing w:after="0"/>
              <w:rPr>
                <w:sz w:val="20"/>
                <w:szCs w:val="20"/>
                <w:color w:val="auto"/>
              </w:rPr>
            </w:pPr>
            <w:r>
              <w:rPr>
                <w:rFonts w:ascii="Arial" w:cs="Arial" w:eastAsia="Arial" w:hAnsi="Arial"/>
                <w:sz w:val="15"/>
                <w:szCs w:val="15"/>
                <w:color w:val="183964"/>
              </w:rPr>
              <w:t>-5 %</w:t>
            </w:r>
          </w:p>
        </w:tc>
        <w:tc>
          <w:tcPr>
            <w:tcW w:w="1840" w:type="dxa"/>
            <w:vAlign w:val="bottom"/>
          </w:tcPr>
          <w:p>
            <w:pPr>
              <w:jc w:val="right"/>
              <w:spacing w:after="0"/>
              <w:rPr>
                <w:sz w:val="20"/>
                <w:szCs w:val="20"/>
                <w:color w:val="auto"/>
              </w:rPr>
            </w:pPr>
            <w:r>
              <w:rPr>
                <w:rFonts w:ascii="Arial" w:cs="Arial" w:eastAsia="Arial" w:hAnsi="Arial"/>
                <w:sz w:val="15"/>
                <w:szCs w:val="15"/>
                <w:color w:val="183964"/>
              </w:rPr>
              <w:t>(2,251)</w:t>
            </w:r>
          </w:p>
        </w:tc>
        <w:tc>
          <w:tcPr>
            <w:tcW w:w="0" w:type="dxa"/>
            <w:vAlign w:val="bottom"/>
          </w:tcPr>
          <w:p>
            <w:pPr>
              <w:spacing w:after="0"/>
              <w:rPr>
                <w:sz w:val="1"/>
                <w:szCs w:val="1"/>
                <w:color w:val="auto"/>
              </w:rPr>
            </w:pPr>
          </w:p>
        </w:tc>
      </w:tr>
      <w:tr>
        <w:trPr>
          <w:trHeight w:val="243"/>
        </w:trPr>
        <w:tc>
          <w:tcPr>
            <w:tcW w:w="530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1560" w:type="dxa"/>
            <w:vAlign w:val="bottom"/>
          </w:tcPr>
          <w:p>
            <w:pPr>
              <w:jc w:val="right"/>
              <w:ind w:right="5"/>
              <w:spacing w:after="0"/>
              <w:rPr>
                <w:sz w:val="20"/>
                <w:szCs w:val="20"/>
                <w:color w:val="auto"/>
              </w:rPr>
            </w:pPr>
            <w:r>
              <w:rPr>
                <w:rFonts w:ascii="Arial" w:cs="Arial" w:eastAsia="Arial" w:hAnsi="Arial"/>
                <w:sz w:val="15"/>
                <w:szCs w:val="15"/>
                <w:color w:val="183964"/>
              </w:rPr>
              <w:t>+5%</w:t>
            </w:r>
          </w:p>
        </w:tc>
        <w:tc>
          <w:tcPr>
            <w:tcW w:w="1840" w:type="dxa"/>
            <w:vAlign w:val="bottom"/>
          </w:tcPr>
          <w:p>
            <w:pPr>
              <w:jc w:val="right"/>
              <w:spacing w:after="0"/>
              <w:rPr>
                <w:sz w:val="20"/>
                <w:szCs w:val="20"/>
                <w:color w:val="auto"/>
              </w:rPr>
            </w:pPr>
            <w:r>
              <w:rPr>
                <w:rFonts w:ascii="Arial" w:cs="Arial" w:eastAsia="Arial" w:hAnsi="Arial"/>
                <w:sz w:val="15"/>
                <w:szCs w:val="15"/>
                <w:color w:val="183964"/>
              </w:rPr>
              <w:t>2,137</w:t>
            </w:r>
          </w:p>
        </w:tc>
        <w:tc>
          <w:tcPr>
            <w:tcW w:w="0" w:type="dxa"/>
            <w:vAlign w:val="bottom"/>
          </w:tcPr>
          <w:p>
            <w:pPr>
              <w:spacing w:after="0"/>
              <w:rPr>
                <w:sz w:val="1"/>
                <w:szCs w:val="1"/>
                <w:color w:val="auto"/>
              </w:rPr>
            </w:pPr>
          </w:p>
        </w:tc>
      </w:tr>
      <w:tr>
        <w:trPr>
          <w:trHeight w:val="33"/>
        </w:trPr>
        <w:tc>
          <w:tcPr>
            <w:tcW w:w="53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300" w:type="dxa"/>
            <w:vAlign w:val="bottom"/>
          </w:tcPr>
          <w:p>
            <w:pPr>
              <w:ind w:left="20"/>
              <w:spacing w:after="0"/>
              <w:rPr>
                <w:sz w:val="20"/>
                <w:szCs w:val="20"/>
                <w:color w:val="auto"/>
              </w:rPr>
            </w:pPr>
            <w:r>
              <w:rPr>
                <w:rFonts w:ascii="Arial" w:cs="Arial" w:eastAsia="Arial" w:hAnsi="Arial"/>
                <w:sz w:val="15"/>
                <w:szCs w:val="15"/>
                <w:color w:val="auto"/>
              </w:rPr>
              <w:t>Time to Liquidity</w:t>
            </w:r>
          </w:p>
        </w:tc>
        <w:tc>
          <w:tcPr>
            <w:tcW w:w="2520" w:type="dxa"/>
            <w:vAlign w:val="bottom"/>
          </w:tcPr>
          <w:p>
            <w:pPr>
              <w:jc w:val="right"/>
              <w:ind w:right="450"/>
              <w:spacing w:after="0"/>
              <w:rPr>
                <w:sz w:val="20"/>
                <w:szCs w:val="20"/>
                <w:color w:val="auto"/>
              </w:rPr>
            </w:pPr>
            <w:r>
              <w:rPr>
                <w:rFonts w:ascii="Arial" w:cs="Arial" w:eastAsia="Arial" w:hAnsi="Arial"/>
                <w:sz w:val="15"/>
                <w:szCs w:val="15"/>
                <w:color w:val="auto"/>
              </w:rPr>
              <w:t>1.27</w:t>
            </w:r>
          </w:p>
        </w:tc>
        <w:tc>
          <w:tcPr>
            <w:tcW w:w="1560" w:type="dxa"/>
            <w:vAlign w:val="bottom"/>
          </w:tcPr>
          <w:p>
            <w:pPr>
              <w:jc w:val="right"/>
              <w:ind w:right="5"/>
              <w:spacing w:after="0"/>
              <w:rPr>
                <w:sz w:val="20"/>
                <w:szCs w:val="20"/>
                <w:color w:val="auto"/>
              </w:rPr>
            </w:pPr>
            <w:r>
              <w:rPr>
                <w:rFonts w:ascii="Arial" w:cs="Arial" w:eastAsia="Arial" w:hAnsi="Arial"/>
                <w:sz w:val="15"/>
                <w:szCs w:val="15"/>
                <w:color w:val="auto"/>
              </w:rPr>
              <w:t>-6 Months</w:t>
            </w:r>
          </w:p>
        </w:tc>
        <w:tc>
          <w:tcPr>
            <w:tcW w:w="1840" w:type="dxa"/>
            <w:vAlign w:val="bottom"/>
          </w:tcPr>
          <w:p>
            <w:pPr>
              <w:jc w:val="right"/>
              <w:spacing w:after="0"/>
              <w:rPr>
                <w:sz w:val="20"/>
                <w:szCs w:val="20"/>
                <w:color w:val="auto"/>
              </w:rPr>
            </w:pPr>
            <w:r>
              <w:rPr>
                <w:rFonts w:ascii="Arial" w:cs="Arial" w:eastAsia="Arial" w:hAnsi="Arial"/>
                <w:sz w:val="15"/>
                <w:szCs w:val="15"/>
                <w:color w:val="183964"/>
              </w:rPr>
              <w:t>3,511</w:t>
            </w:r>
          </w:p>
        </w:tc>
        <w:tc>
          <w:tcPr>
            <w:tcW w:w="0" w:type="dxa"/>
            <w:vAlign w:val="bottom"/>
          </w:tcPr>
          <w:p>
            <w:pPr>
              <w:spacing w:after="0"/>
              <w:rPr>
                <w:sz w:val="1"/>
                <w:szCs w:val="1"/>
                <w:color w:val="auto"/>
              </w:rPr>
            </w:pPr>
          </w:p>
        </w:tc>
      </w:tr>
      <w:tr>
        <w:trPr>
          <w:trHeight w:val="243"/>
        </w:trPr>
        <w:tc>
          <w:tcPr>
            <w:tcW w:w="530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1560" w:type="dxa"/>
            <w:vAlign w:val="bottom"/>
          </w:tcPr>
          <w:p>
            <w:pPr>
              <w:jc w:val="right"/>
              <w:ind w:right="5"/>
              <w:spacing w:after="0"/>
              <w:rPr>
                <w:sz w:val="20"/>
                <w:szCs w:val="20"/>
                <w:color w:val="auto"/>
              </w:rPr>
            </w:pPr>
            <w:r>
              <w:rPr>
                <w:rFonts w:ascii="Arial" w:cs="Arial" w:eastAsia="Arial" w:hAnsi="Arial"/>
                <w:sz w:val="15"/>
                <w:szCs w:val="15"/>
                <w:color w:val="auto"/>
              </w:rPr>
              <w:t>+ 6 Months</w:t>
            </w:r>
          </w:p>
        </w:tc>
        <w:tc>
          <w:tcPr>
            <w:tcW w:w="1840" w:type="dxa"/>
            <w:vAlign w:val="bottom"/>
          </w:tcPr>
          <w:p>
            <w:pPr>
              <w:jc w:val="right"/>
              <w:spacing w:after="0"/>
              <w:rPr>
                <w:sz w:val="20"/>
                <w:szCs w:val="20"/>
                <w:color w:val="auto"/>
              </w:rPr>
            </w:pPr>
            <w:r>
              <w:rPr>
                <w:rFonts w:ascii="Arial" w:cs="Arial" w:eastAsia="Arial" w:hAnsi="Arial"/>
                <w:sz w:val="15"/>
                <w:szCs w:val="15"/>
                <w:color w:val="183964"/>
              </w:rPr>
              <w:t>(2,924)</w:t>
            </w:r>
          </w:p>
        </w:tc>
        <w:tc>
          <w:tcPr>
            <w:tcW w:w="0" w:type="dxa"/>
            <w:vAlign w:val="bottom"/>
          </w:tcPr>
          <w:p>
            <w:pPr>
              <w:spacing w:after="0"/>
              <w:rPr>
                <w:sz w:val="1"/>
                <w:szCs w:val="1"/>
                <w:color w:val="auto"/>
              </w:rPr>
            </w:pPr>
          </w:p>
        </w:tc>
      </w:tr>
      <w:tr>
        <w:trPr>
          <w:trHeight w:val="33"/>
        </w:trPr>
        <w:tc>
          <w:tcPr>
            <w:tcW w:w="53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300" w:type="dxa"/>
            <w:vAlign w:val="bottom"/>
          </w:tcPr>
          <w:p>
            <w:pPr>
              <w:ind w:left="20"/>
              <w:spacing w:after="0"/>
              <w:rPr>
                <w:sz w:val="20"/>
                <w:szCs w:val="20"/>
                <w:color w:val="auto"/>
              </w:rPr>
            </w:pPr>
            <w:r>
              <w:rPr>
                <w:rFonts w:ascii="Arial" w:cs="Arial" w:eastAsia="Arial" w:hAnsi="Arial"/>
                <w:sz w:val="15"/>
                <w:szCs w:val="15"/>
                <w:color w:val="auto"/>
              </w:rPr>
              <w:t>Volatility</w:t>
            </w:r>
          </w:p>
        </w:tc>
        <w:tc>
          <w:tcPr>
            <w:tcW w:w="2520" w:type="dxa"/>
            <w:vAlign w:val="bottom"/>
          </w:tcPr>
          <w:p>
            <w:pPr>
              <w:jc w:val="right"/>
              <w:ind w:right="450"/>
              <w:spacing w:after="0"/>
              <w:rPr>
                <w:sz w:val="20"/>
                <w:szCs w:val="20"/>
                <w:color w:val="auto"/>
              </w:rPr>
            </w:pPr>
            <w:r>
              <w:rPr>
                <w:rFonts w:ascii="Arial" w:cs="Arial" w:eastAsia="Arial" w:hAnsi="Arial"/>
                <w:sz w:val="15"/>
                <w:szCs w:val="15"/>
                <w:color w:val="auto"/>
              </w:rPr>
              <w:t>56 %</w:t>
            </w:r>
          </w:p>
        </w:tc>
        <w:tc>
          <w:tcPr>
            <w:tcW w:w="1560" w:type="dxa"/>
            <w:vAlign w:val="bottom"/>
          </w:tcPr>
          <w:p>
            <w:pPr>
              <w:jc w:val="right"/>
              <w:ind w:right="5"/>
              <w:spacing w:after="0"/>
              <w:rPr>
                <w:sz w:val="20"/>
                <w:szCs w:val="20"/>
                <w:color w:val="auto"/>
              </w:rPr>
            </w:pPr>
            <w:r>
              <w:rPr>
                <w:rFonts w:ascii="Arial" w:cs="Arial" w:eastAsia="Arial" w:hAnsi="Arial"/>
                <w:sz w:val="15"/>
                <w:szCs w:val="15"/>
                <w:color w:val="auto"/>
              </w:rPr>
              <w:t>-10 %</w:t>
            </w:r>
          </w:p>
        </w:tc>
        <w:tc>
          <w:tcPr>
            <w:tcW w:w="1840" w:type="dxa"/>
            <w:vAlign w:val="bottom"/>
          </w:tcPr>
          <w:p>
            <w:pPr>
              <w:jc w:val="right"/>
              <w:spacing w:after="0"/>
              <w:rPr>
                <w:sz w:val="20"/>
                <w:szCs w:val="20"/>
                <w:color w:val="auto"/>
              </w:rPr>
            </w:pPr>
            <w:r>
              <w:rPr>
                <w:rFonts w:ascii="Arial" w:cs="Arial" w:eastAsia="Arial" w:hAnsi="Arial"/>
                <w:sz w:val="15"/>
                <w:szCs w:val="15"/>
                <w:color w:val="183964"/>
              </w:rPr>
              <w:t>1,664</w:t>
            </w:r>
          </w:p>
        </w:tc>
        <w:tc>
          <w:tcPr>
            <w:tcW w:w="0" w:type="dxa"/>
            <w:vAlign w:val="bottom"/>
          </w:tcPr>
          <w:p>
            <w:pPr>
              <w:spacing w:after="0"/>
              <w:rPr>
                <w:sz w:val="1"/>
                <w:szCs w:val="1"/>
                <w:color w:val="auto"/>
              </w:rPr>
            </w:pPr>
          </w:p>
        </w:tc>
      </w:tr>
      <w:tr>
        <w:trPr>
          <w:trHeight w:val="243"/>
        </w:trPr>
        <w:tc>
          <w:tcPr>
            <w:tcW w:w="530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1560" w:type="dxa"/>
            <w:vAlign w:val="bottom"/>
          </w:tcPr>
          <w:p>
            <w:pPr>
              <w:jc w:val="right"/>
              <w:ind w:right="5"/>
              <w:spacing w:after="0"/>
              <w:rPr>
                <w:sz w:val="20"/>
                <w:szCs w:val="20"/>
                <w:color w:val="auto"/>
              </w:rPr>
            </w:pPr>
            <w:r>
              <w:rPr>
                <w:rFonts w:ascii="Arial" w:cs="Arial" w:eastAsia="Arial" w:hAnsi="Arial"/>
                <w:sz w:val="15"/>
                <w:szCs w:val="15"/>
                <w:color w:val="auto"/>
              </w:rPr>
              <w:t>+10%</w:t>
            </w:r>
          </w:p>
        </w:tc>
        <w:tc>
          <w:tcPr>
            <w:tcW w:w="1840" w:type="dxa"/>
            <w:vAlign w:val="bottom"/>
          </w:tcPr>
          <w:p>
            <w:pPr>
              <w:jc w:val="right"/>
              <w:spacing w:after="0"/>
              <w:rPr>
                <w:sz w:val="20"/>
                <w:szCs w:val="20"/>
                <w:color w:val="auto"/>
              </w:rPr>
            </w:pPr>
            <w:r>
              <w:rPr>
                <w:rFonts w:ascii="Arial" w:cs="Arial" w:eastAsia="Arial" w:hAnsi="Arial"/>
                <w:sz w:val="15"/>
                <w:szCs w:val="15"/>
                <w:color w:val="183964"/>
              </w:rPr>
              <w:t>(1,714)</w:t>
            </w:r>
          </w:p>
        </w:tc>
        <w:tc>
          <w:tcPr>
            <w:tcW w:w="0" w:type="dxa"/>
            <w:vAlign w:val="bottom"/>
          </w:tcPr>
          <w:p>
            <w:pPr>
              <w:spacing w:after="0"/>
              <w:rPr>
                <w:sz w:val="1"/>
                <w:szCs w:val="1"/>
                <w:color w:val="auto"/>
              </w:rPr>
            </w:pPr>
          </w:p>
        </w:tc>
      </w:tr>
      <w:tr>
        <w:trPr>
          <w:trHeight w:val="33"/>
        </w:trPr>
        <w:tc>
          <w:tcPr>
            <w:tcW w:w="53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183964"/>
        </w:rPr>
        <w:t>Investments Held at Fair Value</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i w:val="1"/>
          <w:iCs w:val="1"/>
          <w:color w:val="183964"/>
        </w:rPr>
        <w:t>Vor and Akili Valuation</w:t>
      </w:r>
    </w:p>
    <w:p>
      <w:pPr>
        <w:spacing w:after="0" w:line="14" w:lineRule="exact"/>
        <w:rPr>
          <w:sz w:val="20"/>
          <w:szCs w:val="20"/>
          <w:color w:val="auto"/>
        </w:rPr>
      </w:pPr>
    </w:p>
    <w:p>
      <w:pPr>
        <w:ind w:right="200"/>
        <w:spacing w:after="0" w:line="267" w:lineRule="auto"/>
        <w:rPr>
          <w:sz w:val="20"/>
          <w:szCs w:val="20"/>
          <w:color w:val="auto"/>
        </w:rPr>
      </w:pPr>
      <w:r>
        <w:rPr>
          <w:rFonts w:ascii="Arial" w:cs="Arial" w:eastAsia="Arial" w:hAnsi="Arial"/>
          <w:sz w:val="15"/>
          <w:szCs w:val="15"/>
          <w:color w:val="auto"/>
        </w:rPr>
        <w:t>Vor (Nasdaq: VOR), Akili (Nasdaq: AKLI) and additional immaterial investments are listed entities on an active exchange, and as such, the fair value as of June 30, 2024, was calculated utilizing the quoted common share price which is categorized as Level 1 in the fair value hierarchy.</w:t>
      </w:r>
    </w:p>
    <w:p>
      <w:pPr>
        <w:spacing w:after="0" w:line="64" w:lineRule="exact"/>
        <w:rPr>
          <w:sz w:val="20"/>
          <w:szCs w:val="20"/>
          <w:color w:val="auto"/>
        </w:rPr>
      </w:pPr>
    </w:p>
    <w:p>
      <w:pPr>
        <w:spacing w:after="0"/>
        <w:rPr>
          <w:sz w:val="20"/>
          <w:szCs w:val="20"/>
          <w:color w:val="auto"/>
        </w:rPr>
      </w:pPr>
      <w:r>
        <w:rPr>
          <w:rFonts w:ascii="Arial" w:cs="Arial" w:eastAsia="Arial" w:hAnsi="Arial"/>
          <w:sz w:val="15"/>
          <w:szCs w:val="15"/>
          <w:i w:val="1"/>
          <w:iCs w:val="1"/>
          <w:color w:val="183964"/>
        </w:rPr>
        <w:t>Vedanta and Sonde</w:t>
      </w:r>
    </w:p>
    <w:p>
      <w:pPr>
        <w:spacing w:after="0" w:line="17"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color w:val="auto"/>
        </w:rPr>
        <w:t>As of June 30, 2024, the Group accounts for the following investments under IFRS 9 as investments held at fair value with changes in fair value through the profit and loss: Sonde preferred A-2 and B shares and Vedanta convertible preferred shares. The valuation of the aforementioned investments is categorized as Level 3 in the fair value hierarchy due to the use of significant unobservable inputs to value such assets. During the six months ended June 30, 2024, the Group recorded such investments at fair value and recognized a loss of $3,486 for the change in fair value of the investments.</w:t>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the changes in all the Group’s investments held at fair value categorized as Level 3 in the fair value hierarchy:</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040" w:type="dxa"/>
            <w:vAlign w:val="bottom"/>
          </w:tcPr>
          <w:p>
            <w:pPr>
              <w:spacing w:after="0"/>
              <w:rPr>
                <w:sz w:val="14"/>
                <w:szCs w:val="14"/>
                <w:color w:val="auto"/>
              </w:rPr>
            </w:pPr>
          </w:p>
        </w:tc>
        <w:tc>
          <w:tcPr>
            <w:tcW w:w="3180" w:type="dxa"/>
            <w:vAlign w:val="bottom"/>
          </w:tcPr>
          <w:p>
            <w:pPr>
              <w:jc w:val="right"/>
              <w:spacing w:after="0"/>
              <w:rPr>
                <w:sz w:val="20"/>
                <w:szCs w:val="20"/>
                <w:color w:val="auto"/>
              </w:rPr>
            </w:pPr>
            <w:r>
              <w:rPr>
                <w:rFonts w:ascii="Arial" w:cs="Arial" w:eastAsia="Arial" w:hAnsi="Arial"/>
                <w:sz w:val="13"/>
                <w:szCs w:val="13"/>
                <w:color w:val="183964"/>
              </w:rPr>
              <w:t>$</w:t>
            </w:r>
          </w:p>
        </w:tc>
      </w:tr>
      <w:tr>
        <w:trPr>
          <w:trHeight w:val="28"/>
        </w:trPr>
        <w:tc>
          <w:tcPr>
            <w:tcW w:w="80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r>
      <w:tr>
        <w:trPr>
          <w:trHeight w:val="211"/>
        </w:trPr>
        <w:tc>
          <w:tcPr>
            <w:tcW w:w="8040" w:type="dxa"/>
            <w:vAlign w:val="bottom"/>
          </w:tcPr>
          <w:p>
            <w:pPr>
              <w:ind w:left="20"/>
              <w:spacing w:after="0"/>
              <w:rPr>
                <w:sz w:val="20"/>
                <w:szCs w:val="20"/>
                <w:color w:val="auto"/>
              </w:rPr>
            </w:pPr>
            <w:r>
              <w:rPr>
                <w:rFonts w:ascii="Arial" w:cs="Arial" w:eastAsia="Arial" w:hAnsi="Arial"/>
                <w:sz w:val="15"/>
                <w:szCs w:val="15"/>
                <w:b w:val="1"/>
                <w:bCs w:val="1"/>
                <w:color w:val="auto"/>
              </w:rPr>
              <w:t>Balance at December 31, 2023</w:t>
            </w:r>
          </w:p>
        </w:tc>
        <w:tc>
          <w:tcPr>
            <w:tcW w:w="3180" w:type="dxa"/>
            <w:vAlign w:val="bottom"/>
          </w:tcPr>
          <w:p>
            <w:pPr>
              <w:jc w:val="right"/>
              <w:ind w:right="5"/>
              <w:spacing w:after="0"/>
              <w:rPr>
                <w:sz w:val="20"/>
                <w:szCs w:val="20"/>
                <w:color w:val="auto"/>
              </w:rPr>
            </w:pPr>
            <w:r>
              <w:rPr>
                <w:rFonts w:ascii="Arial" w:cs="Arial" w:eastAsia="Arial" w:hAnsi="Arial"/>
                <w:sz w:val="15"/>
                <w:szCs w:val="15"/>
                <w:color w:val="183964"/>
              </w:rPr>
              <w:t>24,872</w:t>
            </w:r>
          </w:p>
        </w:tc>
      </w:tr>
      <w:tr>
        <w:trPr>
          <w:trHeight w:val="25"/>
        </w:trPr>
        <w:tc>
          <w:tcPr>
            <w:tcW w:w="80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r>
      <w:tr>
        <w:trPr>
          <w:trHeight w:val="204"/>
        </w:trPr>
        <w:tc>
          <w:tcPr>
            <w:tcW w:w="8040" w:type="dxa"/>
            <w:vAlign w:val="bottom"/>
          </w:tcPr>
          <w:p>
            <w:pPr>
              <w:ind w:left="20"/>
              <w:spacing w:after="0"/>
              <w:rPr>
                <w:sz w:val="20"/>
                <w:szCs w:val="20"/>
                <w:color w:val="auto"/>
              </w:rPr>
            </w:pPr>
            <w:r>
              <w:rPr>
                <w:rFonts w:ascii="Arial" w:cs="Arial" w:eastAsia="Arial" w:hAnsi="Arial"/>
                <w:sz w:val="15"/>
                <w:szCs w:val="15"/>
                <w:color w:val="auto"/>
              </w:rPr>
              <w:t>Gain/(loss) on changes in fair value</w:t>
            </w:r>
          </w:p>
        </w:tc>
        <w:tc>
          <w:tcPr>
            <w:tcW w:w="3180" w:type="dxa"/>
            <w:vAlign w:val="bottom"/>
          </w:tcPr>
          <w:p>
            <w:pPr>
              <w:jc w:val="right"/>
              <w:spacing w:after="0"/>
              <w:rPr>
                <w:sz w:val="20"/>
                <w:szCs w:val="20"/>
                <w:color w:val="auto"/>
              </w:rPr>
            </w:pPr>
            <w:r>
              <w:rPr>
                <w:rFonts w:ascii="Arial" w:cs="Arial" w:eastAsia="Arial" w:hAnsi="Arial"/>
                <w:sz w:val="15"/>
                <w:szCs w:val="15"/>
                <w:color w:val="183964"/>
              </w:rPr>
              <w:t>(3,796)</w:t>
            </w:r>
          </w:p>
        </w:tc>
      </w:tr>
      <w:tr>
        <w:trPr>
          <w:trHeight w:val="33"/>
        </w:trPr>
        <w:tc>
          <w:tcPr>
            <w:tcW w:w="80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r>
      <w:tr>
        <w:trPr>
          <w:trHeight w:val="211"/>
        </w:trPr>
        <w:tc>
          <w:tcPr>
            <w:tcW w:w="8040" w:type="dxa"/>
            <w:vAlign w:val="bottom"/>
          </w:tcPr>
          <w:p>
            <w:pPr>
              <w:ind w:left="20"/>
              <w:spacing w:after="0"/>
              <w:rPr>
                <w:sz w:val="20"/>
                <w:szCs w:val="20"/>
                <w:color w:val="auto"/>
              </w:rPr>
            </w:pPr>
            <w:r>
              <w:rPr>
                <w:rFonts w:ascii="Arial" w:cs="Arial" w:eastAsia="Arial" w:hAnsi="Arial"/>
                <w:sz w:val="15"/>
                <w:szCs w:val="15"/>
                <w:b w:val="1"/>
                <w:bCs w:val="1"/>
                <w:color w:val="auto"/>
              </w:rPr>
              <w:t>Balance as of June 30, 2024 before allocation of equity method loss to LTI</w:t>
            </w:r>
          </w:p>
        </w:tc>
        <w:tc>
          <w:tcPr>
            <w:tcW w:w="3180" w:type="dxa"/>
            <w:vAlign w:val="bottom"/>
          </w:tcPr>
          <w:p>
            <w:pPr>
              <w:jc w:val="right"/>
              <w:ind w:right="5"/>
              <w:spacing w:after="0"/>
              <w:rPr>
                <w:sz w:val="20"/>
                <w:szCs w:val="20"/>
                <w:color w:val="auto"/>
              </w:rPr>
            </w:pPr>
            <w:r>
              <w:rPr>
                <w:rFonts w:ascii="Arial" w:cs="Arial" w:eastAsia="Arial" w:hAnsi="Arial"/>
                <w:sz w:val="15"/>
                <w:szCs w:val="15"/>
                <w:b w:val="1"/>
                <w:bCs w:val="1"/>
                <w:color w:val="auto"/>
              </w:rPr>
              <w:t>21,076</w:t>
            </w:r>
          </w:p>
        </w:tc>
      </w:tr>
      <w:tr>
        <w:trPr>
          <w:trHeight w:val="25"/>
        </w:trPr>
        <w:tc>
          <w:tcPr>
            <w:tcW w:w="80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r>
      <w:tr>
        <w:trPr>
          <w:trHeight w:val="221"/>
        </w:trPr>
        <w:tc>
          <w:tcPr>
            <w:tcW w:w="8040" w:type="dxa"/>
            <w:vAlign w:val="bottom"/>
          </w:tcPr>
          <w:p>
            <w:pPr>
              <w:ind w:left="20"/>
              <w:spacing w:after="0"/>
              <w:rPr>
                <w:sz w:val="20"/>
                <w:szCs w:val="20"/>
                <w:color w:val="auto"/>
              </w:rPr>
            </w:pPr>
            <w:r>
              <w:rPr>
                <w:rFonts w:ascii="Arial" w:cs="Arial" w:eastAsia="Arial" w:hAnsi="Arial"/>
                <w:sz w:val="15"/>
                <w:szCs w:val="15"/>
                <w:color w:val="auto"/>
              </w:rPr>
              <w:t>Equity method loss recorded against LTI</w:t>
            </w:r>
          </w:p>
        </w:tc>
        <w:tc>
          <w:tcPr>
            <w:tcW w:w="3180" w:type="dxa"/>
            <w:vAlign w:val="bottom"/>
          </w:tcPr>
          <w:p>
            <w:pPr>
              <w:jc w:val="right"/>
              <w:spacing w:after="0"/>
              <w:rPr>
                <w:sz w:val="20"/>
                <w:szCs w:val="20"/>
                <w:color w:val="auto"/>
              </w:rPr>
            </w:pPr>
            <w:r>
              <w:rPr>
                <w:rFonts w:ascii="Arial" w:cs="Arial" w:eastAsia="Arial" w:hAnsi="Arial"/>
                <w:sz w:val="16"/>
                <w:szCs w:val="16"/>
                <w:color w:val="auto"/>
              </w:rPr>
              <w:t>(172)</w:t>
            </w:r>
          </w:p>
        </w:tc>
      </w:tr>
      <w:tr>
        <w:trPr>
          <w:trHeight w:val="233"/>
        </w:trPr>
        <w:tc>
          <w:tcPr>
            <w:tcW w:w="8040" w:type="dxa"/>
            <w:vAlign w:val="bottom"/>
          </w:tcPr>
          <w:p>
            <w:pPr>
              <w:ind w:left="20"/>
              <w:spacing w:after="0"/>
              <w:rPr>
                <w:sz w:val="20"/>
                <w:szCs w:val="20"/>
                <w:color w:val="auto"/>
              </w:rPr>
            </w:pPr>
            <w:r>
              <w:rPr>
                <w:rFonts w:ascii="Arial" w:cs="Arial" w:eastAsia="Arial" w:hAnsi="Arial"/>
                <w:sz w:val="15"/>
                <w:szCs w:val="15"/>
                <w:b w:val="1"/>
                <w:bCs w:val="1"/>
                <w:color w:val="auto"/>
              </w:rPr>
              <w:t>Balance as of June 30, 2024 after allocation of equity method loss to LTI</w:t>
            </w:r>
          </w:p>
        </w:tc>
        <w:tc>
          <w:tcPr>
            <w:tcW w:w="3180" w:type="dxa"/>
            <w:vAlign w:val="bottom"/>
          </w:tcPr>
          <w:p>
            <w:pPr>
              <w:jc w:val="right"/>
              <w:ind w:right="5"/>
              <w:spacing w:after="0"/>
              <w:rPr>
                <w:sz w:val="20"/>
                <w:szCs w:val="20"/>
                <w:color w:val="auto"/>
              </w:rPr>
            </w:pPr>
            <w:r>
              <w:rPr>
                <w:rFonts w:ascii="Arial" w:cs="Arial" w:eastAsia="Arial" w:hAnsi="Arial"/>
                <w:sz w:val="15"/>
                <w:szCs w:val="15"/>
                <w:b w:val="1"/>
                <w:bCs w:val="1"/>
                <w:color w:val="auto"/>
              </w:rPr>
              <w:t>20,904</w:t>
            </w:r>
          </w:p>
        </w:tc>
      </w:tr>
      <w:tr>
        <w:trPr>
          <w:trHeight w:val="25"/>
        </w:trPr>
        <w:tc>
          <w:tcPr>
            <w:tcW w:w="80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r>
    </w:tbl>
    <w:p>
      <w:pPr>
        <w:spacing w:after="0" w:line="158" w:lineRule="exact"/>
        <w:rPr>
          <w:sz w:val="20"/>
          <w:szCs w:val="20"/>
          <w:color w:val="auto"/>
        </w:rPr>
      </w:pPr>
    </w:p>
    <w:p>
      <w:pPr>
        <w:ind w:right="360"/>
        <w:spacing w:after="0" w:line="301" w:lineRule="auto"/>
        <w:rPr>
          <w:sz w:val="20"/>
          <w:szCs w:val="20"/>
          <w:color w:val="auto"/>
        </w:rPr>
      </w:pPr>
      <w:r>
        <w:rPr>
          <w:rFonts w:ascii="Arial" w:cs="Arial" w:eastAsia="Arial" w:hAnsi="Arial"/>
          <w:sz w:val="15"/>
          <w:szCs w:val="15"/>
          <w:color w:val="auto"/>
        </w:rPr>
        <w:t>The change in fair value of investments held at fair value is recorded in gain/(loss) on investments held at fair value in the Condensed Consolidated Statement of Comprehensive Income/(Loss).</w:t>
      </w:r>
    </w:p>
    <w:p>
      <w:pPr>
        <w:spacing w:after="0" w:line="26" w:lineRule="exact"/>
        <w:rPr>
          <w:sz w:val="20"/>
          <w:szCs w:val="20"/>
          <w:color w:val="auto"/>
        </w:rPr>
      </w:pPr>
    </w:p>
    <w:p>
      <w:pPr>
        <w:ind w:right="60"/>
        <w:spacing w:after="0" w:line="269" w:lineRule="auto"/>
        <w:rPr>
          <w:sz w:val="20"/>
          <w:szCs w:val="20"/>
          <w:color w:val="auto"/>
        </w:rPr>
      </w:pPr>
      <w:r>
        <w:rPr>
          <w:rFonts w:ascii="Arial" w:cs="Arial" w:eastAsia="Arial" w:hAnsi="Arial"/>
          <w:sz w:val="15"/>
          <w:szCs w:val="15"/>
          <w:color w:val="auto"/>
        </w:rPr>
        <w:t>As of June 30, 2024, the Group’s material investments held at fair value categorized as Level 3 in the fair value hierarchy include the preferred shares of Sonde and Vedanta, with fair value of $10,571 and $ 10,505, respectively. The significant unobservable inputs used at June 30, 2024 in the fair value measurement of these investments and the sensitivity of the fair value measurements for these investments to changes of these significant unobservable inputs are summarized in the table below.</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040" w:type="dxa"/>
            <w:vAlign w:val="bottom"/>
          </w:tcPr>
          <w:p>
            <w:pPr>
              <w:jc w:val="right"/>
              <w:ind w:right="188"/>
              <w:spacing w:after="0"/>
              <w:rPr>
                <w:sz w:val="20"/>
                <w:szCs w:val="20"/>
                <w:color w:val="auto"/>
              </w:rPr>
            </w:pPr>
            <w:r>
              <w:rPr>
                <w:rFonts w:ascii="Arial" w:cs="Arial" w:eastAsia="Arial" w:hAnsi="Arial"/>
                <w:sz w:val="13"/>
                <w:szCs w:val="13"/>
                <w:color w:val="183964"/>
              </w:rPr>
              <w:t>Investment Measured through</w:t>
            </w:r>
          </w:p>
        </w:tc>
        <w:tc>
          <w:tcPr>
            <w:tcW w:w="1880" w:type="dxa"/>
            <w:vAlign w:val="bottom"/>
          </w:tcPr>
          <w:p>
            <w:pPr>
              <w:spacing w:after="0"/>
              <w:rPr>
                <w:sz w:val="12"/>
                <w:szCs w:val="12"/>
                <w:color w:val="auto"/>
              </w:rPr>
            </w:pPr>
          </w:p>
        </w:tc>
      </w:tr>
      <w:tr>
        <w:trPr>
          <w:trHeight w:val="166"/>
        </w:trPr>
        <w:tc>
          <w:tcPr>
            <w:tcW w:w="5280" w:type="dxa"/>
            <w:vAlign w:val="bottom"/>
          </w:tcPr>
          <w:p>
            <w:pPr>
              <w:ind w:left="20"/>
              <w:spacing w:after="0"/>
              <w:rPr>
                <w:sz w:val="20"/>
                <w:szCs w:val="20"/>
                <w:color w:val="auto"/>
              </w:rPr>
            </w:pPr>
            <w:r>
              <w:rPr>
                <w:rFonts w:ascii="Arial" w:cs="Arial" w:eastAsia="Arial" w:hAnsi="Arial"/>
                <w:sz w:val="13"/>
                <w:szCs w:val="13"/>
                <w:color w:val="auto"/>
              </w:rPr>
              <w:t>As of June 30, 2024</w:t>
            </w:r>
          </w:p>
        </w:tc>
        <w:tc>
          <w:tcPr>
            <w:tcW w:w="2020" w:type="dxa"/>
            <w:vAlign w:val="bottom"/>
          </w:tcPr>
          <w:p>
            <w:pPr>
              <w:spacing w:after="0"/>
              <w:rPr>
                <w:sz w:val="14"/>
                <w:szCs w:val="14"/>
                <w:color w:val="auto"/>
              </w:rPr>
            </w:pPr>
          </w:p>
        </w:tc>
        <w:tc>
          <w:tcPr>
            <w:tcW w:w="2040" w:type="dxa"/>
            <w:vAlign w:val="bottom"/>
          </w:tcPr>
          <w:p>
            <w:pPr>
              <w:jc w:val="right"/>
              <w:ind w:right="308"/>
              <w:spacing w:after="0"/>
              <w:rPr>
                <w:sz w:val="20"/>
                <w:szCs w:val="20"/>
                <w:color w:val="auto"/>
              </w:rPr>
            </w:pPr>
            <w:r>
              <w:rPr>
                <w:rFonts w:ascii="Arial" w:cs="Arial" w:eastAsia="Arial" w:hAnsi="Arial"/>
                <w:sz w:val="13"/>
                <w:szCs w:val="13"/>
                <w:color w:val="183964"/>
              </w:rPr>
              <w:t>Market Backsolve &amp; OPM</w:t>
            </w:r>
          </w:p>
        </w:tc>
        <w:tc>
          <w:tcPr>
            <w:tcW w:w="1880" w:type="dxa"/>
            <w:vAlign w:val="bottom"/>
          </w:tcPr>
          <w:p>
            <w:pPr>
              <w:spacing w:after="0"/>
              <w:rPr>
                <w:sz w:val="14"/>
                <w:szCs w:val="14"/>
                <w:color w:val="auto"/>
              </w:rPr>
            </w:pPr>
          </w:p>
        </w:tc>
      </w:tr>
      <w:tr>
        <w:trPr>
          <w:trHeight w:val="28"/>
        </w:trPr>
        <w:tc>
          <w:tcPr>
            <w:tcW w:w="5280" w:type="dxa"/>
            <w:vAlign w:val="bottom"/>
            <w:tcBorders>
              <w:bottom w:val="single" w:sz="8" w:color="auto"/>
            </w:tcBorders>
          </w:tcPr>
          <w:p>
            <w:pPr>
              <w:spacing w:after="0"/>
              <w:rPr>
                <w:sz w:val="2"/>
                <w:szCs w:val="2"/>
                <w:color w:val="auto"/>
              </w:rPr>
            </w:pPr>
          </w:p>
        </w:tc>
        <w:tc>
          <w:tcPr>
            <w:tcW w:w="2020" w:type="dxa"/>
            <w:vAlign w:val="bottom"/>
            <w:tcBorders>
              <w:bottom w:val="single" w:sz="8" w:color="183964"/>
            </w:tcBorders>
          </w:tcPr>
          <w:p>
            <w:pPr>
              <w:spacing w:after="0"/>
              <w:rPr>
                <w:sz w:val="2"/>
                <w:szCs w:val="2"/>
                <w:color w:val="auto"/>
              </w:rPr>
            </w:pPr>
          </w:p>
        </w:tc>
        <w:tc>
          <w:tcPr>
            <w:tcW w:w="2040" w:type="dxa"/>
            <w:vAlign w:val="bottom"/>
            <w:tcBorders>
              <w:bottom w:val="single" w:sz="8" w:color="183964"/>
            </w:tcBorders>
          </w:tcPr>
          <w:p>
            <w:pPr>
              <w:spacing w:after="0"/>
              <w:rPr>
                <w:sz w:val="2"/>
                <w:szCs w:val="2"/>
                <w:color w:val="auto"/>
              </w:rPr>
            </w:pPr>
          </w:p>
        </w:tc>
        <w:tc>
          <w:tcPr>
            <w:tcW w:w="1880" w:type="dxa"/>
            <w:vAlign w:val="bottom"/>
            <w:tcBorders>
              <w:bottom w:val="single" w:sz="8" w:color="183964"/>
            </w:tcBorders>
          </w:tcPr>
          <w:p>
            <w:pPr>
              <w:spacing w:after="0"/>
              <w:rPr>
                <w:sz w:val="2"/>
                <w:szCs w:val="2"/>
                <w:color w:val="auto"/>
              </w:rPr>
            </w:pPr>
          </w:p>
        </w:tc>
      </w:tr>
      <w:tr>
        <w:trPr>
          <w:trHeight w:val="151"/>
        </w:trPr>
        <w:tc>
          <w:tcPr>
            <w:tcW w:w="52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880" w:type="dxa"/>
            <w:vAlign w:val="bottom"/>
          </w:tcPr>
          <w:p>
            <w:pPr>
              <w:jc w:val="right"/>
              <w:spacing w:after="0"/>
              <w:rPr>
                <w:sz w:val="20"/>
                <w:szCs w:val="20"/>
                <w:color w:val="auto"/>
              </w:rPr>
            </w:pPr>
            <w:r>
              <w:rPr>
                <w:rFonts w:ascii="Arial" w:cs="Arial" w:eastAsia="Arial" w:hAnsi="Arial"/>
                <w:sz w:val="13"/>
                <w:szCs w:val="13"/>
                <w:b w:val="1"/>
                <w:bCs w:val="1"/>
                <w:color w:val="183964"/>
                <w:w w:val="97"/>
              </w:rPr>
              <w:t>Fair Value Increase/(Decrease)</w:t>
            </w:r>
          </w:p>
        </w:tc>
      </w:tr>
      <w:tr>
        <w:trPr>
          <w:trHeight w:val="172"/>
        </w:trPr>
        <w:tc>
          <w:tcPr>
            <w:tcW w:w="5280" w:type="dxa"/>
            <w:vAlign w:val="bottom"/>
          </w:tcPr>
          <w:p>
            <w:pPr>
              <w:ind w:left="20"/>
              <w:spacing w:after="0"/>
              <w:rPr>
                <w:sz w:val="20"/>
                <w:szCs w:val="20"/>
                <w:color w:val="auto"/>
              </w:rPr>
            </w:pPr>
            <w:r>
              <w:rPr>
                <w:rFonts w:ascii="Arial" w:cs="Arial" w:eastAsia="Arial" w:hAnsi="Arial"/>
                <w:sz w:val="13"/>
                <w:szCs w:val="13"/>
                <w:color w:val="auto"/>
              </w:rPr>
              <w:t>Unobservable Inputs (Sonde)</w:t>
            </w:r>
          </w:p>
        </w:tc>
        <w:tc>
          <w:tcPr>
            <w:tcW w:w="2020" w:type="dxa"/>
            <w:vAlign w:val="bottom"/>
          </w:tcPr>
          <w:p>
            <w:pPr>
              <w:jc w:val="right"/>
              <w:spacing w:after="0"/>
              <w:rPr>
                <w:sz w:val="20"/>
                <w:szCs w:val="20"/>
                <w:color w:val="auto"/>
              </w:rPr>
            </w:pPr>
            <w:r>
              <w:rPr>
                <w:rFonts w:ascii="Arial" w:cs="Arial" w:eastAsia="Arial" w:hAnsi="Arial"/>
                <w:sz w:val="13"/>
                <w:szCs w:val="13"/>
                <w:color w:val="183964"/>
              </w:rPr>
              <w:t>Input Value</w:t>
            </w:r>
          </w:p>
        </w:tc>
        <w:tc>
          <w:tcPr>
            <w:tcW w:w="2040" w:type="dxa"/>
            <w:vAlign w:val="bottom"/>
          </w:tcPr>
          <w:p>
            <w:pPr>
              <w:jc w:val="right"/>
              <w:spacing w:after="0"/>
              <w:rPr>
                <w:sz w:val="20"/>
                <w:szCs w:val="20"/>
                <w:color w:val="auto"/>
              </w:rPr>
            </w:pPr>
            <w:r>
              <w:rPr>
                <w:rFonts w:ascii="Arial" w:cs="Arial" w:eastAsia="Arial" w:hAnsi="Arial"/>
                <w:sz w:val="13"/>
                <w:szCs w:val="13"/>
                <w:color w:val="183964"/>
              </w:rPr>
              <w:t>Sensitivity Range</w:t>
            </w:r>
          </w:p>
        </w:tc>
        <w:tc>
          <w:tcPr>
            <w:tcW w:w="1880" w:type="dxa"/>
            <w:vAlign w:val="bottom"/>
          </w:tcPr>
          <w:p>
            <w:pPr>
              <w:jc w:val="right"/>
              <w:spacing w:after="0"/>
              <w:rPr>
                <w:sz w:val="20"/>
                <w:szCs w:val="20"/>
                <w:color w:val="auto"/>
              </w:rPr>
            </w:pPr>
            <w:r>
              <w:rPr>
                <w:rFonts w:ascii="Arial" w:cs="Arial" w:eastAsia="Arial" w:hAnsi="Arial"/>
                <w:sz w:val="13"/>
                <w:szCs w:val="13"/>
                <w:b w:val="1"/>
                <w:bCs w:val="1"/>
                <w:color w:val="183964"/>
              </w:rPr>
              <w:t>$</w:t>
            </w:r>
          </w:p>
        </w:tc>
      </w:tr>
      <w:tr>
        <w:trPr>
          <w:trHeight w:val="21"/>
        </w:trPr>
        <w:tc>
          <w:tcPr>
            <w:tcW w:w="5280" w:type="dxa"/>
            <w:vAlign w:val="bottom"/>
            <w:tcBorders>
              <w:bottom w:val="single" w:sz="8" w:color="001544"/>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03"/>
        </w:trPr>
        <w:tc>
          <w:tcPr>
            <w:tcW w:w="5280" w:type="dxa"/>
            <w:vAlign w:val="bottom"/>
          </w:tcPr>
          <w:p>
            <w:pPr>
              <w:ind w:left="20"/>
              <w:spacing w:after="0"/>
              <w:rPr>
                <w:sz w:val="20"/>
                <w:szCs w:val="20"/>
                <w:color w:val="auto"/>
              </w:rPr>
            </w:pPr>
            <w:r>
              <w:rPr>
                <w:rFonts w:ascii="Arial" w:cs="Arial" w:eastAsia="Arial" w:hAnsi="Arial"/>
                <w:sz w:val="15"/>
                <w:szCs w:val="15"/>
                <w:color w:val="auto"/>
              </w:rPr>
              <w:t>Equity Value</w:t>
            </w:r>
          </w:p>
        </w:tc>
        <w:tc>
          <w:tcPr>
            <w:tcW w:w="2020" w:type="dxa"/>
            <w:vAlign w:val="bottom"/>
          </w:tcPr>
          <w:p>
            <w:pPr>
              <w:jc w:val="right"/>
              <w:spacing w:after="0"/>
              <w:rPr>
                <w:sz w:val="20"/>
                <w:szCs w:val="20"/>
                <w:color w:val="auto"/>
              </w:rPr>
            </w:pPr>
            <w:r>
              <w:rPr>
                <w:rFonts w:ascii="Arial" w:cs="Arial" w:eastAsia="Arial" w:hAnsi="Arial"/>
                <w:sz w:val="15"/>
                <w:szCs w:val="15"/>
                <w:color w:val="183964"/>
              </w:rPr>
              <w:t>54,307</w:t>
            </w:r>
          </w:p>
        </w:tc>
        <w:tc>
          <w:tcPr>
            <w:tcW w:w="2040" w:type="dxa"/>
            <w:vAlign w:val="bottom"/>
          </w:tcPr>
          <w:p>
            <w:pPr>
              <w:jc w:val="right"/>
              <w:spacing w:after="0"/>
              <w:rPr>
                <w:sz w:val="20"/>
                <w:szCs w:val="20"/>
                <w:color w:val="auto"/>
              </w:rPr>
            </w:pPr>
            <w:r>
              <w:rPr>
                <w:rFonts w:ascii="Arial" w:cs="Arial" w:eastAsia="Arial" w:hAnsi="Arial"/>
                <w:sz w:val="15"/>
                <w:szCs w:val="15"/>
                <w:color w:val="183964"/>
              </w:rPr>
              <w:t>-5 %</w:t>
            </w:r>
          </w:p>
        </w:tc>
        <w:tc>
          <w:tcPr>
            <w:tcW w:w="1880" w:type="dxa"/>
            <w:vAlign w:val="bottom"/>
          </w:tcPr>
          <w:p>
            <w:pPr>
              <w:jc w:val="right"/>
              <w:spacing w:after="0"/>
              <w:rPr>
                <w:sz w:val="20"/>
                <w:szCs w:val="20"/>
                <w:color w:val="auto"/>
              </w:rPr>
            </w:pPr>
            <w:r>
              <w:rPr>
                <w:rFonts w:ascii="Arial" w:cs="Arial" w:eastAsia="Arial" w:hAnsi="Arial"/>
                <w:sz w:val="15"/>
                <w:szCs w:val="15"/>
                <w:color w:val="183964"/>
              </w:rPr>
              <w:t>(466)</w:t>
            </w:r>
          </w:p>
        </w:tc>
      </w:tr>
      <w:tr>
        <w:trPr>
          <w:trHeight w:val="243"/>
        </w:trPr>
        <w:tc>
          <w:tcPr>
            <w:tcW w:w="52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5"/>
                <w:szCs w:val="15"/>
                <w:color w:val="183964"/>
              </w:rPr>
              <w:t>+5%</w:t>
            </w:r>
          </w:p>
        </w:tc>
        <w:tc>
          <w:tcPr>
            <w:tcW w:w="1880" w:type="dxa"/>
            <w:vAlign w:val="bottom"/>
          </w:tcPr>
          <w:p>
            <w:pPr>
              <w:jc w:val="right"/>
              <w:ind w:right="7"/>
              <w:spacing w:after="0"/>
              <w:rPr>
                <w:sz w:val="20"/>
                <w:szCs w:val="20"/>
                <w:color w:val="auto"/>
              </w:rPr>
            </w:pPr>
            <w:r>
              <w:rPr>
                <w:rFonts w:ascii="Arial" w:cs="Arial" w:eastAsia="Arial" w:hAnsi="Arial"/>
                <w:sz w:val="15"/>
                <w:szCs w:val="15"/>
                <w:color w:val="183964"/>
              </w:rPr>
              <w:t>466</w:t>
            </w:r>
          </w:p>
        </w:tc>
      </w:tr>
      <w:tr>
        <w:trPr>
          <w:trHeight w:val="33"/>
        </w:trPr>
        <w:tc>
          <w:tcPr>
            <w:tcW w:w="5280" w:type="dxa"/>
            <w:vAlign w:val="bottom"/>
            <w:tcBorders>
              <w:bottom w:val="single" w:sz="8" w:color="001544"/>
            </w:tcBorders>
          </w:tcPr>
          <w:p>
            <w:pPr>
              <w:spacing w:after="0"/>
              <w:rPr>
                <w:sz w:val="2"/>
                <w:szCs w:val="2"/>
                <w:color w:val="auto"/>
              </w:rPr>
            </w:pPr>
          </w:p>
        </w:tc>
        <w:tc>
          <w:tcPr>
            <w:tcW w:w="2020" w:type="dxa"/>
            <w:vAlign w:val="bottom"/>
            <w:tcBorders>
              <w:bottom w:val="single" w:sz="8" w:color="001544"/>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03"/>
        </w:trPr>
        <w:tc>
          <w:tcPr>
            <w:tcW w:w="5280" w:type="dxa"/>
            <w:vAlign w:val="bottom"/>
          </w:tcPr>
          <w:p>
            <w:pPr>
              <w:ind w:left="20"/>
              <w:spacing w:after="0"/>
              <w:rPr>
                <w:sz w:val="20"/>
                <w:szCs w:val="20"/>
                <w:color w:val="auto"/>
              </w:rPr>
            </w:pPr>
            <w:r>
              <w:rPr>
                <w:rFonts w:ascii="Arial" w:cs="Arial" w:eastAsia="Arial" w:hAnsi="Arial"/>
                <w:sz w:val="15"/>
                <w:szCs w:val="15"/>
                <w:color w:val="auto"/>
              </w:rPr>
              <w:t>Time to Liquidity</w:t>
            </w:r>
          </w:p>
        </w:tc>
        <w:tc>
          <w:tcPr>
            <w:tcW w:w="2020" w:type="dxa"/>
            <w:vAlign w:val="bottom"/>
          </w:tcPr>
          <w:p>
            <w:pPr>
              <w:jc w:val="right"/>
              <w:spacing w:after="0"/>
              <w:rPr>
                <w:sz w:val="20"/>
                <w:szCs w:val="20"/>
                <w:color w:val="auto"/>
              </w:rPr>
            </w:pPr>
            <w:r>
              <w:rPr>
                <w:rFonts w:ascii="Arial" w:cs="Arial" w:eastAsia="Arial" w:hAnsi="Arial"/>
                <w:sz w:val="15"/>
                <w:szCs w:val="15"/>
                <w:color w:val="auto"/>
              </w:rPr>
              <w:t>2.00</w:t>
            </w:r>
          </w:p>
        </w:tc>
        <w:tc>
          <w:tcPr>
            <w:tcW w:w="2040" w:type="dxa"/>
            <w:vAlign w:val="bottom"/>
          </w:tcPr>
          <w:p>
            <w:pPr>
              <w:jc w:val="right"/>
              <w:spacing w:after="0"/>
              <w:rPr>
                <w:sz w:val="20"/>
                <w:szCs w:val="20"/>
                <w:color w:val="auto"/>
              </w:rPr>
            </w:pPr>
            <w:r>
              <w:rPr>
                <w:rFonts w:ascii="Arial" w:cs="Arial" w:eastAsia="Arial" w:hAnsi="Arial"/>
                <w:sz w:val="15"/>
                <w:szCs w:val="15"/>
                <w:color w:val="auto"/>
              </w:rPr>
              <w:t>-6 Months</w:t>
            </w:r>
          </w:p>
        </w:tc>
        <w:tc>
          <w:tcPr>
            <w:tcW w:w="1880" w:type="dxa"/>
            <w:vAlign w:val="bottom"/>
          </w:tcPr>
          <w:p>
            <w:pPr>
              <w:jc w:val="right"/>
              <w:ind w:right="7"/>
              <w:spacing w:after="0"/>
              <w:rPr>
                <w:sz w:val="20"/>
                <w:szCs w:val="20"/>
                <w:color w:val="auto"/>
              </w:rPr>
            </w:pPr>
            <w:r>
              <w:rPr>
                <w:rFonts w:ascii="Arial" w:cs="Arial" w:eastAsia="Arial" w:hAnsi="Arial"/>
                <w:sz w:val="15"/>
                <w:szCs w:val="15"/>
                <w:color w:val="auto"/>
              </w:rPr>
              <w:t>34</w:t>
            </w:r>
          </w:p>
        </w:tc>
      </w:tr>
      <w:tr>
        <w:trPr>
          <w:trHeight w:val="243"/>
        </w:trPr>
        <w:tc>
          <w:tcPr>
            <w:tcW w:w="52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5"/>
                <w:szCs w:val="15"/>
                <w:color w:val="auto"/>
              </w:rPr>
              <w:t>+ 6 Months</w:t>
            </w:r>
          </w:p>
        </w:tc>
        <w:tc>
          <w:tcPr>
            <w:tcW w:w="1880" w:type="dxa"/>
            <w:vAlign w:val="bottom"/>
          </w:tcPr>
          <w:p>
            <w:pPr>
              <w:jc w:val="right"/>
              <w:spacing w:after="0"/>
              <w:rPr>
                <w:sz w:val="20"/>
                <w:szCs w:val="20"/>
                <w:color w:val="auto"/>
              </w:rPr>
            </w:pPr>
            <w:r>
              <w:rPr>
                <w:rFonts w:ascii="Arial" w:cs="Arial" w:eastAsia="Arial" w:hAnsi="Arial"/>
                <w:sz w:val="15"/>
                <w:szCs w:val="15"/>
                <w:color w:val="auto"/>
              </w:rPr>
              <w:t>(37)</w:t>
            </w:r>
          </w:p>
        </w:tc>
      </w:tr>
      <w:tr>
        <w:trPr>
          <w:trHeight w:val="33"/>
        </w:trPr>
        <w:tc>
          <w:tcPr>
            <w:tcW w:w="52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03"/>
        </w:trPr>
        <w:tc>
          <w:tcPr>
            <w:tcW w:w="5280" w:type="dxa"/>
            <w:vAlign w:val="bottom"/>
          </w:tcPr>
          <w:p>
            <w:pPr>
              <w:ind w:left="20"/>
              <w:spacing w:after="0"/>
              <w:rPr>
                <w:sz w:val="20"/>
                <w:szCs w:val="20"/>
                <w:color w:val="auto"/>
              </w:rPr>
            </w:pPr>
            <w:r>
              <w:rPr>
                <w:rFonts w:ascii="Arial" w:cs="Arial" w:eastAsia="Arial" w:hAnsi="Arial"/>
                <w:sz w:val="15"/>
                <w:szCs w:val="15"/>
                <w:color w:val="auto"/>
              </w:rPr>
              <w:t>Volatility</w:t>
            </w:r>
          </w:p>
        </w:tc>
        <w:tc>
          <w:tcPr>
            <w:tcW w:w="2020" w:type="dxa"/>
            <w:vAlign w:val="bottom"/>
          </w:tcPr>
          <w:p>
            <w:pPr>
              <w:jc w:val="right"/>
              <w:spacing w:after="0"/>
              <w:rPr>
                <w:sz w:val="20"/>
                <w:szCs w:val="20"/>
                <w:color w:val="auto"/>
              </w:rPr>
            </w:pPr>
            <w:r>
              <w:rPr>
                <w:rFonts w:ascii="Arial" w:cs="Arial" w:eastAsia="Arial" w:hAnsi="Arial"/>
                <w:sz w:val="15"/>
                <w:szCs w:val="15"/>
                <w:color w:val="auto"/>
              </w:rPr>
              <w:t>55 %</w:t>
            </w:r>
          </w:p>
        </w:tc>
        <w:tc>
          <w:tcPr>
            <w:tcW w:w="2040" w:type="dxa"/>
            <w:vAlign w:val="bottom"/>
          </w:tcPr>
          <w:p>
            <w:pPr>
              <w:jc w:val="right"/>
              <w:spacing w:after="0"/>
              <w:rPr>
                <w:sz w:val="20"/>
                <w:szCs w:val="20"/>
                <w:color w:val="auto"/>
              </w:rPr>
            </w:pPr>
            <w:r>
              <w:rPr>
                <w:rFonts w:ascii="Arial" w:cs="Arial" w:eastAsia="Arial" w:hAnsi="Arial"/>
                <w:sz w:val="15"/>
                <w:szCs w:val="15"/>
                <w:color w:val="auto"/>
              </w:rPr>
              <w:t>-10 %</w:t>
            </w:r>
          </w:p>
        </w:tc>
        <w:tc>
          <w:tcPr>
            <w:tcW w:w="188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43"/>
        </w:trPr>
        <w:tc>
          <w:tcPr>
            <w:tcW w:w="52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5"/>
                <w:szCs w:val="15"/>
                <w:color w:val="auto"/>
              </w:rPr>
              <w:t>+10%</w:t>
            </w:r>
          </w:p>
        </w:tc>
        <w:tc>
          <w:tcPr>
            <w:tcW w:w="1880" w:type="dxa"/>
            <w:vAlign w:val="bottom"/>
          </w:tcPr>
          <w:p>
            <w:pPr>
              <w:jc w:val="right"/>
              <w:spacing w:after="0"/>
              <w:rPr>
                <w:sz w:val="20"/>
                <w:szCs w:val="20"/>
                <w:color w:val="auto"/>
              </w:rPr>
            </w:pPr>
            <w:r>
              <w:rPr>
                <w:rFonts w:ascii="Arial" w:cs="Arial" w:eastAsia="Arial" w:hAnsi="Arial"/>
                <w:sz w:val="15"/>
                <w:szCs w:val="15"/>
                <w:color w:val="auto"/>
              </w:rPr>
              <w:t>(25)</w:t>
            </w:r>
          </w:p>
        </w:tc>
      </w:tr>
      <w:tr>
        <w:trPr>
          <w:trHeight w:val="33"/>
        </w:trPr>
        <w:tc>
          <w:tcPr>
            <w:tcW w:w="5280" w:type="dxa"/>
            <w:vAlign w:val="bottom"/>
            <w:tcBorders>
              <w:bottom w:val="single" w:sz="8" w:color="183964"/>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818515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3" w:right="35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66"/>
        </w:trPr>
        <w:tc>
          <w:tcPr>
            <w:tcW w:w="5280" w:type="dxa"/>
            <w:vAlign w:val="bottom"/>
          </w:tcPr>
          <w:p>
            <w:pPr>
              <w:ind w:left="20"/>
              <w:spacing w:after="0"/>
              <w:rPr>
                <w:sz w:val="20"/>
                <w:szCs w:val="20"/>
                <w:color w:val="auto"/>
              </w:rPr>
            </w:pPr>
            <w:r>
              <w:rPr>
                <w:rFonts w:ascii="Arial" w:cs="Arial" w:eastAsia="Arial" w:hAnsi="Arial"/>
                <w:sz w:val="13"/>
                <w:szCs w:val="13"/>
                <w:color w:val="auto"/>
              </w:rPr>
              <w:t>As of June 30, 2024</w:t>
            </w:r>
          </w:p>
        </w:tc>
        <w:tc>
          <w:tcPr>
            <w:tcW w:w="5940" w:type="dxa"/>
            <w:vAlign w:val="bottom"/>
            <w:gridSpan w:val="4"/>
          </w:tcPr>
          <w:p>
            <w:pPr>
              <w:jc w:val="right"/>
              <w:ind w:right="384"/>
              <w:spacing w:after="0"/>
              <w:rPr>
                <w:sz w:val="20"/>
                <w:szCs w:val="20"/>
                <w:color w:val="auto"/>
              </w:rPr>
            </w:pPr>
            <w:r>
              <w:rPr>
                <w:rFonts w:ascii="Arial" w:cs="Arial" w:eastAsia="Arial" w:hAnsi="Arial"/>
                <w:sz w:val="13"/>
                <w:szCs w:val="13"/>
                <w:color w:val="183964"/>
              </w:rPr>
              <w:t>Investment Measured through Market Backsolve that Leverages a Monte Carlo Simulation</w:t>
            </w:r>
          </w:p>
        </w:tc>
      </w:tr>
      <w:tr>
        <w:trPr>
          <w:trHeight w:val="28"/>
        </w:trPr>
        <w:tc>
          <w:tcPr>
            <w:tcW w:w="52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gridSpan w:val="3"/>
          </w:tcPr>
          <w:p>
            <w:pPr>
              <w:spacing w:after="0"/>
              <w:rPr>
                <w:sz w:val="2"/>
                <w:szCs w:val="2"/>
                <w:color w:val="auto"/>
              </w:rPr>
            </w:pPr>
          </w:p>
        </w:tc>
      </w:tr>
      <w:tr>
        <w:trPr>
          <w:trHeight w:val="168"/>
        </w:trPr>
        <w:tc>
          <w:tcPr>
            <w:tcW w:w="5280" w:type="dxa"/>
            <w:vAlign w:val="bottom"/>
          </w:tcPr>
          <w:p>
            <w:pPr>
              <w:ind w:left="20"/>
              <w:spacing w:after="0"/>
              <w:rPr>
                <w:sz w:val="20"/>
                <w:szCs w:val="20"/>
                <w:color w:val="auto"/>
              </w:rPr>
            </w:pPr>
            <w:r>
              <w:rPr>
                <w:rFonts w:ascii="Arial" w:cs="Arial" w:eastAsia="Arial" w:hAnsi="Arial"/>
                <w:sz w:val="13"/>
                <w:szCs w:val="13"/>
                <w:color w:val="auto"/>
              </w:rPr>
              <w:t>Unobservable Inputs (Vedanta)</w:t>
            </w:r>
          </w:p>
        </w:tc>
        <w:tc>
          <w:tcPr>
            <w:tcW w:w="2020" w:type="dxa"/>
            <w:vAlign w:val="bottom"/>
          </w:tcPr>
          <w:p>
            <w:pPr>
              <w:jc w:val="right"/>
              <w:spacing w:after="0"/>
              <w:rPr>
                <w:sz w:val="20"/>
                <w:szCs w:val="20"/>
                <w:color w:val="auto"/>
              </w:rPr>
            </w:pPr>
            <w:r>
              <w:rPr>
                <w:rFonts w:ascii="Arial" w:cs="Arial" w:eastAsia="Arial" w:hAnsi="Arial"/>
                <w:sz w:val="13"/>
                <w:szCs w:val="13"/>
                <w:color w:val="183964"/>
              </w:rPr>
              <w:t>Input Value</w:t>
            </w:r>
          </w:p>
        </w:tc>
        <w:tc>
          <w:tcPr>
            <w:tcW w:w="3920" w:type="dxa"/>
            <w:vAlign w:val="bottom"/>
            <w:gridSpan w:val="3"/>
          </w:tcPr>
          <w:p>
            <w:pPr>
              <w:jc w:val="right"/>
              <w:spacing w:after="0"/>
              <w:rPr>
                <w:sz w:val="20"/>
                <w:szCs w:val="20"/>
                <w:color w:val="auto"/>
              </w:rPr>
            </w:pPr>
            <w:r>
              <w:rPr>
                <w:rFonts w:ascii="Arial" w:cs="Arial" w:eastAsia="Arial" w:hAnsi="Arial"/>
                <w:sz w:val="13"/>
                <w:szCs w:val="13"/>
                <w:color w:val="183964"/>
              </w:rPr>
              <w:t>Sensitivity Range Fair Value Increase/(Decrease) $</w:t>
            </w:r>
          </w:p>
        </w:tc>
      </w:tr>
      <w:tr>
        <w:trPr>
          <w:trHeight w:val="28"/>
        </w:trPr>
        <w:tc>
          <w:tcPr>
            <w:tcW w:w="5280" w:type="dxa"/>
            <w:vAlign w:val="bottom"/>
            <w:tcBorders>
              <w:bottom w:val="single" w:sz="8" w:color="001544"/>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460" w:type="dxa"/>
            <w:vAlign w:val="bottom"/>
            <w:tcBorders>
              <w:bottom w:val="single" w:sz="8" w:color="001544"/>
            </w:tcBorders>
          </w:tcPr>
          <w:p>
            <w:pPr>
              <w:spacing w:after="0"/>
              <w:rPr>
                <w:sz w:val="2"/>
                <w:szCs w:val="2"/>
                <w:color w:val="auto"/>
              </w:rPr>
            </w:pPr>
          </w:p>
        </w:tc>
        <w:tc>
          <w:tcPr>
            <w:tcW w:w="540" w:type="dxa"/>
            <w:vAlign w:val="bottom"/>
            <w:tcBorders>
              <w:bottom w:val="single" w:sz="8" w:color="001544"/>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4"/>
        </w:trPr>
        <w:tc>
          <w:tcPr>
            <w:tcW w:w="5280" w:type="dxa"/>
            <w:vAlign w:val="bottom"/>
          </w:tcPr>
          <w:p>
            <w:pPr>
              <w:ind w:left="20"/>
              <w:spacing w:after="0"/>
              <w:rPr>
                <w:sz w:val="20"/>
                <w:szCs w:val="20"/>
                <w:color w:val="auto"/>
              </w:rPr>
            </w:pPr>
            <w:r>
              <w:rPr>
                <w:rFonts w:ascii="Arial" w:cs="Arial" w:eastAsia="Arial" w:hAnsi="Arial"/>
                <w:sz w:val="15"/>
                <w:szCs w:val="15"/>
                <w:color w:val="auto"/>
              </w:rPr>
              <w:t>Equity Value</w:t>
            </w:r>
          </w:p>
        </w:tc>
        <w:tc>
          <w:tcPr>
            <w:tcW w:w="2020" w:type="dxa"/>
            <w:vAlign w:val="bottom"/>
          </w:tcPr>
          <w:p>
            <w:pPr>
              <w:jc w:val="right"/>
              <w:spacing w:after="0"/>
              <w:rPr>
                <w:sz w:val="20"/>
                <w:szCs w:val="20"/>
                <w:color w:val="auto"/>
              </w:rPr>
            </w:pPr>
            <w:r>
              <w:rPr>
                <w:rFonts w:ascii="Arial" w:cs="Arial" w:eastAsia="Arial" w:hAnsi="Arial"/>
                <w:sz w:val="15"/>
                <w:szCs w:val="15"/>
                <w:color w:val="183964"/>
              </w:rPr>
              <w:t>30,272</w:t>
            </w:r>
          </w:p>
        </w:tc>
        <w:tc>
          <w:tcPr>
            <w:tcW w:w="14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183964"/>
              </w:rPr>
              <w:t>-5 %</w:t>
            </w:r>
          </w:p>
        </w:tc>
        <w:tc>
          <w:tcPr>
            <w:tcW w:w="1920" w:type="dxa"/>
            <w:vAlign w:val="bottom"/>
          </w:tcPr>
          <w:p>
            <w:pPr>
              <w:jc w:val="right"/>
              <w:spacing w:after="0"/>
              <w:rPr>
                <w:sz w:val="20"/>
                <w:szCs w:val="20"/>
                <w:color w:val="auto"/>
              </w:rPr>
            </w:pPr>
            <w:r>
              <w:rPr>
                <w:rFonts w:ascii="Arial" w:cs="Arial" w:eastAsia="Arial" w:hAnsi="Arial"/>
                <w:sz w:val="15"/>
                <w:szCs w:val="15"/>
                <w:color w:val="183964"/>
              </w:rPr>
              <w:t>(1,029)</w:t>
            </w:r>
          </w:p>
        </w:tc>
      </w:tr>
      <w:tr>
        <w:trPr>
          <w:trHeight w:val="243"/>
        </w:trPr>
        <w:tc>
          <w:tcPr>
            <w:tcW w:w="52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183964"/>
              </w:rPr>
              <w:t>+5%</w:t>
            </w:r>
          </w:p>
        </w:tc>
        <w:tc>
          <w:tcPr>
            <w:tcW w:w="1920" w:type="dxa"/>
            <w:vAlign w:val="bottom"/>
          </w:tcPr>
          <w:p>
            <w:pPr>
              <w:jc w:val="right"/>
              <w:ind w:right="4"/>
              <w:spacing w:after="0"/>
              <w:rPr>
                <w:sz w:val="20"/>
                <w:szCs w:val="20"/>
                <w:color w:val="auto"/>
              </w:rPr>
            </w:pPr>
            <w:r>
              <w:rPr>
                <w:rFonts w:ascii="Arial" w:cs="Arial" w:eastAsia="Arial" w:hAnsi="Arial"/>
                <w:sz w:val="15"/>
                <w:szCs w:val="15"/>
                <w:color w:val="183964"/>
              </w:rPr>
              <w:t>913</w:t>
            </w:r>
          </w:p>
        </w:tc>
      </w:tr>
      <w:tr>
        <w:trPr>
          <w:trHeight w:val="33"/>
        </w:trPr>
        <w:tc>
          <w:tcPr>
            <w:tcW w:w="52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3"/>
        </w:trPr>
        <w:tc>
          <w:tcPr>
            <w:tcW w:w="5280" w:type="dxa"/>
            <w:vAlign w:val="bottom"/>
          </w:tcPr>
          <w:p>
            <w:pPr>
              <w:ind w:left="20"/>
              <w:spacing w:after="0"/>
              <w:rPr>
                <w:sz w:val="20"/>
                <w:szCs w:val="20"/>
                <w:color w:val="auto"/>
              </w:rPr>
            </w:pPr>
            <w:r>
              <w:rPr>
                <w:rFonts w:ascii="Arial" w:cs="Arial" w:eastAsia="Arial" w:hAnsi="Arial"/>
                <w:sz w:val="15"/>
                <w:szCs w:val="15"/>
                <w:color w:val="auto"/>
              </w:rPr>
              <w:t>Time to Liquidity</w:t>
            </w:r>
          </w:p>
        </w:tc>
        <w:tc>
          <w:tcPr>
            <w:tcW w:w="2020" w:type="dxa"/>
            <w:vAlign w:val="bottom"/>
          </w:tcPr>
          <w:p>
            <w:pPr>
              <w:jc w:val="right"/>
              <w:spacing w:after="0"/>
              <w:rPr>
                <w:sz w:val="20"/>
                <w:szCs w:val="20"/>
                <w:color w:val="auto"/>
              </w:rPr>
            </w:pPr>
            <w:r>
              <w:rPr>
                <w:rFonts w:ascii="Arial" w:cs="Arial" w:eastAsia="Arial" w:hAnsi="Arial"/>
                <w:sz w:val="15"/>
                <w:szCs w:val="15"/>
                <w:color w:val="auto"/>
              </w:rPr>
              <w:t>0.73</w:t>
            </w:r>
          </w:p>
        </w:tc>
        <w:tc>
          <w:tcPr>
            <w:tcW w:w="1460" w:type="dxa"/>
            <w:vAlign w:val="bottom"/>
          </w:tcPr>
          <w:p>
            <w:pPr>
              <w:jc w:val="right"/>
              <w:spacing w:after="0"/>
              <w:rPr>
                <w:sz w:val="20"/>
                <w:szCs w:val="20"/>
                <w:color w:val="auto"/>
              </w:rPr>
            </w:pPr>
            <w:r>
              <w:rPr>
                <w:rFonts w:ascii="Arial" w:cs="Arial" w:eastAsia="Arial" w:hAnsi="Arial"/>
                <w:sz w:val="15"/>
                <w:szCs w:val="15"/>
                <w:color w:val="183964"/>
              </w:rPr>
              <w:t>- 6</w:t>
            </w:r>
          </w:p>
        </w:tc>
        <w:tc>
          <w:tcPr>
            <w:tcW w:w="540" w:type="dxa"/>
            <w:vAlign w:val="bottom"/>
          </w:tcPr>
          <w:p>
            <w:pPr>
              <w:jc w:val="right"/>
              <w:spacing w:after="0"/>
              <w:rPr>
                <w:sz w:val="20"/>
                <w:szCs w:val="20"/>
                <w:color w:val="auto"/>
              </w:rPr>
            </w:pPr>
            <w:r>
              <w:rPr>
                <w:rFonts w:ascii="Arial" w:cs="Arial" w:eastAsia="Arial" w:hAnsi="Arial"/>
                <w:sz w:val="15"/>
                <w:szCs w:val="15"/>
                <w:color w:val="183964"/>
              </w:rPr>
              <w:t>Months</w:t>
            </w:r>
          </w:p>
        </w:tc>
        <w:tc>
          <w:tcPr>
            <w:tcW w:w="1920" w:type="dxa"/>
            <w:vAlign w:val="bottom"/>
          </w:tcPr>
          <w:p>
            <w:pPr>
              <w:jc w:val="right"/>
              <w:spacing w:after="0"/>
              <w:rPr>
                <w:sz w:val="20"/>
                <w:szCs w:val="20"/>
                <w:color w:val="auto"/>
              </w:rPr>
            </w:pPr>
            <w:r>
              <w:rPr>
                <w:rFonts w:ascii="Arial" w:cs="Arial" w:eastAsia="Arial" w:hAnsi="Arial"/>
                <w:sz w:val="15"/>
                <w:szCs w:val="15"/>
                <w:color w:val="183964"/>
              </w:rPr>
              <w:t>(9,690)</w:t>
            </w:r>
          </w:p>
        </w:tc>
      </w:tr>
      <w:tr>
        <w:trPr>
          <w:trHeight w:val="243"/>
        </w:trPr>
        <w:tc>
          <w:tcPr>
            <w:tcW w:w="52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183964"/>
              </w:rPr>
              <w:t>+ 6</w:t>
            </w:r>
          </w:p>
        </w:tc>
        <w:tc>
          <w:tcPr>
            <w:tcW w:w="540" w:type="dxa"/>
            <w:vAlign w:val="bottom"/>
          </w:tcPr>
          <w:p>
            <w:pPr>
              <w:jc w:val="right"/>
              <w:spacing w:after="0"/>
              <w:rPr>
                <w:sz w:val="20"/>
                <w:szCs w:val="20"/>
                <w:color w:val="auto"/>
              </w:rPr>
            </w:pPr>
            <w:r>
              <w:rPr>
                <w:rFonts w:ascii="Arial" w:cs="Arial" w:eastAsia="Arial" w:hAnsi="Arial"/>
                <w:sz w:val="15"/>
                <w:szCs w:val="15"/>
                <w:color w:val="183964"/>
              </w:rPr>
              <w:t>Months</w:t>
            </w:r>
          </w:p>
        </w:tc>
        <w:tc>
          <w:tcPr>
            <w:tcW w:w="1920" w:type="dxa"/>
            <w:vAlign w:val="bottom"/>
          </w:tcPr>
          <w:p>
            <w:pPr>
              <w:jc w:val="right"/>
              <w:ind w:right="4"/>
              <w:spacing w:after="0"/>
              <w:rPr>
                <w:sz w:val="20"/>
                <w:szCs w:val="20"/>
                <w:color w:val="auto"/>
              </w:rPr>
            </w:pPr>
            <w:r>
              <w:rPr>
                <w:rFonts w:ascii="Arial" w:cs="Arial" w:eastAsia="Arial" w:hAnsi="Arial"/>
                <w:sz w:val="15"/>
                <w:szCs w:val="15"/>
                <w:color w:val="183964"/>
              </w:rPr>
              <w:t>3,328</w:t>
            </w:r>
          </w:p>
        </w:tc>
      </w:tr>
      <w:tr>
        <w:trPr>
          <w:trHeight w:val="33"/>
        </w:trPr>
        <w:tc>
          <w:tcPr>
            <w:tcW w:w="5280" w:type="dxa"/>
            <w:vAlign w:val="bottom"/>
            <w:tcBorders>
              <w:bottom w:val="single" w:sz="8" w:color="001544"/>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460" w:type="dxa"/>
            <w:vAlign w:val="bottom"/>
            <w:tcBorders>
              <w:bottom w:val="single" w:sz="8" w:color="001544"/>
            </w:tcBorders>
          </w:tcPr>
          <w:p>
            <w:pPr>
              <w:spacing w:after="0"/>
              <w:rPr>
                <w:sz w:val="2"/>
                <w:szCs w:val="2"/>
                <w:color w:val="auto"/>
              </w:rPr>
            </w:pPr>
          </w:p>
        </w:tc>
        <w:tc>
          <w:tcPr>
            <w:tcW w:w="540" w:type="dxa"/>
            <w:vAlign w:val="bottom"/>
            <w:tcBorders>
              <w:bottom w:val="single" w:sz="8" w:color="001544"/>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4"/>
        </w:trPr>
        <w:tc>
          <w:tcPr>
            <w:tcW w:w="5280" w:type="dxa"/>
            <w:vAlign w:val="bottom"/>
          </w:tcPr>
          <w:p>
            <w:pPr>
              <w:ind w:left="20"/>
              <w:spacing w:after="0"/>
              <w:rPr>
                <w:sz w:val="20"/>
                <w:szCs w:val="20"/>
                <w:color w:val="auto"/>
              </w:rPr>
            </w:pPr>
            <w:r>
              <w:rPr>
                <w:rFonts w:ascii="Arial" w:cs="Arial" w:eastAsia="Arial" w:hAnsi="Arial"/>
                <w:sz w:val="15"/>
                <w:szCs w:val="15"/>
                <w:color w:val="auto"/>
              </w:rPr>
              <w:t>Volatility</w:t>
            </w:r>
          </w:p>
        </w:tc>
        <w:tc>
          <w:tcPr>
            <w:tcW w:w="2020" w:type="dxa"/>
            <w:vAlign w:val="bottom"/>
          </w:tcPr>
          <w:p>
            <w:pPr>
              <w:jc w:val="right"/>
              <w:spacing w:after="0"/>
              <w:rPr>
                <w:sz w:val="20"/>
                <w:szCs w:val="20"/>
                <w:color w:val="auto"/>
              </w:rPr>
            </w:pPr>
            <w:r>
              <w:rPr>
                <w:rFonts w:ascii="Arial" w:cs="Arial" w:eastAsia="Arial" w:hAnsi="Arial"/>
                <w:sz w:val="15"/>
                <w:szCs w:val="15"/>
                <w:color w:val="auto"/>
              </w:rPr>
              <w:t>125 %</w:t>
            </w:r>
          </w:p>
        </w:tc>
        <w:tc>
          <w:tcPr>
            <w:tcW w:w="14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183964"/>
              </w:rPr>
              <w:t>-10 %</w:t>
            </w:r>
          </w:p>
        </w:tc>
        <w:tc>
          <w:tcPr>
            <w:tcW w:w="1920" w:type="dxa"/>
            <w:vAlign w:val="bottom"/>
          </w:tcPr>
          <w:p>
            <w:pPr>
              <w:jc w:val="right"/>
              <w:spacing w:after="0"/>
              <w:rPr>
                <w:sz w:val="20"/>
                <w:szCs w:val="20"/>
                <w:color w:val="auto"/>
              </w:rPr>
            </w:pPr>
            <w:r>
              <w:rPr>
                <w:rFonts w:ascii="Arial" w:cs="Arial" w:eastAsia="Arial" w:hAnsi="Arial"/>
                <w:sz w:val="15"/>
                <w:szCs w:val="15"/>
                <w:color w:val="183964"/>
              </w:rPr>
              <w:t>(1,111)</w:t>
            </w:r>
          </w:p>
        </w:tc>
      </w:tr>
      <w:tr>
        <w:trPr>
          <w:trHeight w:val="243"/>
        </w:trPr>
        <w:tc>
          <w:tcPr>
            <w:tcW w:w="52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183964"/>
              </w:rPr>
              <w:t>+10%</w:t>
            </w:r>
          </w:p>
        </w:tc>
        <w:tc>
          <w:tcPr>
            <w:tcW w:w="1920" w:type="dxa"/>
            <w:vAlign w:val="bottom"/>
          </w:tcPr>
          <w:p>
            <w:pPr>
              <w:jc w:val="right"/>
              <w:ind w:right="4"/>
              <w:spacing w:after="0"/>
              <w:rPr>
                <w:sz w:val="20"/>
                <w:szCs w:val="20"/>
                <w:color w:val="auto"/>
              </w:rPr>
            </w:pPr>
            <w:r>
              <w:rPr>
                <w:rFonts w:ascii="Arial" w:cs="Arial" w:eastAsia="Arial" w:hAnsi="Arial"/>
                <w:sz w:val="15"/>
                <w:szCs w:val="15"/>
                <w:color w:val="183964"/>
              </w:rPr>
              <w:t>823</w:t>
            </w:r>
          </w:p>
        </w:tc>
      </w:tr>
      <w:tr>
        <w:trPr>
          <w:trHeight w:val="33"/>
        </w:trPr>
        <w:tc>
          <w:tcPr>
            <w:tcW w:w="5280" w:type="dxa"/>
            <w:vAlign w:val="bottom"/>
            <w:tcBorders>
              <w:bottom w:val="single" w:sz="8" w:color="183964"/>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460" w:type="dxa"/>
            <w:vAlign w:val="bottom"/>
            <w:tcBorders>
              <w:bottom w:val="single" w:sz="8" w:color="001544"/>
            </w:tcBorders>
          </w:tcPr>
          <w:p>
            <w:pPr>
              <w:spacing w:after="0"/>
              <w:rPr>
                <w:sz w:val="2"/>
                <w:szCs w:val="2"/>
                <w:color w:val="auto"/>
              </w:rPr>
            </w:pPr>
          </w:p>
        </w:tc>
        <w:tc>
          <w:tcPr>
            <w:tcW w:w="540" w:type="dxa"/>
            <w:vAlign w:val="bottom"/>
            <w:tcBorders>
              <w:bottom w:val="single" w:sz="8" w:color="001544"/>
            </w:tcBorders>
          </w:tcPr>
          <w:p>
            <w:pPr>
              <w:spacing w:after="0"/>
              <w:rPr>
                <w:sz w:val="2"/>
                <w:szCs w:val="2"/>
                <w:color w:val="auto"/>
              </w:rPr>
            </w:pPr>
          </w:p>
        </w:tc>
        <w:tc>
          <w:tcPr>
            <w:tcW w:w="1920" w:type="dxa"/>
            <w:vAlign w:val="bottom"/>
            <w:tcBorders>
              <w:bottom w:val="single" w:sz="8" w:color="001544"/>
            </w:tcBorders>
          </w:tcPr>
          <w:p>
            <w:pPr>
              <w:spacing w:after="0"/>
              <w:rPr>
                <w:sz w:val="2"/>
                <w:szCs w:val="2"/>
                <w:color w:val="auto"/>
              </w:rPr>
            </w:pPr>
          </w:p>
        </w:tc>
      </w:tr>
    </w:tbl>
    <w:p>
      <w:pPr>
        <w:spacing w:after="0" w:line="145" w:lineRule="exact"/>
        <w:rPr>
          <w:sz w:val="20"/>
          <w:szCs w:val="20"/>
          <w:color w:val="auto"/>
        </w:rPr>
      </w:pPr>
    </w:p>
    <w:p>
      <w:pPr>
        <w:spacing w:after="0"/>
        <w:rPr>
          <w:sz w:val="20"/>
          <w:szCs w:val="20"/>
          <w:color w:val="auto"/>
        </w:rPr>
      </w:pPr>
      <w:r>
        <w:rPr>
          <w:rFonts w:ascii="Arial" w:cs="Arial" w:eastAsia="Arial" w:hAnsi="Arial"/>
          <w:sz w:val="15"/>
          <w:szCs w:val="15"/>
          <w:color w:val="183964"/>
        </w:rPr>
        <w:t>Investments in Notes from Associates</w:t>
      </w:r>
    </w:p>
    <w:p>
      <w:pPr>
        <w:spacing w:after="0" w:line="28" w:lineRule="exact"/>
        <w:rPr>
          <w:sz w:val="20"/>
          <w:szCs w:val="20"/>
          <w:color w:val="auto"/>
        </w:rPr>
      </w:pPr>
    </w:p>
    <w:p>
      <w:pPr>
        <w:jc w:val="both"/>
        <w:ind w:right="20"/>
        <w:spacing w:after="0" w:line="267" w:lineRule="auto"/>
        <w:rPr>
          <w:sz w:val="20"/>
          <w:szCs w:val="20"/>
          <w:color w:val="auto"/>
        </w:rPr>
      </w:pPr>
      <w:r>
        <w:rPr>
          <w:rFonts w:ascii="Arial" w:cs="Arial" w:eastAsia="Arial" w:hAnsi="Arial"/>
          <w:sz w:val="15"/>
          <w:szCs w:val="15"/>
          <w:color w:val="auto"/>
        </w:rPr>
        <w:t>As of June 30, 2024 and December 31, 2023, the investment in notes from associates was $16,212 and $ 4,600, respectively. The balance represents the fair value of convertible promissory notes with a principal value of $26,850 issued by Gelesis and convertible debt with a principal value of $5,000 issued by Vedanta.</w:t>
      </w:r>
    </w:p>
    <w:p>
      <w:pPr>
        <w:spacing w:after="0" w:line="64" w:lineRule="exact"/>
        <w:rPr>
          <w:sz w:val="20"/>
          <w:szCs w:val="20"/>
          <w:color w:val="auto"/>
        </w:rPr>
      </w:pPr>
    </w:p>
    <w:p>
      <w:pPr>
        <w:ind w:right="80"/>
        <w:spacing w:after="0" w:line="273" w:lineRule="auto"/>
        <w:rPr>
          <w:sz w:val="20"/>
          <w:szCs w:val="20"/>
          <w:color w:val="auto"/>
        </w:rPr>
      </w:pPr>
      <w:r>
        <w:rPr>
          <w:rFonts w:ascii="Arial" w:cs="Arial" w:eastAsia="Arial" w:hAnsi="Arial"/>
          <w:sz w:val="15"/>
          <w:szCs w:val="15"/>
          <w:color w:val="auto"/>
        </w:rPr>
        <w:t>During the six months ended June 30, 2024, the Group recorded a gain of $11,612 for the change in fair value of the notes from associates in the gain/(loss) on investments in notes from associates within the Condensed Consolidated Statement of Comprehensive Income/Loss. The gain was driven by an increase of $11,312 in the fair value of the Gelesis convertible promissory notes and an increase of $300 in the fair value of the Vedanta convertible note.</w:t>
      </w:r>
    </w:p>
    <w:p>
      <w:pPr>
        <w:spacing w:after="0" w:line="46" w:lineRule="exact"/>
        <w:rPr>
          <w:sz w:val="20"/>
          <w:szCs w:val="20"/>
          <w:color w:val="auto"/>
        </w:rPr>
      </w:pPr>
    </w:p>
    <w:p>
      <w:pPr>
        <w:ind w:right="40"/>
        <w:spacing w:after="0" w:line="263" w:lineRule="auto"/>
        <w:rPr>
          <w:sz w:val="20"/>
          <w:szCs w:val="20"/>
          <w:color w:val="auto"/>
        </w:rPr>
      </w:pPr>
      <w:r>
        <w:rPr>
          <w:rFonts w:ascii="Arial" w:cs="Arial" w:eastAsia="Arial" w:hAnsi="Arial"/>
          <w:sz w:val="15"/>
          <w:szCs w:val="15"/>
          <w:color w:val="auto"/>
        </w:rPr>
        <w:t>In October 2023, Gelesis ceased operations and filed a voluntary petition for relief under the provisions of Chapter 7 of Title 11 of the United States Bankruptcy Code. Therefore, the Group determined the fair value of the convertible promissory notes issued by Gelesis to be $0 at December 31, 2023. In June 2024, the Bankruptcy Court approved an executed agreement for a third party to acquire the remaining net assets of Gelesis for $15,000. As the only senior secured creditor, the Group is expected to receive a majority of the proceeds from this sale after deduction of legal and administrative costs incurred by the Bankruptcy Court. As of June 30, 2024, these notes were determined to have a fair value of $11,312.</w:t>
      </w:r>
    </w:p>
    <w:p>
      <w:pPr>
        <w:spacing w:after="0" w:line="67" w:lineRule="exact"/>
        <w:rPr>
          <w:sz w:val="20"/>
          <w:szCs w:val="20"/>
          <w:color w:val="auto"/>
        </w:rPr>
      </w:pPr>
    </w:p>
    <w:p>
      <w:pPr>
        <w:ind w:right="60"/>
        <w:spacing w:after="0" w:line="273" w:lineRule="auto"/>
        <w:rPr>
          <w:sz w:val="20"/>
          <w:szCs w:val="20"/>
          <w:color w:val="auto"/>
        </w:rPr>
      </w:pPr>
      <w:r>
        <w:rPr>
          <w:rFonts w:ascii="Arial" w:cs="Arial" w:eastAsia="Arial" w:hAnsi="Arial"/>
          <w:sz w:val="15"/>
          <w:szCs w:val="15"/>
          <w:color w:val="auto"/>
        </w:rPr>
        <w:t>The convertible debt issued by Vedanta was valued using a market backsolve approach that leverages a Monte Carlo simulation. The significant unobservable inputs categorized as Level 3 in the fair value hierarchy used at June 30, 2024, in the fair value measurement of the convertible debt are the same as the inputs disclosed above for Vedanta preferred shares.</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183964"/>
        </w:rPr>
        <w:t>Fair Value Measurement and Classification</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The fair value of financial instruments by category as of June 30, 2024 and December 31, 2023:</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tcPr>
          <w:p>
            <w:pPr>
              <w:jc w:val="right"/>
              <w:ind w:right="288"/>
              <w:spacing w:after="0"/>
              <w:rPr>
                <w:sz w:val="20"/>
                <w:szCs w:val="20"/>
                <w:color w:val="auto"/>
              </w:rPr>
            </w:pPr>
            <w:r>
              <w:rPr>
                <w:rFonts w:ascii="Arial" w:cs="Arial" w:eastAsia="Arial" w:hAnsi="Arial"/>
                <w:sz w:val="13"/>
                <w:szCs w:val="13"/>
                <w:b w:val="1"/>
                <w:bCs w:val="1"/>
                <w:color w:val="auto"/>
              </w:rPr>
              <w:t>2024</w:t>
            </w:r>
          </w:p>
        </w:tc>
        <w:tc>
          <w:tcPr>
            <w:tcW w:w="1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1"/>
        </w:trPr>
        <w:tc>
          <w:tcPr>
            <w:tcW w:w="3420" w:type="dxa"/>
            <w:vAlign w:val="bottom"/>
          </w:tcPr>
          <w:p>
            <w:pPr>
              <w:spacing w:after="0" w:line="20" w:lineRule="exact"/>
              <w:rPr>
                <w:sz w:val="1"/>
                <w:szCs w:val="1"/>
                <w:color w:val="auto"/>
              </w:rPr>
            </w:pPr>
          </w:p>
        </w:tc>
        <w:tc>
          <w:tcPr>
            <w:tcW w:w="2680" w:type="dxa"/>
            <w:vAlign w:val="bottom"/>
            <w:tcBorders>
              <w:bottom w:val="single" w:sz="8" w:color="auto"/>
            </w:tcBorders>
            <w:gridSpan w:val="3"/>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75"/>
        </w:trPr>
        <w:tc>
          <w:tcPr>
            <w:tcW w:w="3420" w:type="dxa"/>
            <w:vAlign w:val="bottom"/>
          </w:tcPr>
          <w:p>
            <w:pPr>
              <w:spacing w:after="0"/>
              <w:rPr>
                <w:sz w:val="15"/>
                <w:szCs w:val="15"/>
                <w:color w:val="auto"/>
              </w:rPr>
            </w:pPr>
          </w:p>
        </w:tc>
        <w:tc>
          <w:tcPr>
            <w:tcW w:w="2680" w:type="dxa"/>
            <w:vAlign w:val="bottom"/>
            <w:gridSpan w:val="3"/>
          </w:tcPr>
          <w:p>
            <w:pPr>
              <w:ind w:left="780"/>
              <w:spacing w:after="0"/>
              <w:rPr>
                <w:sz w:val="20"/>
                <w:szCs w:val="20"/>
                <w:color w:val="auto"/>
              </w:rPr>
            </w:pPr>
            <w:r>
              <w:rPr>
                <w:rFonts w:ascii="Arial" w:cs="Arial" w:eastAsia="Arial" w:hAnsi="Arial"/>
                <w:sz w:val="13"/>
                <w:szCs w:val="13"/>
                <w:b w:val="1"/>
                <w:bCs w:val="1"/>
                <w:color w:val="auto"/>
              </w:rPr>
              <w:t>Carrying Amount</w:t>
            </w:r>
          </w:p>
        </w:tc>
        <w:tc>
          <w:tcPr>
            <w:tcW w:w="1720" w:type="dxa"/>
            <w:vAlign w:val="bottom"/>
          </w:tcPr>
          <w:p>
            <w:pPr>
              <w:spacing w:after="0"/>
              <w:rPr>
                <w:sz w:val="15"/>
                <w:szCs w:val="15"/>
                <w:color w:val="auto"/>
              </w:rPr>
            </w:pPr>
          </w:p>
        </w:tc>
        <w:tc>
          <w:tcPr>
            <w:tcW w:w="1340" w:type="dxa"/>
            <w:vAlign w:val="bottom"/>
          </w:tcPr>
          <w:p>
            <w:pPr>
              <w:ind w:left="540"/>
              <w:spacing w:after="0"/>
              <w:rPr>
                <w:sz w:val="20"/>
                <w:szCs w:val="20"/>
                <w:color w:val="auto"/>
              </w:rPr>
            </w:pPr>
            <w:r>
              <w:rPr>
                <w:rFonts w:ascii="Arial" w:cs="Arial" w:eastAsia="Arial" w:hAnsi="Arial"/>
                <w:sz w:val="13"/>
                <w:szCs w:val="13"/>
                <w:b w:val="1"/>
                <w:bCs w:val="1"/>
                <w:color w:val="auto"/>
              </w:rPr>
              <w:t>Fair Value</w:t>
            </w: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2"/>
        </w:trPr>
        <w:tc>
          <w:tcPr>
            <w:tcW w:w="34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51"/>
        </w:trPr>
        <w:tc>
          <w:tcPr>
            <w:tcW w:w="34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3"/>
                <w:szCs w:val="13"/>
                <w:b w:val="1"/>
                <w:bCs w:val="1"/>
                <w:color w:val="auto"/>
              </w:rPr>
              <w:t>Financial Assets</w:t>
            </w:r>
          </w:p>
        </w:tc>
        <w:tc>
          <w:tcPr>
            <w:tcW w:w="13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Financial Liabilities</w:t>
            </w:r>
          </w:p>
        </w:tc>
        <w:tc>
          <w:tcPr>
            <w:tcW w:w="1720" w:type="dxa"/>
            <w:vAlign w:val="bottom"/>
          </w:tcPr>
          <w:p>
            <w:pPr>
              <w:jc w:val="right"/>
              <w:ind w:right="368"/>
              <w:spacing w:after="0"/>
              <w:rPr>
                <w:sz w:val="20"/>
                <w:szCs w:val="20"/>
                <w:color w:val="auto"/>
              </w:rPr>
            </w:pPr>
            <w:r>
              <w:rPr>
                <w:rFonts w:ascii="Arial" w:cs="Arial" w:eastAsia="Arial" w:hAnsi="Arial"/>
                <w:sz w:val="13"/>
                <w:szCs w:val="13"/>
                <w:b w:val="1"/>
                <w:bCs w:val="1"/>
                <w:color w:val="auto"/>
              </w:rPr>
              <w:t>Level 1</w:t>
            </w:r>
          </w:p>
        </w:tc>
        <w:tc>
          <w:tcPr>
            <w:tcW w:w="1340" w:type="dxa"/>
            <w:vAlign w:val="bottom"/>
          </w:tcPr>
          <w:p>
            <w:pPr>
              <w:jc w:val="right"/>
              <w:ind w:right="488"/>
              <w:spacing w:after="0"/>
              <w:rPr>
                <w:sz w:val="20"/>
                <w:szCs w:val="20"/>
                <w:color w:val="auto"/>
              </w:rPr>
            </w:pPr>
            <w:r>
              <w:rPr>
                <w:rFonts w:ascii="Arial" w:cs="Arial" w:eastAsia="Arial" w:hAnsi="Arial"/>
                <w:sz w:val="13"/>
                <w:szCs w:val="13"/>
                <w:b w:val="1"/>
                <w:bCs w:val="1"/>
                <w:color w:val="auto"/>
              </w:rPr>
              <w:t>Level 2</w:t>
            </w:r>
          </w:p>
        </w:tc>
        <w:tc>
          <w:tcPr>
            <w:tcW w:w="1080" w:type="dxa"/>
            <w:vAlign w:val="bottom"/>
          </w:tcPr>
          <w:p>
            <w:pPr>
              <w:jc w:val="right"/>
              <w:ind w:right="267"/>
              <w:spacing w:after="0"/>
              <w:rPr>
                <w:sz w:val="20"/>
                <w:szCs w:val="20"/>
                <w:color w:val="auto"/>
              </w:rPr>
            </w:pPr>
            <w:r>
              <w:rPr>
                <w:rFonts w:ascii="Arial" w:cs="Arial" w:eastAsia="Arial" w:hAnsi="Arial"/>
                <w:sz w:val="13"/>
                <w:szCs w:val="13"/>
                <w:b w:val="1"/>
                <w:bCs w:val="1"/>
                <w:color w:val="auto"/>
              </w:rPr>
              <w:t>Level 3</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Total</w:t>
            </w:r>
          </w:p>
        </w:tc>
      </w:tr>
      <w:tr>
        <w:trPr>
          <w:trHeight w:val="172"/>
        </w:trPr>
        <w:tc>
          <w:tcPr>
            <w:tcW w:w="3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4"/>
                <w:szCs w:val="14"/>
                <w:color w:val="auto"/>
              </w:rPr>
            </w:pPr>
          </w:p>
        </w:tc>
        <w:tc>
          <w:tcPr>
            <w:tcW w:w="1720" w:type="dxa"/>
            <w:vAlign w:val="bottom"/>
          </w:tcPr>
          <w:p>
            <w:pPr>
              <w:jc w:val="right"/>
              <w:ind w:right="368"/>
              <w:spacing w:after="0"/>
              <w:rPr>
                <w:sz w:val="20"/>
                <w:szCs w:val="20"/>
                <w:color w:val="auto"/>
              </w:rPr>
            </w:pPr>
            <w:r>
              <w:rPr>
                <w:rFonts w:ascii="Arial" w:cs="Arial" w:eastAsia="Arial" w:hAnsi="Arial"/>
                <w:sz w:val="13"/>
                <w:szCs w:val="13"/>
                <w:b w:val="1"/>
                <w:bCs w:val="1"/>
                <w:color w:val="auto"/>
              </w:rPr>
              <w:t>$</w:t>
            </w:r>
          </w:p>
        </w:tc>
        <w:tc>
          <w:tcPr>
            <w:tcW w:w="1340" w:type="dxa"/>
            <w:vAlign w:val="bottom"/>
          </w:tcPr>
          <w:p>
            <w:pPr>
              <w:jc w:val="right"/>
              <w:ind w:right="488"/>
              <w:spacing w:after="0"/>
              <w:rPr>
                <w:sz w:val="20"/>
                <w:szCs w:val="20"/>
                <w:color w:val="auto"/>
              </w:rPr>
            </w:pPr>
            <w:r>
              <w:rPr>
                <w:rFonts w:ascii="Arial" w:cs="Arial" w:eastAsia="Arial" w:hAnsi="Arial"/>
                <w:sz w:val="13"/>
                <w:szCs w:val="13"/>
                <w:b w:val="1"/>
                <w:bCs w:val="1"/>
                <w:color w:val="auto"/>
              </w:rPr>
              <w:t>$</w:t>
            </w:r>
          </w:p>
        </w:tc>
        <w:tc>
          <w:tcPr>
            <w:tcW w:w="1080" w:type="dxa"/>
            <w:vAlign w:val="bottom"/>
          </w:tcPr>
          <w:p>
            <w:pPr>
              <w:jc w:val="right"/>
              <w:ind w:right="267"/>
              <w:spacing w:after="0"/>
              <w:rPr>
                <w:sz w:val="20"/>
                <w:szCs w:val="20"/>
                <w:color w:val="auto"/>
              </w:rPr>
            </w:pPr>
            <w:r>
              <w:rPr>
                <w:rFonts w:ascii="Arial" w:cs="Arial" w:eastAsia="Arial" w:hAnsi="Arial"/>
                <w:sz w:val="13"/>
                <w:szCs w:val="13"/>
                <w:b w:val="1"/>
                <w:bCs w:val="1"/>
                <w:color w:val="auto"/>
              </w:rPr>
              <w:t>$</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w:t>
            </w:r>
          </w:p>
        </w:tc>
      </w:tr>
      <w:tr>
        <w:trPr>
          <w:trHeight w:val="22"/>
        </w:trPr>
        <w:tc>
          <w:tcPr>
            <w:tcW w:w="3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4"/>
        </w:trPr>
        <w:tc>
          <w:tcPr>
            <w:tcW w:w="3420" w:type="dxa"/>
            <w:vAlign w:val="bottom"/>
          </w:tcPr>
          <w:p>
            <w:pPr>
              <w:ind w:left="20"/>
              <w:spacing w:after="0"/>
              <w:rPr>
                <w:sz w:val="20"/>
                <w:szCs w:val="20"/>
                <w:color w:val="auto"/>
              </w:rPr>
            </w:pPr>
            <w:r>
              <w:rPr>
                <w:rFonts w:ascii="Arial" w:cs="Arial" w:eastAsia="Arial" w:hAnsi="Arial"/>
                <w:sz w:val="15"/>
                <w:szCs w:val="15"/>
                <w:b w:val="1"/>
                <w:bCs w:val="1"/>
                <w:color w:val="auto"/>
              </w:rPr>
              <w:t>Financial assets</w:t>
            </w:r>
            <w:r>
              <w:rPr>
                <w:rFonts w:ascii="Arial" w:cs="Arial" w:eastAsia="Arial" w:hAnsi="Arial"/>
                <w:sz w:val="19"/>
                <w:szCs w:val="19"/>
                <w:b w:val="1"/>
                <w:bCs w:val="1"/>
                <w:color w:val="auto"/>
                <w:vertAlign w:val="superscript"/>
              </w:rPr>
              <w:t>3</w:t>
            </w:r>
            <w:r>
              <w:rPr>
                <w:rFonts w:ascii="Arial" w:cs="Arial" w:eastAsia="Arial" w:hAnsi="Arial"/>
                <w:sz w:val="15"/>
                <w:szCs w:val="15"/>
                <w:b w:val="1"/>
                <w:bCs w:val="1"/>
                <w:color w:val="auto"/>
              </w:rPr>
              <w:t>:</w:t>
            </w:r>
          </w:p>
        </w:tc>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43"/>
        </w:trPr>
        <w:tc>
          <w:tcPr>
            <w:tcW w:w="3420" w:type="dxa"/>
            <w:vAlign w:val="bottom"/>
          </w:tcPr>
          <w:p>
            <w:pPr>
              <w:ind w:left="20"/>
              <w:spacing w:after="0"/>
              <w:rPr>
                <w:sz w:val="20"/>
                <w:szCs w:val="20"/>
                <w:color w:val="auto"/>
              </w:rPr>
            </w:pPr>
            <w:r>
              <w:rPr>
                <w:rFonts w:ascii="Arial" w:cs="Arial" w:eastAsia="Arial" w:hAnsi="Arial"/>
                <w:sz w:val="15"/>
                <w:szCs w:val="15"/>
                <w:color w:val="auto"/>
              </w:rPr>
              <w:t>Money Markets</w:t>
            </w:r>
            <w:r>
              <w:rPr>
                <w:rFonts w:ascii="Arial" w:cs="Arial" w:eastAsia="Arial" w:hAnsi="Arial"/>
                <w:sz w:val="19"/>
                <w:szCs w:val="19"/>
                <w:color w:val="auto"/>
                <w:vertAlign w:val="superscript"/>
              </w:rPr>
              <w:t>1,2</w:t>
            </w:r>
          </w:p>
        </w:tc>
        <w:tc>
          <w:tcPr>
            <w:tcW w:w="1340" w:type="dxa"/>
            <w:vAlign w:val="bottom"/>
          </w:tcPr>
          <w:p>
            <w:pPr>
              <w:jc w:val="right"/>
              <w:ind w:right="28"/>
              <w:spacing w:after="0"/>
              <w:rPr>
                <w:sz w:val="20"/>
                <w:szCs w:val="20"/>
                <w:color w:val="auto"/>
              </w:rPr>
            </w:pPr>
            <w:r>
              <w:rPr>
                <w:rFonts w:ascii="Arial" w:cs="Arial" w:eastAsia="Arial" w:hAnsi="Arial"/>
                <w:sz w:val="15"/>
                <w:szCs w:val="15"/>
                <w:b w:val="1"/>
                <w:bCs w:val="1"/>
                <w:color w:val="auto"/>
              </w:rPr>
              <w:t>224,361</w:t>
            </w:r>
          </w:p>
        </w:tc>
        <w:tc>
          <w:tcPr>
            <w:tcW w:w="134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1720" w:type="dxa"/>
            <w:vAlign w:val="bottom"/>
          </w:tcPr>
          <w:p>
            <w:pPr>
              <w:jc w:val="right"/>
              <w:ind w:right="408"/>
              <w:spacing w:after="0"/>
              <w:rPr>
                <w:sz w:val="20"/>
                <w:szCs w:val="20"/>
                <w:color w:val="auto"/>
              </w:rPr>
            </w:pPr>
            <w:r>
              <w:rPr>
                <w:rFonts w:ascii="Arial" w:cs="Arial" w:eastAsia="Arial" w:hAnsi="Arial"/>
                <w:sz w:val="15"/>
                <w:szCs w:val="15"/>
                <w:b w:val="1"/>
                <w:bCs w:val="1"/>
                <w:color w:val="auto"/>
              </w:rPr>
              <w:t>224,361</w:t>
            </w:r>
          </w:p>
        </w:tc>
        <w:tc>
          <w:tcPr>
            <w:tcW w:w="1340" w:type="dxa"/>
            <w:vAlign w:val="bottom"/>
          </w:tcPr>
          <w:p>
            <w:pPr>
              <w:ind w:left="58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ind w:right="327"/>
              <w:spacing w:after="0"/>
              <w:rPr>
                <w:sz w:val="20"/>
                <w:szCs w:val="20"/>
                <w:color w:val="auto"/>
              </w:rPr>
            </w:pPr>
            <w:r>
              <w:rPr>
                <w:rFonts w:ascii="Arial" w:cs="Arial" w:eastAsia="Arial" w:hAnsi="Arial"/>
                <w:sz w:val="15"/>
                <w:szCs w:val="15"/>
                <w:b w:val="1"/>
                <w:bCs w:val="1"/>
                <w:color w:val="auto"/>
              </w:rPr>
              <w:t>—</w:t>
            </w:r>
          </w:p>
        </w:tc>
        <w:tc>
          <w:tcPr>
            <w:tcW w:w="980" w:type="dxa"/>
            <w:vAlign w:val="bottom"/>
          </w:tcPr>
          <w:p>
            <w:pPr>
              <w:jc w:val="right"/>
              <w:ind w:right="7"/>
              <w:spacing w:after="0"/>
              <w:rPr>
                <w:sz w:val="20"/>
                <w:szCs w:val="20"/>
                <w:color w:val="auto"/>
              </w:rPr>
            </w:pPr>
            <w:r>
              <w:rPr>
                <w:rFonts w:ascii="Arial" w:cs="Arial" w:eastAsia="Arial" w:hAnsi="Arial"/>
                <w:sz w:val="15"/>
                <w:szCs w:val="15"/>
                <w:b w:val="1"/>
                <w:bCs w:val="1"/>
                <w:color w:val="auto"/>
              </w:rPr>
              <w:t>224,361</w:t>
            </w:r>
          </w:p>
        </w:tc>
      </w:tr>
      <w:tr>
        <w:trPr>
          <w:trHeight w:val="210"/>
        </w:trPr>
        <w:tc>
          <w:tcPr>
            <w:tcW w:w="3420" w:type="dxa"/>
            <w:vAlign w:val="bottom"/>
          </w:tcPr>
          <w:p>
            <w:pPr>
              <w:ind w:left="20"/>
              <w:spacing w:after="0"/>
              <w:rPr>
                <w:sz w:val="20"/>
                <w:szCs w:val="20"/>
                <w:color w:val="auto"/>
              </w:rPr>
            </w:pPr>
            <w:r>
              <w:rPr>
                <w:rFonts w:ascii="Arial" w:cs="Arial" w:eastAsia="Arial" w:hAnsi="Arial"/>
                <w:sz w:val="15"/>
                <w:szCs w:val="15"/>
                <w:color w:val="auto"/>
              </w:rPr>
              <w:t>Investment in notes from associates</w:t>
            </w:r>
          </w:p>
        </w:tc>
        <w:tc>
          <w:tcPr>
            <w:tcW w:w="1340" w:type="dxa"/>
            <w:vAlign w:val="bottom"/>
          </w:tcPr>
          <w:p>
            <w:pPr>
              <w:jc w:val="right"/>
              <w:ind w:right="28"/>
              <w:spacing w:after="0"/>
              <w:rPr>
                <w:sz w:val="20"/>
                <w:szCs w:val="20"/>
                <w:color w:val="auto"/>
              </w:rPr>
            </w:pPr>
            <w:r>
              <w:rPr>
                <w:rFonts w:ascii="Arial" w:cs="Arial" w:eastAsia="Arial" w:hAnsi="Arial"/>
                <w:sz w:val="15"/>
                <w:szCs w:val="15"/>
                <w:b w:val="1"/>
                <w:bCs w:val="1"/>
                <w:color w:val="auto"/>
              </w:rPr>
              <w:t>16,212</w:t>
            </w:r>
          </w:p>
        </w:tc>
        <w:tc>
          <w:tcPr>
            <w:tcW w:w="134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1720" w:type="dxa"/>
            <w:vAlign w:val="bottom"/>
          </w:tcPr>
          <w:p>
            <w:pPr>
              <w:jc w:val="right"/>
              <w:ind w:right="408"/>
              <w:spacing w:after="0"/>
              <w:rPr>
                <w:sz w:val="20"/>
                <w:szCs w:val="20"/>
                <w:color w:val="auto"/>
              </w:rPr>
            </w:pPr>
            <w:r>
              <w:rPr>
                <w:rFonts w:ascii="Arial" w:cs="Arial" w:eastAsia="Arial" w:hAnsi="Arial"/>
                <w:sz w:val="15"/>
                <w:szCs w:val="15"/>
                <w:b w:val="1"/>
                <w:bCs w:val="1"/>
                <w:color w:val="auto"/>
              </w:rPr>
              <w:t>—</w:t>
            </w:r>
          </w:p>
        </w:tc>
        <w:tc>
          <w:tcPr>
            <w:tcW w:w="1340" w:type="dxa"/>
            <w:vAlign w:val="bottom"/>
          </w:tcPr>
          <w:p>
            <w:pPr>
              <w:ind w:left="58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ind w:right="327"/>
              <w:spacing w:after="0"/>
              <w:rPr>
                <w:sz w:val="20"/>
                <w:szCs w:val="20"/>
                <w:color w:val="auto"/>
              </w:rPr>
            </w:pPr>
            <w:r>
              <w:rPr>
                <w:rFonts w:ascii="Arial" w:cs="Arial" w:eastAsia="Arial" w:hAnsi="Arial"/>
                <w:sz w:val="15"/>
                <w:szCs w:val="15"/>
                <w:b w:val="1"/>
                <w:bCs w:val="1"/>
                <w:color w:val="auto"/>
              </w:rPr>
              <w:t>16,212</w:t>
            </w:r>
          </w:p>
        </w:tc>
        <w:tc>
          <w:tcPr>
            <w:tcW w:w="980" w:type="dxa"/>
            <w:vAlign w:val="bottom"/>
          </w:tcPr>
          <w:p>
            <w:pPr>
              <w:jc w:val="right"/>
              <w:ind w:right="7"/>
              <w:spacing w:after="0"/>
              <w:rPr>
                <w:sz w:val="20"/>
                <w:szCs w:val="20"/>
                <w:color w:val="auto"/>
              </w:rPr>
            </w:pPr>
            <w:r>
              <w:rPr>
                <w:rFonts w:ascii="Arial" w:cs="Arial" w:eastAsia="Arial" w:hAnsi="Arial"/>
                <w:sz w:val="15"/>
                <w:szCs w:val="15"/>
                <w:b w:val="1"/>
                <w:bCs w:val="1"/>
                <w:color w:val="auto"/>
              </w:rPr>
              <w:t>16,212</w:t>
            </w:r>
          </w:p>
        </w:tc>
      </w:tr>
      <w:tr>
        <w:trPr>
          <w:trHeight w:val="243"/>
        </w:trPr>
        <w:tc>
          <w:tcPr>
            <w:tcW w:w="3420" w:type="dxa"/>
            <w:vAlign w:val="bottom"/>
          </w:tcPr>
          <w:p>
            <w:pPr>
              <w:ind w:left="20"/>
              <w:spacing w:after="0"/>
              <w:rPr>
                <w:sz w:val="20"/>
                <w:szCs w:val="20"/>
                <w:color w:val="auto"/>
              </w:rPr>
            </w:pPr>
            <w:r>
              <w:rPr>
                <w:rFonts w:ascii="Arial" w:cs="Arial" w:eastAsia="Arial" w:hAnsi="Arial"/>
                <w:sz w:val="15"/>
                <w:szCs w:val="15"/>
                <w:color w:val="auto"/>
              </w:rPr>
              <w:t>Investments held at fair value</w:t>
            </w:r>
          </w:p>
        </w:tc>
        <w:tc>
          <w:tcPr>
            <w:tcW w:w="1340" w:type="dxa"/>
            <w:vAlign w:val="bottom"/>
          </w:tcPr>
          <w:p>
            <w:pPr>
              <w:jc w:val="right"/>
              <w:ind w:right="28"/>
              <w:spacing w:after="0"/>
              <w:rPr>
                <w:sz w:val="20"/>
                <w:szCs w:val="20"/>
                <w:color w:val="auto"/>
              </w:rPr>
            </w:pPr>
            <w:r>
              <w:rPr>
                <w:rFonts w:ascii="Arial" w:cs="Arial" w:eastAsia="Arial" w:hAnsi="Arial"/>
                <w:sz w:val="15"/>
                <w:szCs w:val="15"/>
                <w:b w:val="1"/>
                <w:bCs w:val="1"/>
                <w:color w:val="auto"/>
              </w:rPr>
              <w:t>29,202</w:t>
            </w:r>
          </w:p>
        </w:tc>
        <w:tc>
          <w:tcPr>
            <w:tcW w:w="134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1720" w:type="dxa"/>
            <w:vAlign w:val="bottom"/>
          </w:tcPr>
          <w:p>
            <w:pPr>
              <w:jc w:val="right"/>
              <w:ind w:right="408"/>
              <w:spacing w:after="0"/>
              <w:rPr>
                <w:sz w:val="20"/>
                <w:szCs w:val="20"/>
                <w:color w:val="auto"/>
              </w:rPr>
            </w:pPr>
            <w:r>
              <w:rPr>
                <w:rFonts w:ascii="Arial" w:cs="Arial" w:eastAsia="Arial" w:hAnsi="Arial"/>
                <w:sz w:val="15"/>
                <w:szCs w:val="15"/>
                <w:b w:val="1"/>
                <w:bCs w:val="1"/>
                <w:color w:val="auto"/>
              </w:rPr>
              <w:t>8,126</w:t>
            </w:r>
          </w:p>
        </w:tc>
        <w:tc>
          <w:tcPr>
            <w:tcW w:w="1340" w:type="dxa"/>
            <w:vAlign w:val="bottom"/>
          </w:tcPr>
          <w:p>
            <w:pPr>
              <w:ind w:left="58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ind w:right="327"/>
              <w:spacing w:after="0"/>
              <w:rPr>
                <w:sz w:val="20"/>
                <w:szCs w:val="20"/>
                <w:color w:val="auto"/>
              </w:rPr>
            </w:pPr>
            <w:r>
              <w:rPr>
                <w:rFonts w:ascii="Arial" w:cs="Arial" w:eastAsia="Arial" w:hAnsi="Arial"/>
                <w:sz w:val="15"/>
                <w:szCs w:val="15"/>
                <w:b w:val="1"/>
                <w:bCs w:val="1"/>
                <w:color w:val="auto"/>
              </w:rPr>
              <w:t>21,076</w:t>
            </w:r>
          </w:p>
        </w:tc>
        <w:tc>
          <w:tcPr>
            <w:tcW w:w="980" w:type="dxa"/>
            <w:vAlign w:val="bottom"/>
          </w:tcPr>
          <w:p>
            <w:pPr>
              <w:jc w:val="right"/>
              <w:ind w:right="7"/>
              <w:spacing w:after="0"/>
              <w:rPr>
                <w:sz w:val="20"/>
                <w:szCs w:val="20"/>
                <w:color w:val="auto"/>
              </w:rPr>
            </w:pPr>
            <w:r>
              <w:rPr>
                <w:rFonts w:ascii="Arial" w:cs="Arial" w:eastAsia="Arial" w:hAnsi="Arial"/>
                <w:sz w:val="15"/>
                <w:szCs w:val="15"/>
                <w:b w:val="1"/>
                <w:bCs w:val="1"/>
                <w:color w:val="auto"/>
              </w:rPr>
              <w:t>29,202</w:t>
            </w:r>
          </w:p>
        </w:tc>
      </w:tr>
      <w:tr>
        <w:trPr>
          <w:trHeight w:val="25"/>
        </w:trPr>
        <w:tc>
          <w:tcPr>
            <w:tcW w:w="3420" w:type="dxa"/>
            <w:vAlign w:val="bottom"/>
            <w:tcBorders>
              <w:bottom w:val="single" w:sz="8" w:color="183964"/>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1"/>
        </w:trPr>
        <w:tc>
          <w:tcPr>
            <w:tcW w:w="3420" w:type="dxa"/>
            <w:vAlign w:val="bottom"/>
          </w:tcPr>
          <w:p>
            <w:pPr>
              <w:ind w:left="20"/>
              <w:spacing w:after="0"/>
              <w:rPr>
                <w:sz w:val="20"/>
                <w:szCs w:val="20"/>
                <w:color w:val="auto"/>
              </w:rPr>
            </w:pPr>
            <w:r>
              <w:rPr>
                <w:rFonts w:ascii="Arial" w:cs="Arial" w:eastAsia="Arial" w:hAnsi="Arial"/>
                <w:sz w:val="15"/>
                <w:szCs w:val="15"/>
                <w:b w:val="1"/>
                <w:bCs w:val="1"/>
                <w:color w:val="auto"/>
              </w:rPr>
              <w:t>Total financial assets</w:t>
            </w:r>
          </w:p>
        </w:tc>
        <w:tc>
          <w:tcPr>
            <w:tcW w:w="1340" w:type="dxa"/>
            <w:vAlign w:val="bottom"/>
          </w:tcPr>
          <w:p>
            <w:pPr>
              <w:jc w:val="right"/>
              <w:ind w:right="28"/>
              <w:spacing w:after="0"/>
              <w:rPr>
                <w:sz w:val="20"/>
                <w:szCs w:val="20"/>
                <w:color w:val="auto"/>
              </w:rPr>
            </w:pPr>
            <w:r>
              <w:rPr>
                <w:rFonts w:ascii="Arial" w:cs="Arial" w:eastAsia="Arial" w:hAnsi="Arial"/>
                <w:sz w:val="15"/>
                <w:szCs w:val="15"/>
                <w:b w:val="1"/>
                <w:bCs w:val="1"/>
                <w:color w:val="auto"/>
              </w:rPr>
              <w:t>269,775</w:t>
            </w:r>
          </w:p>
        </w:tc>
        <w:tc>
          <w:tcPr>
            <w:tcW w:w="134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1720" w:type="dxa"/>
            <w:vAlign w:val="bottom"/>
          </w:tcPr>
          <w:p>
            <w:pPr>
              <w:jc w:val="right"/>
              <w:ind w:right="408"/>
              <w:spacing w:after="0"/>
              <w:rPr>
                <w:sz w:val="20"/>
                <w:szCs w:val="20"/>
                <w:color w:val="auto"/>
              </w:rPr>
            </w:pPr>
            <w:r>
              <w:rPr>
                <w:rFonts w:ascii="Arial" w:cs="Arial" w:eastAsia="Arial" w:hAnsi="Arial"/>
                <w:sz w:val="15"/>
                <w:szCs w:val="15"/>
                <w:b w:val="1"/>
                <w:bCs w:val="1"/>
                <w:color w:val="auto"/>
              </w:rPr>
              <w:t>232,487</w:t>
            </w:r>
          </w:p>
        </w:tc>
        <w:tc>
          <w:tcPr>
            <w:tcW w:w="1340" w:type="dxa"/>
            <w:vAlign w:val="bottom"/>
          </w:tcPr>
          <w:p>
            <w:pPr>
              <w:ind w:left="58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ind w:right="327"/>
              <w:spacing w:after="0"/>
              <w:rPr>
                <w:sz w:val="20"/>
                <w:szCs w:val="20"/>
                <w:color w:val="auto"/>
              </w:rPr>
            </w:pPr>
            <w:r>
              <w:rPr>
                <w:rFonts w:ascii="Arial" w:cs="Arial" w:eastAsia="Arial" w:hAnsi="Arial"/>
                <w:sz w:val="15"/>
                <w:szCs w:val="15"/>
                <w:b w:val="1"/>
                <w:bCs w:val="1"/>
                <w:color w:val="auto"/>
              </w:rPr>
              <w:t>37,288</w:t>
            </w:r>
          </w:p>
        </w:tc>
        <w:tc>
          <w:tcPr>
            <w:tcW w:w="980" w:type="dxa"/>
            <w:vAlign w:val="bottom"/>
          </w:tcPr>
          <w:p>
            <w:pPr>
              <w:jc w:val="right"/>
              <w:ind w:right="7"/>
              <w:spacing w:after="0"/>
              <w:rPr>
                <w:sz w:val="20"/>
                <w:szCs w:val="20"/>
                <w:color w:val="auto"/>
              </w:rPr>
            </w:pPr>
            <w:r>
              <w:rPr>
                <w:rFonts w:ascii="Arial" w:cs="Arial" w:eastAsia="Arial" w:hAnsi="Arial"/>
                <w:sz w:val="15"/>
                <w:szCs w:val="15"/>
                <w:b w:val="1"/>
                <w:bCs w:val="1"/>
                <w:color w:val="auto"/>
              </w:rPr>
              <w:t>269,775</w:t>
            </w:r>
          </w:p>
        </w:tc>
      </w:tr>
      <w:tr>
        <w:trPr>
          <w:trHeight w:val="25"/>
        </w:trPr>
        <w:tc>
          <w:tcPr>
            <w:tcW w:w="3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1"/>
        </w:trPr>
        <w:tc>
          <w:tcPr>
            <w:tcW w:w="3420" w:type="dxa"/>
            <w:vAlign w:val="bottom"/>
          </w:tcPr>
          <w:p>
            <w:pPr>
              <w:ind w:left="20"/>
              <w:spacing w:after="0"/>
              <w:rPr>
                <w:sz w:val="20"/>
                <w:szCs w:val="20"/>
                <w:color w:val="auto"/>
              </w:rPr>
            </w:pPr>
            <w:r>
              <w:rPr>
                <w:rFonts w:ascii="Arial" w:cs="Arial" w:eastAsia="Arial" w:hAnsi="Arial"/>
                <w:sz w:val="15"/>
                <w:szCs w:val="15"/>
                <w:b w:val="1"/>
                <w:bCs w:val="1"/>
                <w:color w:val="auto"/>
              </w:rPr>
              <w:t>Financial liabilities:</w:t>
            </w:r>
          </w:p>
        </w:tc>
        <w:tc>
          <w:tcPr>
            <w:tcW w:w="1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43"/>
        </w:trPr>
        <w:tc>
          <w:tcPr>
            <w:tcW w:w="3420" w:type="dxa"/>
            <w:vAlign w:val="bottom"/>
          </w:tcPr>
          <w:p>
            <w:pPr>
              <w:ind w:left="20"/>
              <w:spacing w:after="0"/>
              <w:rPr>
                <w:sz w:val="20"/>
                <w:szCs w:val="20"/>
                <w:color w:val="auto"/>
              </w:rPr>
            </w:pPr>
            <w:r>
              <w:rPr>
                <w:rFonts w:ascii="Arial" w:cs="Arial" w:eastAsia="Arial" w:hAnsi="Arial"/>
                <w:sz w:val="15"/>
                <w:szCs w:val="15"/>
                <w:color w:val="auto"/>
              </w:rPr>
              <w:t>Subsidiary preferred shares</w:t>
            </w:r>
          </w:p>
        </w:tc>
        <w:tc>
          <w:tcPr>
            <w:tcW w:w="1340" w:type="dxa"/>
            <w:vAlign w:val="bottom"/>
          </w:tcPr>
          <w:p>
            <w:pPr>
              <w:jc w:val="right"/>
              <w:ind w:right="28"/>
              <w:spacing w:after="0"/>
              <w:rPr>
                <w:sz w:val="20"/>
                <w:szCs w:val="20"/>
                <w:color w:val="auto"/>
              </w:rPr>
            </w:pPr>
            <w:r>
              <w:rPr>
                <w:rFonts w:ascii="Arial" w:cs="Arial" w:eastAsia="Arial" w:hAnsi="Arial"/>
                <w:sz w:val="15"/>
                <w:szCs w:val="15"/>
                <w:b w:val="1"/>
                <w:bCs w:val="1"/>
                <w:color w:val="auto"/>
              </w:rPr>
              <w:t>—</w:t>
            </w:r>
          </w:p>
        </w:tc>
        <w:tc>
          <w:tcPr>
            <w:tcW w:w="1260" w:type="dxa"/>
            <w:vAlign w:val="bottom"/>
          </w:tcPr>
          <w:p>
            <w:pPr>
              <w:jc w:val="right"/>
              <w:ind w:right="7"/>
              <w:spacing w:after="0"/>
              <w:rPr>
                <w:sz w:val="20"/>
                <w:szCs w:val="20"/>
                <w:color w:val="auto"/>
              </w:rPr>
            </w:pPr>
            <w:r>
              <w:rPr>
                <w:rFonts w:ascii="Arial" w:cs="Arial" w:eastAsia="Arial" w:hAnsi="Arial"/>
                <w:sz w:val="15"/>
                <w:szCs w:val="15"/>
                <w:b w:val="1"/>
                <w:bCs w:val="1"/>
                <w:color w:val="auto"/>
              </w:rPr>
              <w:t>69,882</w:t>
            </w:r>
          </w:p>
        </w:tc>
        <w:tc>
          <w:tcPr>
            <w:tcW w:w="80" w:type="dxa"/>
            <w:vAlign w:val="bottom"/>
          </w:tcPr>
          <w:p>
            <w:pPr>
              <w:spacing w:after="0"/>
              <w:rPr>
                <w:sz w:val="21"/>
                <w:szCs w:val="21"/>
                <w:color w:val="auto"/>
              </w:rPr>
            </w:pPr>
          </w:p>
        </w:tc>
        <w:tc>
          <w:tcPr>
            <w:tcW w:w="1720" w:type="dxa"/>
            <w:vAlign w:val="bottom"/>
          </w:tcPr>
          <w:p>
            <w:pPr>
              <w:jc w:val="right"/>
              <w:ind w:right="408"/>
              <w:spacing w:after="0"/>
              <w:rPr>
                <w:sz w:val="20"/>
                <w:szCs w:val="20"/>
                <w:color w:val="auto"/>
              </w:rPr>
            </w:pPr>
            <w:r>
              <w:rPr>
                <w:rFonts w:ascii="Arial" w:cs="Arial" w:eastAsia="Arial" w:hAnsi="Arial"/>
                <w:sz w:val="15"/>
                <w:szCs w:val="15"/>
                <w:b w:val="1"/>
                <w:bCs w:val="1"/>
                <w:color w:val="auto"/>
              </w:rPr>
              <w:t>—</w:t>
            </w:r>
          </w:p>
        </w:tc>
        <w:tc>
          <w:tcPr>
            <w:tcW w:w="1340" w:type="dxa"/>
            <w:vAlign w:val="bottom"/>
          </w:tcPr>
          <w:p>
            <w:pPr>
              <w:ind w:left="58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ind w:right="327"/>
              <w:spacing w:after="0"/>
              <w:rPr>
                <w:sz w:val="20"/>
                <w:szCs w:val="20"/>
                <w:color w:val="auto"/>
              </w:rPr>
            </w:pPr>
            <w:r>
              <w:rPr>
                <w:rFonts w:ascii="Arial" w:cs="Arial" w:eastAsia="Arial" w:hAnsi="Arial"/>
                <w:sz w:val="15"/>
                <w:szCs w:val="15"/>
                <w:b w:val="1"/>
                <w:bCs w:val="1"/>
                <w:color w:val="auto"/>
              </w:rPr>
              <w:t>69,882</w:t>
            </w:r>
          </w:p>
        </w:tc>
        <w:tc>
          <w:tcPr>
            <w:tcW w:w="980" w:type="dxa"/>
            <w:vAlign w:val="bottom"/>
          </w:tcPr>
          <w:p>
            <w:pPr>
              <w:jc w:val="right"/>
              <w:ind w:right="7"/>
              <w:spacing w:after="0"/>
              <w:rPr>
                <w:sz w:val="20"/>
                <w:szCs w:val="20"/>
                <w:color w:val="auto"/>
              </w:rPr>
            </w:pPr>
            <w:r>
              <w:rPr>
                <w:rFonts w:ascii="Arial" w:cs="Arial" w:eastAsia="Arial" w:hAnsi="Arial"/>
                <w:sz w:val="15"/>
                <w:szCs w:val="15"/>
                <w:b w:val="1"/>
                <w:bCs w:val="1"/>
                <w:color w:val="auto"/>
              </w:rPr>
              <w:t>69,882</w:t>
            </w:r>
          </w:p>
        </w:tc>
      </w:tr>
      <w:tr>
        <w:trPr>
          <w:trHeight w:val="243"/>
        </w:trPr>
        <w:tc>
          <w:tcPr>
            <w:tcW w:w="3420" w:type="dxa"/>
            <w:vAlign w:val="bottom"/>
          </w:tcPr>
          <w:p>
            <w:pPr>
              <w:ind w:left="20"/>
              <w:spacing w:after="0"/>
              <w:rPr>
                <w:sz w:val="20"/>
                <w:szCs w:val="20"/>
                <w:color w:val="auto"/>
              </w:rPr>
            </w:pPr>
            <w:r>
              <w:rPr>
                <w:rFonts w:ascii="Arial" w:cs="Arial" w:eastAsia="Arial" w:hAnsi="Arial"/>
                <w:sz w:val="15"/>
                <w:szCs w:val="15"/>
                <w:color w:val="auto"/>
              </w:rPr>
              <w:t>Share-based liability awards</w:t>
            </w:r>
          </w:p>
        </w:tc>
        <w:tc>
          <w:tcPr>
            <w:tcW w:w="1340" w:type="dxa"/>
            <w:vAlign w:val="bottom"/>
          </w:tcPr>
          <w:p>
            <w:pPr>
              <w:jc w:val="right"/>
              <w:ind w:right="28"/>
              <w:spacing w:after="0"/>
              <w:rPr>
                <w:sz w:val="20"/>
                <w:szCs w:val="20"/>
                <w:color w:val="auto"/>
              </w:rPr>
            </w:pPr>
            <w:r>
              <w:rPr>
                <w:rFonts w:ascii="Arial" w:cs="Arial" w:eastAsia="Arial" w:hAnsi="Arial"/>
                <w:sz w:val="15"/>
                <w:szCs w:val="15"/>
                <w:b w:val="1"/>
                <w:bCs w:val="1"/>
                <w:color w:val="auto"/>
              </w:rPr>
              <w:t>—</w:t>
            </w:r>
          </w:p>
        </w:tc>
        <w:tc>
          <w:tcPr>
            <w:tcW w:w="1260" w:type="dxa"/>
            <w:vAlign w:val="bottom"/>
          </w:tcPr>
          <w:p>
            <w:pPr>
              <w:jc w:val="right"/>
              <w:ind w:right="7"/>
              <w:spacing w:after="0"/>
              <w:rPr>
                <w:sz w:val="20"/>
                <w:szCs w:val="20"/>
                <w:color w:val="auto"/>
              </w:rPr>
            </w:pPr>
            <w:r>
              <w:rPr>
                <w:rFonts w:ascii="Arial" w:cs="Arial" w:eastAsia="Arial" w:hAnsi="Arial"/>
                <w:sz w:val="15"/>
                <w:szCs w:val="15"/>
                <w:b w:val="1"/>
                <w:bCs w:val="1"/>
                <w:color w:val="auto"/>
              </w:rPr>
              <w:t>3,435</w:t>
            </w:r>
          </w:p>
        </w:tc>
        <w:tc>
          <w:tcPr>
            <w:tcW w:w="80" w:type="dxa"/>
            <w:vAlign w:val="bottom"/>
          </w:tcPr>
          <w:p>
            <w:pPr>
              <w:spacing w:after="0"/>
              <w:rPr>
                <w:sz w:val="21"/>
                <w:szCs w:val="21"/>
                <w:color w:val="auto"/>
              </w:rPr>
            </w:pPr>
          </w:p>
        </w:tc>
        <w:tc>
          <w:tcPr>
            <w:tcW w:w="1720" w:type="dxa"/>
            <w:vAlign w:val="bottom"/>
          </w:tcPr>
          <w:p>
            <w:pPr>
              <w:jc w:val="right"/>
              <w:ind w:right="408"/>
              <w:spacing w:after="0"/>
              <w:rPr>
                <w:sz w:val="20"/>
                <w:szCs w:val="20"/>
                <w:color w:val="auto"/>
              </w:rPr>
            </w:pPr>
            <w:r>
              <w:rPr>
                <w:rFonts w:ascii="Arial" w:cs="Arial" w:eastAsia="Arial" w:hAnsi="Arial"/>
                <w:sz w:val="15"/>
                <w:szCs w:val="15"/>
                <w:b w:val="1"/>
                <w:bCs w:val="1"/>
                <w:color w:val="auto"/>
              </w:rPr>
              <w:t>—</w:t>
            </w:r>
          </w:p>
        </w:tc>
        <w:tc>
          <w:tcPr>
            <w:tcW w:w="1340" w:type="dxa"/>
            <w:vAlign w:val="bottom"/>
          </w:tcPr>
          <w:p>
            <w:pPr>
              <w:ind w:left="58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ind w:right="327"/>
              <w:spacing w:after="0"/>
              <w:rPr>
                <w:sz w:val="20"/>
                <w:szCs w:val="20"/>
                <w:color w:val="auto"/>
              </w:rPr>
            </w:pPr>
            <w:r>
              <w:rPr>
                <w:rFonts w:ascii="Arial" w:cs="Arial" w:eastAsia="Arial" w:hAnsi="Arial"/>
                <w:sz w:val="15"/>
                <w:szCs w:val="15"/>
                <w:b w:val="1"/>
                <w:bCs w:val="1"/>
                <w:color w:val="auto"/>
              </w:rPr>
              <w:t>3,435</w:t>
            </w:r>
          </w:p>
        </w:tc>
        <w:tc>
          <w:tcPr>
            <w:tcW w:w="980" w:type="dxa"/>
            <w:vAlign w:val="bottom"/>
          </w:tcPr>
          <w:p>
            <w:pPr>
              <w:jc w:val="right"/>
              <w:ind w:right="7"/>
              <w:spacing w:after="0"/>
              <w:rPr>
                <w:sz w:val="20"/>
                <w:szCs w:val="20"/>
                <w:color w:val="auto"/>
              </w:rPr>
            </w:pPr>
            <w:r>
              <w:rPr>
                <w:rFonts w:ascii="Arial" w:cs="Arial" w:eastAsia="Arial" w:hAnsi="Arial"/>
                <w:sz w:val="15"/>
                <w:szCs w:val="15"/>
                <w:b w:val="1"/>
                <w:bCs w:val="1"/>
                <w:color w:val="auto"/>
              </w:rPr>
              <w:t>3,435</w:t>
            </w:r>
          </w:p>
        </w:tc>
      </w:tr>
      <w:tr>
        <w:trPr>
          <w:trHeight w:val="25"/>
        </w:trPr>
        <w:tc>
          <w:tcPr>
            <w:tcW w:w="3420" w:type="dxa"/>
            <w:vAlign w:val="bottom"/>
            <w:tcBorders>
              <w:bottom w:val="single" w:sz="8" w:color="183964"/>
            </w:tcBorders>
          </w:tcPr>
          <w:p>
            <w:pPr>
              <w:spacing w:after="0"/>
              <w:rPr>
                <w:sz w:val="2"/>
                <w:szCs w:val="2"/>
                <w:color w:val="auto"/>
              </w:rPr>
            </w:pPr>
          </w:p>
        </w:tc>
        <w:tc>
          <w:tcPr>
            <w:tcW w:w="1340" w:type="dxa"/>
            <w:vAlign w:val="bottom"/>
            <w:tcBorders>
              <w:bottom w:val="single" w:sz="8" w:color="183964"/>
            </w:tcBorders>
          </w:tcPr>
          <w:p>
            <w:pPr>
              <w:spacing w:after="0"/>
              <w:rPr>
                <w:sz w:val="2"/>
                <w:szCs w:val="2"/>
                <w:color w:val="auto"/>
              </w:rPr>
            </w:pPr>
          </w:p>
        </w:tc>
        <w:tc>
          <w:tcPr>
            <w:tcW w:w="1260" w:type="dxa"/>
            <w:vAlign w:val="bottom"/>
            <w:tcBorders>
              <w:bottom w:val="single" w:sz="8" w:color="183964"/>
            </w:tcBorders>
          </w:tcPr>
          <w:p>
            <w:pPr>
              <w:spacing w:after="0"/>
              <w:rPr>
                <w:sz w:val="2"/>
                <w:szCs w:val="2"/>
                <w:color w:val="auto"/>
              </w:rPr>
            </w:pPr>
          </w:p>
        </w:tc>
        <w:tc>
          <w:tcPr>
            <w:tcW w:w="80" w:type="dxa"/>
            <w:vAlign w:val="bottom"/>
            <w:tcBorders>
              <w:bottom w:val="single" w:sz="8" w:color="183964"/>
            </w:tcBorders>
          </w:tcPr>
          <w:p>
            <w:pPr>
              <w:spacing w:after="0"/>
              <w:rPr>
                <w:sz w:val="2"/>
                <w:szCs w:val="2"/>
                <w:color w:val="auto"/>
              </w:rPr>
            </w:pPr>
          </w:p>
        </w:tc>
        <w:tc>
          <w:tcPr>
            <w:tcW w:w="1720" w:type="dxa"/>
            <w:vAlign w:val="bottom"/>
            <w:tcBorders>
              <w:bottom w:val="single" w:sz="8" w:color="183964"/>
            </w:tcBorders>
          </w:tcPr>
          <w:p>
            <w:pPr>
              <w:spacing w:after="0"/>
              <w:rPr>
                <w:sz w:val="2"/>
                <w:szCs w:val="2"/>
                <w:color w:val="auto"/>
              </w:rPr>
            </w:pPr>
          </w:p>
        </w:tc>
        <w:tc>
          <w:tcPr>
            <w:tcW w:w="1340" w:type="dxa"/>
            <w:vAlign w:val="bottom"/>
            <w:tcBorders>
              <w:bottom w:val="single" w:sz="8" w:color="183964"/>
            </w:tcBorders>
          </w:tcPr>
          <w:p>
            <w:pPr>
              <w:spacing w:after="0"/>
              <w:rPr>
                <w:sz w:val="2"/>
                <w:szCs w:val="2"/>
                <w:color w:val="auto"/>
              </w:rPr>
            </w:pPr>
          </w:p>
        </w:tc>
        <w:tc>
          <w:tcPr>
            <w:tcW w:w="1080" w:type="dxa"/>
            <w:vAlign w:val="bottom"/>
            <w:tcBorders>
              <w:bottom w:val="single" w:sz="8" w:color="183964"/>
            </w:tcBorders>
          </w:tcPr>
          <w:p>
            <w:pPr>
              <w:spacing w:after="0"/>
              <w:rPr>
                <w:sz w:val="2"/>
                <w:szCs w:val="2"/>
                <w:color w:val="auto"/>
              </w:rPr>
            </w:pPr>
          </w:p>
        </w:tc>
        <w:tc>
          <w:tcPr>
            <w:tcW w:w="980" w:type="dxa"/>
            <w:vAlign w:val="bottom"/>
            <w:tcBorders>
              <w:bottom w:val="single" w:sz="8" w:color="183964"/>
            </w:tcBorders>
          </w:tcPr>
          <w:p>
            <w:pPr>
              <w:spacing w:after="0"/>
              <w:rPr>
                <w:sz w:val="2"/>
                <w:szCs w:val="2"/>
                <w:color w:val="auto"/>
              </w:rPr>
            </w:pPr>
          </w:p>
        </w:tc>
      </w:tr>
      <w:tr>
        <w:trPr>
          <w:trHeight w:val="211"/>
        </w:trPr>
        <w:tc>
          <w:tcPr>
            <w:tcW w:w="3420" w:type="dxa"/>
            <w:vAlign w:val="bottom"/>
          </w:tcPr>
          <w:p>
            <w:pPr>
              <w:ind w:left="20"/>
              <w:spacing w:after="0"/>
              <w:rPr>
                <w:sz w:val="20"/>
                <w:szCs w:val="20"/>
                <w:color w:val="auto"/>
              </w:rPr>
            </w:pPr>
            <w:r>
              <w:rPr>
                <w:rFonts w:ascii="Arial" w:cs="Arial" w:eastAsia="Arial" w:hAnsi="Arial"/>
                <w:sz w:val="15"/>
                <w:szCs w:val="15"/>
                <w:b w:val="1"/>
                <w:bCs w:val="1"/>
                <w:color w:val="auto"/>
              </w:rPr>
              <w:t>Total financial liabilities</w:t>
            </w:r>
          </w:p>
        </w:tc>
        <w:tc>
          <w:tcPr>
            <w:tcW w:w="1340" w:type="dxa"/>
            <w:vAlign w:val="bottom"/>
          </w:tcPr>
          <w:p>
            <w:pPr>
              <w:jc w:val="right"/>
              <w:ind w:right="28"/>
              <w:spacing w:after="0"/>
              <w:rPr>
                <w:sz w:val="20"/>
                <w:szCs w:val="20"/>
                <w:color w:val="auto"/>
              </w:rPr>
            </w:pPr>
            <w:r>
              <w:rPr>
                <w:rFonts w:ascii="Arial" w:cs="Arial" w:eastAsia="Arial" w:hAnsi="Arial"/>
                <w:sz w:val="15"/>
                <w:szCs w:val="15"/>
                <w:b w:val="1"/>
                <w:bCs w:val="1"/>
                <w:color w:val="auto"/>
              </w:rPr>
              <w:t>—</w:t>
            </w:r>
          </w:p>
        </w:tc>
        <w:tc>
          <w:tcPr>
            <w:tcW w:w="1260" w:type="dxa"/>
            <w:vAlign w:val="bottom"/>
          </w:tcPr>
          <w:p>
            <w:pPr>
              <w:jc w:val="right"/>
              <w:ind w:right="7"/>
              <w:spacing w:after="0"/>
              <w:rPr>
                <w:sz w:val="20"/>
                <w:szCs w:val="20"/>
                <w:color w:val="auto"/>
              </w:rPr>
            </w:pPr>
            <w:r>
              <w:rPr>
                <w:rFonts w:ascii="Arial" w:cs="Arial" w:eastAsia="Arial" w:hAnsi="Arial"/>
                <w:sz w:val="15"/>
                <w:szCs w:val="15"/>
                <w:b w:val="1"/>
                <w:bCs w:val="1"/>
                <w:color w:val="auto"/>
              </w:rPr>
              <w:t>73,317</w:t>
            </w:r>
          </w:p>
        </w:tc>
        <w:tc>
          <w:tcPr>
            <w:tcW w:w="80" w:type="dxa"/>
            <w:vAlign w:val="bottom"/>
          </w:tcPr>
          <w:p>
            <w:pPr>
              <w:spacing w:after="0"/>
              <w:rPr>
                <w:sz w:val="18"/>
                <w:szCs w:val="18"/>
                <w:color w:val="auto"/>
              </w:rPr>
            </w:pPr>
          </w:p>
        </w:tc>
        <w:tc>
          <w:tcPr>
            <w:tcW w:w="1720" w:type="dxa"/>
            <w:vAlign w:val="bottom"/>
          </w:tcPr>
          <w:p>
            <w:pPr>
              <w:jc w:val="right"/>
              <w:ind w:right="408"/>
              <w:spacing w:after="0"/>
              <w:rPr>
                <w:sz w:val="20"/>
                <w:szCs w:val="20"/>
                <w:color w:val="auto"/>
              </w:rPr>
            </w:pPr>
            <w:r>
              <w:rPr>
                <w:rFonts w:ascii="Arial" w:cs="Arial" w:eastAsia="Arial" w:hAnsi="Arial"/>
                <w:sz w:val="15"/>
                <w:szCs w:val="15"/>
                <w:b w:val="1"/>
                <w:bCs w:val="1"/>
                <w:color w:val="auto"/>
              </w:rPr>
              <w:t>—</w:t>
            </w:r>
          </w:p>
        </w:tc>
        <w:tc>
          <w:tcPr>
            <w:tcW w:w="1340" w:type="dxa"/>
            <w:vAlign w:val="bottom"/>
          </w:tcPr>
          <w:p>
            <w:pPr>
              <w:ind w:left="58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ind w:right="327"/>
              <w:spacing w:after="0"/>
              <w:rPr>
                <w:sz w:val="20"/>
                <w:szCs w:val="20"/>
                <w:color w:val="auto"/>
              </w:rPr>
            </w:pPr>
            <w:r>
              <w:rPr>
                <w:rFonts w:ascii="Arial" w:cs="Arial" w:eastAsia="Arial" w:hAnsi="Arial"/>
                <w:sz w:val="15"/>
                <w:szCs w:val="15"/>
                <w:b w:val="1"/>
                <w:bCs w:val="1"/>
                <w:color w:val="auto"/>
              </w:rPr>
              <w:t>73,317</w:t>
            </w:r>
          </w:p>
        </w:tc>
        <w:tc>
          <w:tcPr>
            <w:tcW w:w="980" w:type="dxa"/>
            <w:vAlign w:val="bottom"/>
          </w:tcPr>
          <w:p>
            <w:pPr>
              <w:jc w:val="right"/>
              <w:ind w:right="7"/>
              <w:spacing w:after="0"/>
              <w:rPr>
                <w:sz w:val="20"/>
                <w:szCs w:val="20"/>
                <w:color w:val="auto"/>
              </w:rPr>
            </w:pPr>
            <w:r>
              <w:rPr>
                <w:rFonts w:ascii="Arial" w:cs="Arial" w:eastAsia="Arial" w:hAnsi="Arial"/>
                <w:sz w:val="15"/>
                <w:szCs w:val="15"/>
                <w:b w:val="1"/>
                <w:bCs w:val="1"/>
                <w:color w:val="auto"/>
              </w:rPr>
              <w:t>73,317</w:t>
            </w:r>
          </w:p>
        </w:tc>
      </w:tr>
      <w:tr>
        <w:trPr>
          <w:trHeight w:val="25"/>
        </w:trPr>
        <w:tc>
          <w:tcPr>
            <w:tcW w:w="3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176" w:lineRule="exact"/>
        <w:rPr>
          <w:sz w:val="20"/>
          <w:szCs w:val="20"/>
          <w:color w:val="auto"/>
        </w:rPr>
      </w:pPr>
    </w:p>
    <w:p>
      <w:pPr>
        <w:ind w:left="180" w:hanging="172"/>
        <w:spacing w:after="0"/>
        <w:tabs>
          <w:tab w:leader="none" w:pos="180" w:val="left"/>
        </w:tabs>
        <w:numPr>
          <w:ilvl w:val="0"/>
          <w:numId w:val="28"/>
        </w:numPr>
        <w:rPr>
          <w:rFonts w:ascii="Arial" w:cs="Arial" w:eastAsia="Arial" w:hAnsi="Arial"/>
          <w:sz w:val="11"/>
          <w:szCs w:val="11"/>
          <w:color w:val="183964"/>
        </w:rPr>
      </w:pPr>
      <w:r>
        <w:rPr>
          <w:rFonts w:ascii="Arial" w:cs="Arial" w:eastAsia="Arial" w:hAnsi="Arial"/>
          <w:sz w:val="11"/>
          <w:szCs w:val="11"/>
          <w:color w:val="183964"/>
        </w:rPr>
        <w:t>Issued by a diverse group of corporations, largely consisting of financial institutions, virtually all of which are investment grade.</w:t>
      </w:r>
    </w:p>
    <w:p>
      <w:pPr>
        <w:spacing w:after="0" w:line="35" w:lineRule="exact"/>
        <w:rPr>
          <w:rFonts w:ascii="Arial" w:cs="Arial" w:eastAsia="Arial" w:hAnsi="Arial"/>
          <w:sz w:val="11"/>
          <w:szCs w:val="11"/>
          <w:color w:val="183964"/>
        </w:rPr>
      </w:pPr>
    </w:p>
    <w:p>
      <w:pPr>
        <w:spacing w:after="0"/>
        <w:rPr>
          <w:rFonts w:ascii="Arial" w:cs="Arial" w:eastAsia="Arial" w:hAnsi="Arial"/>
          <w:sz w:val="11"/>
          <w:szCs w:val="11"/>
          <w:color w:val="183964"/>
        </w:rPr>
      </w:pPr>
      <w:r>
        <w:rPr>
          <w:rFonts w:ascii="Arial" w:cs="Arial" w:eastAsia="Arial" w:hAnsi="Arial"/>
          <w:sz w:val="11"/>
          <w:szCs w:val="11"/>
          <w:color w:val="183964"/>
        </w:rPr>
        <w:t>2  Included within cash and cash equivalents.</w:t>
      </w:r>
    </w:p>
    <w:p>
      <w:pPr>
        <w:spacing w:after="0" w:line="36" w:lineRule="exact"/>
        <w:rPr>
          <w:sz w:val="20"/>
          <w:szCs w:val="20"/>
          <w:color w:val="auto"/>
        </w:rPr>
      </w:pPr>
    </w:p>
    <w:p>
      <w:pPr>
        <w:ind w:left="220" w:hanging="212"/>
        <w:spacing w:after="0"/>
        <w:tabs>
          <w:tab w:leader="none" w:pos="220" w:val="left"/>
        </w:tabs>
        <w:numPr>
          <w:ilvl w:val="0"/>
          <w:numId w:val="29"/>
        </w:numPr>
        <w:rPr>
          <w:rFonts w:ascii="Arial" w:cs="Arial" w:eastAsia="Arial" w:hAnsi="Arial"/>
          <w:sz w:val="11"/>
          <w:szCs w:val="11"/>
          <w:color w:val="183964"/>
        </w:rPr>
      </w:pPr>
      <w:r>
        <w:rPr>
          <w:rFonts w:ascii="Arial" w:cs="Arial" w:eastAsia="Arial" w:hAnsi="Arial"/>
          <w:sz w:val="11"/>
          <w:szCs w:val="11"/>
          <w:color w:val="183964"/>
        </w:rPr>
        <w:t xml:space="preserve">Excluded from the table above are short-term investments of </w:t>
      </w:r>
      <w:r>
        <w:rPr>
          <w:rFonts w:ascii="Arial" w:cs="Arial" w:eastAsia="Arial" w:hAnsi="Arial"/>
          <w:sz w:val="11"/>
          <w:szCs w:val="11"/>
          <w:color w:val="000000"/>
        </w:rPr>
        <w:t>$191,938</w:t>
      </w:r>
      <w:r>
        <w:rPr>
          <w:rFonts w:ascii="Arial" w:cs="Arial" w:eastAsia="Arial" w:hAnsi="Arial"/>
          <w:sz w:val="11"/>
          <w:szCs w:val="11"/>
          <w:color w:val="183964"/>
        </w:rPr>
        <w:t xml:space="preserve"> that are classified at amortized cost as of June 30, 2024. The cost of these short-term investments approximates current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952500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6" w:right="359" w:bottom="1440" w:gutter="0" w:footer="0" w:header="0"/>
        </w:sectPr>
      </w:pPr>
    </w:p>
    <w:bookmarkStart w:id="38" w:name="page39"/>
    <w:bookmarkEnd w:id="38"/>
    <w:p>
      <w:pPr>
        <w:ind w:right="480"/>
        <w:spacing w:after="0" w:line="283" w:lineRule="auto"/>
        <w:rPr>
          <w:sz w:val="20"/>
          <w:szCs w:val="20"/>
          <w:color w:val="auto"/>
        </w:rPr>
      </w:pPr>
      <w:r>
        <w:rPr>
          <w:rFonts w:ascii="Arial" w:cs="Arial" w:eastAsia="Arial" w:hAnsi="Arial"/>
          <w:sz w:val="15"/>
          <w:szCs w:val="15"/>
          <w:color w:val="auto"/>
        </w:rPr>
        <w:t>The Group has a number of financial instruments that are not measured at fair value in the Condensed Consolidated Statement of Financial Position. For these instruments the fair values are not materially different from their carrying amounts.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tcPr>
          <w:p>
            <w:pPr>
              <w:jc w:val="right"/>
              <w:ind w:right="308"/>
              <w:spacing w:after="0"/>
              <w:rPr>
                <w:sz w:val="20"/>
                <w:szCs w:val="20"/>
                <w:color w:val="auto"/>
              </w:rPr>
            </w:pPr>
            <w:r>
              <w:rPr>
                <w:rFonts w:ascii="Arial" w:cs="Arial" w:eastAsia="Arial" w:hAnsi="Arial"/>
                <w:sz w:val="13"/>
                <w:szCs w:val="13"/>
                <w:color w:val="183964"/>
              </w:rPr>
              <w:t>2023</w:t>
            </w:r>
          </w:p>
        </w:tc>
        <w:tc>
          <w:tcPr>
            <w:tcW w:w="1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8"/>
        </w:trPr>
        <w:tc>
          <w:tcPr>
            <w:tcW w:w="3340" w:type="dxa"/>
            <w:vAlign w:val="bottom"/>
          </w:tcPr>
          <w:p>
            <w:pPr>
              <w:spacing w:after="0"/>
              <w:rPr>
                <w:sz w:val="2"/>
                <w:szCs w:val="2"/>
                <w:color w:val="auto"/>
              </w:rPr>
            </w:pPr>
          </w:p>
        </w:tc>
        <w:tc>
          <w:tcPr>
            <w:tcW w:w="2680" w:type="dxa"/>
            <w:vAlign w:val="bottom"/>
            <w:tcBorders>
              <w:bottom w:val="single" w:sz="8" w:color="auto"/>
            </w:tcBorders>
            <w:gridSpan w:val="3"/>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371"/>
        </w:trPr>
        <w:tc>
          <w:tcPr>
            <w:tcW w:w="3340" w:type="dxa"/>
            <w:vAlign w:val="bottom"/>
          </w:tcPr>
          <w:p>
            <w:pPr>
              <w:spacing w:after="0"/>
              <w:rPr>
                <w:sz w:val="24"/>
                <w:szCs w:val="24"/>
                <w:color w:val="auto"/>
              </w:rPr>
            </w:pPr>
          </w:p>
        </w:tc>
        <w:tc>
          <w:tcPr>
            <w:tcW w:w="2680" w:type="dxa"/>
            <w:vAlign w:val="bottom"/>
            <w:gridSpan w:val="3"/>
          </w:tcPr>
          <w:p>
            <w:pPr>
              <w:ind w:left="820"/>
              <w:spacing w:after="0"/>
              <w:rPr>
                <w:sz w:val="20"/>
                <w:szCs w:val="20"/>
                <w:color w:val="auto"/>
              </w:rPr>
            </w:pPr>
            <w:r>
              <w:rPr>
                <w:rFonts w:ascii="Arial" w:cs="Arial" w:eastAsia="Arial" w:hAnsi="Arial"/>
                <w:sz w:val="13"/>
                <w:szCs w:val="13"/>
                <w:color w:val="183964"/>
              </w:rPr>
              <w:t>Carrying Amount</w:t>
            </w:r>
          </w:p>
        </w:tc>
        <w:tc>
          <w:tcPr>
            <w:tcW w:w="1780" w:type="dxa"/>
            <w:vAlign w:val="bottom"/>
          </w:tcPr>
          <w:p>
            <w:pPr>
              <w:spacing w:after="0"/>
              <w:rPr>
                <w:sz w:val="24"/>
                <w:szCs w:val="24"/>
                <w:color w:val="auto"/>
              </w:rPr>
            </w:pPr>
          </w:p>
        </w:tc>
        <w:tc>
          <w:tcPr>
            <w:tcW w:w="1340" w:type="dxa"/>
            <w:vAlign w:val="bottom"/>
          </w:tcPr>
          <w:p>
            <w:pPr>
              <w:ind w:left="540"/>
              <w:spacing w:after="0"/>
              <w:rPr>
                <w:sz w:val="20"/>
                <w:szCs w:val="20"/>
                <w:color w:val="auto"/>
              </w:rPr>
            </w:pPr>
            <w:r>
              <w:rPr>
                <w:rFonts w:ascii="Arial" w:cs="Arial" w:eastAsia="Arial" w:hAnsi="Arial"/>
                <w:sz w:val="13"/>
                <w:szCs w:val="13"/>
                <w:color w:val="183964"/>
              </w:rPr>
              <w:t>Fair Value</w:t>
            </w: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8"/>
        </w:trPr>
        <w:tc>
          <w:tcPr>
            <w:tcW w:w="33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65"/>
        </w:trPr>
        <w:tc>
          <w:tcPr>
            <w:tcW w:w="3340" w:type="dxa"/>
            <w:vAlign w:val="bottom"/>
          </w:tcPr>
          <w:p>
            <w:pPr>
              <w:spacing w:after="0"/>
              <w:rPr>
                <w:sz w:val="14"/>
                <w:szCs w:val="14"/>
                <w:color w:val="auto"/>
              </w:rPr>
            </w:pPr>
          </w:p>
        </w:tc>
        <w:tc>
          <w:tcPr>
            <w:tcW w:w="1400" w:type="dxa"/>
            <w:vAlign w:val="bottom"/>
          </w:tcPr>
          <w:p>
            <w:pPr>
              <w:jc w:val="right"/>
              <w:ind w:right="48"/>
              <w:spacing w:after="0"/>
              <w:rPr>
                <w:sz w:val="20"/>
                <w:szCs w:val="20"/>
                <w:color w:val="auto"/>
              </w:rPr>
            </w:pPr>
            <w:r>
              <w:rPr>
                <w:rFonts w:ascii="Arial" w:cs="Arial" w:eastAsia="Arial" w:hAnsi="Arial"/>
                <w:sz w:val="13"/>
                <w:szCs w:val="13"/>
                <w:color w:val="183964"/>
              </w:rPr>
              <w:t>Financial Assets</w:t>
            </w:r>
          </w:p>
        </w:tc>
        <w:tc>
          <w:tcPr>
            <w:tcW w:w="1280" w:type="dxa"/>
            <w:vAlign w:val="bottom"/>
            <w:gridSpan w:val="2"/>
          </w:tcPr>
          <w:p>
            <w:pPr>
              <w:jc w:val="right"/>
              <w:ind w:right="100"/>
              <w:spacing w:after="0"/>
              <w:rPr>
                <w:sz w:val="20"/>
                <w:szCs w:val="20"/>
                <w:color w:val="auto"/>
              </w:rPr>
            </w:pPr>
            <w:r>
              <w:rPr>
                <w:rFonts w:ascii="Arial" w:cs="Arial" w:eastAsia="Arial" w:hAnsi="Arial"/>
                <w:sz w:val="13"/>
                <w:szCs w:val="13"/>
                <w:color w:val="183964"/>
              </w:rPr>
              <w:t>Financial Liabilities</w:t>
            </w:r>
          </w:p>
        </w:tc>
        <w:tc>
          <w:tcPr>
            <w:tcW w:w="1780" w:type="dxa"/>
            <w:vAlign w:val="bottom"/>
          </w:tcPr>
          <w:p>
            <w:pPr>
              <w:jc w:val="right"/>
              <w:ind w:right="428"/>
              <w:spacing w:after="0"/>
              <w:rPr>
                <w:sz w:val="20"/>
                <w:szCs w:val="20"/>
                <w:color w:val="auto"/>
              </w:rPr>
            </w:pPr>
            <w:r>
              <w:rPr>
                <w:rFonts w:ascii="Arial" w:cs="Arial" w:eastAsia="Arial" w:hAnsi="Arial"/>
                <w:sz w:val="13"/>
                <w:szCs w:val="13"/>
                <w:color w:val="183964"/>
              </w:rPr>
              <w:t>Level 1</w:t>
            </w:r>
          </w:p>
        </w:tc>
        <w:tc>
          <w:tcPr>
            <w:tcW w:w="1340" w:type="dxa"/>
            <w:vAlign w:val="bottom"/>
          </w:tcPr>
          <w:p>
            <w:pPr>
              <w:jc w:val="right"/>
              <w:ind w:right="468"/>
              <w:spacing w:after="0"/>
              <w:rPr>
                <w:sz w:val="20"/>
                <w:szCs w:val="20"/>
                <w:color w:val="auto"/>
              </w:rPr>
            </w:pPr>
            <w:r>
              <w:rPr>
                <w:rFonts w:ascii="Arial" w:cs="Arial" w:eastAsia="Arial" w:hAnsi="Arial"/>
                <w:sz w:val="13"/>
                <w:szCs w:val="13"/>
                <w:color w:val="183964"/>
              </w:rPr>
              <w:t>Level 2</w:t>
            </w:r>
          </w:p>
        </w:tc>
        <w:tc>
          <w:tcPr>
            <w:tcW w:w="1100" w:type="dxa"/>
            <w:vAlign w:val="bottom"/>
          </w:tcPr>
          <w:p>
            <w:pPr>
              <w:jc w:val="right"/>
              <w:ind w:right="267"/>
              <w:spacing w:after="0"/>
              <w:rPr>
                <w:sz w:val="20"/>
                <w:szCs w:val="20"/>
                <w:color w:val="auto"/>
              </w:rPr>
            </w:pPr>
            <w:r>
              <w:rPr>
                <w:rFonts w:ascii="Arial" w:cs="Arial" w:eastAsia="Arial" w:hAnsi="Arial"/>
                <w:sz w:val="13"/>
                <w:szCs w:val="13"/>
                <w:color w:val="183964"/>
              </w:rPr>
              <w:t>Level 3</w:t>
            </w:r>
          </w:p>
        </w:tc>
        <w:tc>
          <w:tcPr>
            <w:tcW w:w="980" w:type="dxa"/>
            <w:vAlign w:val="bottom"/>
          </w:tcPr>
          <w:p>
            <w:pPr>
              <w:jc w:val="right"/>
              <w:spacing w:after="0"/>
              <w:rPr>
                <w:sz w:val="20"/>
                <w:szCs w:val="20"/>
                <w:color w:val="auto"/>
              </w:rPr>
            </w:pPr>
            <w:r>
              <w:rPr>
                <w:rFonts w:ascii="Arial" w:cs="Arial" w:eastAsia="Arial" w:hAnsi="Arial"/>
                <w:sz w:val="13"/>
                <w:szCs w:val="13"/>
                <w:color w:val="183964"/>
              </w:rPr>
              <w:t>Total</w:t>
            </w:r>
          </w:p>
        </w:tc>
      </w:tr>
      <w:tr>
        <w:trPr>
          <w:trHeight w:val="173"/>
        </w:trPr>
        <w:tc>
          <w:tcPr>
            <w:tcW w:w="33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3"/>
                <w:szCs w:val="13"/>
                <w:color w:val="18396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183964"/>
              </w:rPr>
              <w:t>$</w:t>
            </w:r>
          </w:p>
        </w:tc>
        <w:tc>
          <w:tcPr>
            <w:tcW w:w="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428"/>
              <w:spacing w:after="0"/>
              <w:rPr>
                <w:sz w:val="20"/>
                <w:szCs w:val="20"/>
                <w:color w:val="auto"/>
              </w:rPr>
            </w:pPr>
            <w:r>
              <w:rPr>
                <w:rFonts w:ascii="Arial" w:cs="Arial" w:eastAsia="Arial" w:hAnsi="Arial"/>
                <w:sz w:val="13"/>
                <w:szCs w:val="13"/>
                <w:color w:val="183964"/>
              </w:rPr>
              <w:t>$</w:t>
            </w:r>
          </w:p>
        </w:tc>
        <w:tc>
          <w:tcPr>
            <w:tcW w:w="1340" w:type="dxa"/>
            <w:vAlign w:val="bottom"/>
            <w:tcBorders>
              <w:bottom w:val="single" w:sz="8" w:color="auto"/>
            </w:tcBorders>
          </w:tcPr>
          <w:p>
            <w:pPr>
              <w:jc w:val="right"/>
              <w:ind w:right="468"/>
              <w:spacing w:after="0"/>
              <w:rPr>
                <w:sz w:val="20"/>
                <w:szCs w:val="20"/>
                <w:color w:val="auto"/>
              </w:rPr>
            </w:pPr>
            <w:r>
              <w:rPr>
                <w:rFonts w:ascii="Arial" w:cs="Arial" w:eastAsia="Arial" w:hAnsi="Arial"/>
                <w:sz w:val="13"/>
                <w:szCs w:val="13"/>
                <w:color w:val="183964"/>
              </w:rPr>
              <w:t>$</w:t>
            </w:r>
          </w:p>
        </w:tc>
        <w:tc>
          <w:tcPr>
            <w:tcW w:w="1100" w:type="dxa"/>
            <w:vAlign w:val="bottom"/>
            <w:tcBorders>
              <w:bottom w:val="single" w:sz="8" w:color="auto"/>
            </w:tcBorders>
          </w:tcPr>
          <w:p>
            <w:pPr>
              <w:jc w:val="right"/>
              <w:ind w:right="267"/>
              <w:spacing w:after="0"/>
              <w:rPr>
                <w:sz w:val="20"/>
                <w:szCs w:val="20"/>
                <w:color w:val="auto"/>
              </w:rPr>
            </w:pPr>
            <w:r>
              <w:rPr>
                <w:rFonts w:ascii="Arial" w:cs="Arial" w:eastAsia="Arial" w:hAnsi="Arial"/>
                <w:sz w:val="13"/>
                <w:szCs w:val="13"/>
                <w:color w:val="18396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183964"/>
              </w:rPr>
              <w:t>$</w:t>
            </w:r>
          </w:p>
        </w:tc>
      </w:tr>
      <w:tr>
        <w:trPr>
          <w:trHeight w:val="251"/>
        </w:trPr>
        <w:tc>
          <w:tcPr>
            <w:tcW w:w="3340" w:type="dxa"/>
            <w:vAlign w:val="bottom"/>
          </w:tcPr>
          <w:p>
            <w:pPr>
              <w:ind w:left="20"/>
              <w:spacing w:after="0"/>
              <w:rPr>
                <w:sz w:val="20"/>
                <w:szCs w:val="20"/>
                <w:color w:val="auto"/>
              </w:rPr>
            </w:pPr>
            <w:r>
              <w:rPr>
                <w:rFonts w:ascii="Arial" w:cs="Arial" w:eastAsia="Arial" w:hAnsi="Arial"/>
                <w:sz w:val="15"/>
                <w:szCs w:val="15"/>
                <w:color w:val="auto"/>
              </w:rPr>
              <w:t>Financial assets</w:t>
            </w:r>
            <w:r>
              <w:rPr>
                <w:rFonts w:ascii="Arial" w:cs="Arial" w:eastAsia="Arial" w:hAnsi="Arial"/>
                <w:sz w:val="19"/>
                <w:szCs w:val="19"/>
                <w:color w:val="auto"/>
                <w:vertAlign w:val="superscript"/>
              </w:rPr>
              <w:t>3</w:t>
            </w:r>
            <w:r>
              <w:rPr>
                <w:rFonts w:ascii="Arial" w:cs="Arial" w:eastAsia="Arial" w:hAnsi="Arial"/>
                <w:sz w:val="15"/>
                <w:szCs w:val="15"/>
                <w:color w:val="auto"/>
              </w:rPr>
              <w:t>:</w:t>
            </w:r>
          </w:p>
        </w:tc>
        <w:tc>
          <w:tcPr>
            <w:tcW w:w="1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44"/>
        </w:trPr>
        <w:tc>
          <w:tcPr>
            <w:tcW w:w="3340" w:type="dxa"/>
            <w:vAlign w:val="bottom"/>
          </w:tcPr>
          <w:p>
            <w:pPr>
              <w:ind w:left="20"/>
              <w:spacing w:after="0"/>
              <w:rPr>
                <w:sz w:val="20"/>
                <w:szCs w:val="20"/>
                <w:color w:val="auto"/>
              </w:rPr>
            </w:pPr>
            <w:r>
              <w:rPr>
                <w:rFonts w:ascii="Arial" w:cs="Arial" w:eastAsia="Arial" w:hAnsi="Arial"/>
                <w:sz w:val="15"/>
                <w:szCs w:val="15"/>
                <w:color w:val="auto"/>
              </w:rPr>
              <w:t>Money Markets</w:t>
            </w:r>
            <w:r>
              <w:rPr>
                <w:rFonts w:ascii="Arial" w:cs="Arial" w:eastAsia="Arial" w:hAnsi="Arial"/>
                <w:sz w:val="19"/>
                <w:szCs w:val="19"/>
                <w:color w:val="auto"/>
                <w:vertAlign w:val="superscript"/>
              </w:rPr>
              <w:t>1,2</w:t>
            </w:r>
          </w:p>
        </w:tc>
        <w:tc>
          <w:tcPr>
            <w:tcW w:w="1400" w:type="dxa"/>
            <w:vAlign w:val="bottom"/>
          </w:tcPr>
          <w:p>
            <w:pPr>
              <w:jc w:val="right"/>
              <w:ind w:right="108"/>
              <w:spacing w:after="0"/>
              <w:rPr>
                <w:sz w:val="20"/>
                <w:szCs w:val="20"/>
                <w:color w:val="auto"/>
              </w:rPr>
            </w:pPr>
            <w:r>
              <w:rPr>
                <w:rFonts w:ascii="Arial" w:cs="Arial" w:eastAsia="Arial" w:hAnsi="Arial"/>
                <w:sz w:val="15"/>
                <w:szCs w:val="15"/>
                <w:color w:val="183964"/>
              </w:rPr>
              <w:t>156,705</w:t>
            </w:r>
          </w:p>
        </w:tc>
        <w:tc>
          <w:tcPr>
            <w:tcW w:w="1280" w:type="dxa"/>
            <w:vAlign w:val="bottom"/>
            <w:gridSpan w:val="2"/>
          </w:tcPr>
          <w:p>
            <w:pPr>
              <w:jc w:val="right"/>
              <w:ind w:right="160"/>
              <w:spacing w:after="0"/>
              <w:rPr>
                <w:sz w:val="20"/>
                <w:szCs w:val="20"/>
                <w:color w:val="auto"/>
              </w:rPr>
            </w:pPr>
            <w:r>
              <w:rPr>
                <w:rFonts w:ascii="Arial" w:cs="Arial" w:eastAsia="Arial" w:hAnsi="Arial"/>
                <w:sz w:val="15"/>
                <w:szCs w:val="15"/>
                <w:color w:val="183964"/>
              </w:rPr>
              <w:t>—</w:t>
            </w:r>
          </w:p>
        </w:tc>
        <w:tc>
          <w:tcPr>
            <w:tcW w:w="1780" w:type="dxa"/>
            <w:vAlign w:val="bottom"/>
          </w:tcPr>
          <w:p>
            <w:pPr>
              <w:jc w:val="right"/>
              <w:ind w:right="468"/>
              <w:spacing w:after="0"/>
              <w:rPr>
                <w:sz w:val="20"/>
                <w:szCs w:val="20"/>
                <w:color w:val="auto"/>
              </w:rPr>
            </w:pPr>
            <w:r>
              <w:rPr>
                <w:rFonts w:ascii="Arial" w:cs="Arial" w:eastAsia="Arial" w:hAnsi="Arial"/>
                <w:sz w:val="15"/>
                <w:szCs w:val="15"/>
                <w:color w:val="183964"/>
              </w:rPr>
              <w:t>156,705</w:t>
            </w:r>
          </w:p>
        </w:tc>
        <w:tc>
          <w:tcPr>
            <w:tcW w:w="1340" w:type="dxa"/>
            <w:vAlign w:val="bottom"/>
          </w:tcPr>
          <w:p>
            <w:pPr>
              <w:ind w:left="600"/>
              <w:spacing w:after="0"/>
              <w:rPr>
                <w:sz w:val="20"/>
                <w:szCs w:val="20"/>
                <w:color w:val="auto"/>
              </w:rPr>
            </w:pPr>
            <w:r>
              <w:rPr>
                <w:rFonts w:ascii="Arial" w:cs="Arial" w:eastAsia="Arial" w:hAnsi="Arial"/>
                <w:sz w:val="15"/>
                <w:szCs w:val="15"/>
                <w:color w:val="183964"/>
              </w:rPr>
              <w:t>—</w:t>
            </w:r>
          </w:p>
        </w:tc>
        <w:tc>
          <w:tcPr>
            <w:tcW w:w="1100" w:type="dxa"/>
            <w:vAlign w:val="bottom"/>
          </w:tcPr>
          <w:p>
            <w:pPr>
              <w:jc w:val="right"/>
              <w:ind w:right="327"/>
              <w:spacing w:after="0"/>
              <w:rPr>
                <w:sz w:val="20"/>
                <w:szCs w:val="20"/>
                <w:color w:val="auto"/>
              </w:rPr>
            </w:pPr>
            <w:r>
              <w:rPr>
                <w:rFonts w:ascii="Arial" w:cs="Arial" w:eastAsia="Arial" w:hAnsi="Arial"/>
                <w:sz w:val="15"/>
                <w:szCs w:val="15"/>
                <w:color w:val="183964"/>
              </w:rPr>
              <w:t>—</w:t>
            </w:r>
          </w:p>
        </w:tc>
        <w:tc>
          <w:tcPr>
            <w:tcW w:w="980" w:type="dxa"/>
            <w:vAlign w:val="bottom"/>
          </w:tcPr>
          <w:p>
            <w:pPr>
              <w:jc w:val="right"/>
              <w:ind w:right="7"/>
              <w:spacing w:after="0"/>
              <w:rPr>
                <w:sz w:val="20"/>
                <w:szCs w:val="20"/>
                <w:color w:val="auto"/>
              </w:rPr>
            </w:pPr>
            <w:r>
              <w:rPr>
                <w:rFonts w:ascii="Arial" w:cs="Arial" w:eastAsia="Arial" w:hAnsi="Arial"/>
                <w:sz w:val="15"/>
                <w:szCs w:val="15"/>
                <w:color w:val="183964"/>
              </w:rPr>
              <w:t>156,705</w:t>
            </w:r>
          </w:p>
        </w:tc>
      </w:tr>
      <w:tr>
        <w:trPr>
          <w:trHeight w:val="200"/>
        </w:trPr>
        <w:tc>
          <w:tcPr>
            <w:tcW w:w="3340" w:type="dxa"/>
            <w:vAlign w:val="bottom"/>
          </w:tcPr>
          <w:p>
            <w:pPr>
              <w:ind w:left="20"/>
              <w:spacing w:after="0"/>
              <w:rPr>
                <w:sz w:val="20"/>
                <w:szCs w:val="20"/>
                <w:color w:val="auto"/>
              </w:rPr>
            </w:pPr>
            <w:r>
              <w:rPr>
                <w:rFonts w:ascii="Arial" w:cs="Arial" w:eastAsia="Arial" w:hAnsi="Arial"/>
                <w:sz w:val="15"/>
                <w:szCs w:val="15"/>
                <w:color w:val="auto"/>
              </w:rPr>
              <w:t>Note from associate</w:t>
            </w:r>
          </w:p>
        </w:tc>
        <w:tc>
          <w:tcPr>
            <w:tcW w:w="1400" w:type="dxa"/>
            <w:vAlign w:val="bottom"/>
          </w:tcPr>
          <w:p>
            <w:pPr>
              <w:jc w:val="right"/>
              <w:ind w:right="108"/>
              <w:spacing w:after="0"/>
              <w:rPr>
                <w:sz w:val="20"/>
                <w:szCs w:val="20"/>
                <w:color w:val="auto"/>
              </w:rPr>
            </w:pPr>
            <w:r>
              <w:rPr>
                <w:rFonts w:ascii="Arial" w:cs="Arial" w:eastAsia="Arial" w:hAnsi="Arial"/>
                <w:sz w:val="15"/>
                <w:szCs w:val="15"/>
                <w:color w:val="183964"/>
              </w:rPr>
              <w:t>4,600</w:t>
            </w:r>
          </w:p>
        </w:tc>
        <w:tc>
          <w:tcPr>
            <w:tcW w:w="1280" w:type="dxa"/>
            <w:vAlign w:val="bottom"/>
            <w:gridSpan w:val="2"/>
          </w:tcPr>
          <w:p>
            <w:pPr>
              <w:jc w:val="right"/>
              <w:ind w:right="160"/>
              <w:spacing w:after="0"/>
              <w:rPr>
                <w:sz w:val="20"/>
                <w:szCs w:val="20"/>
                <w:color w:val="auto"/>
              </w:rPr>
            </w:pPr>
            <w:r>
              <w:rPr>
                <w:rFonts w:ascii="Arial" w:cs="Arial" w:eastAsia="Arial" w:hAnsi="Arial"/>
                <w:sz w:val="15"/>
                <w:szCs w:val="15"/>
                <w:color w:val="183964"/>
              </w:rPr>
              <w:t>—</w:t>
            </w:r>
          </w:p>
        </w:tc>
        <w:tc>
          <w:tcPr>
            <w:tcW w:w="1780" w:type="dxa"/>
            <w:vAlign w:val="bottom"/>
          </w:tcPr>
          <w:p>
            <w:pPr>
              <w:jc w:val="right"/>
              <w:ind w:right="468"/>
              <w:spacing w:after="0"/>
              <w:rPr>
                <w:sz w:val="20"/>
                <w:szCs w:val="20"/>
                <w:color w:val="auto"/>
              </w:rPr>
            </w:pPr>
            <w:r>
              <w:rPr>
                <w:rFonts w:ascii="Arial" w:cs="Arial" w:eastAsia="Arial" w:hAnsi="Arial"/>
                <w:sz w:val="15"/>
                <w:szCs w:val="15"/>
                <w:color w:val="183964"/>
              </w:rPr>
              <w:t>—</w:t>
            </w:r>
          </w:p>
        </w:tc>
        <w:tc>
          <w:tcPr>
            <w:tcW w:w="1340" w:type="dxa"/>
            <w:vAlign w:val="bottom"/>
          </w:tcPr>
          <w:p>
            <w:pPr>
              <w:ind w:left="600"/>
              <w:spacing w:after="0"/>
              <w:rPr>
                <w:sz w:val="20"/>
                <w:szCs w:val="20"/>
                <w:color w:val="auto"/>
              </w:rPr>
            </w:pPr>
            <w:r>
              <w:rPr>
                <w:rFonts w:ascii="Arial" w:cs="Arial" w:eastAsia="Arial" w:hAnsi="Arial"/>
                <w:sz w:val="15"/>
                <w:szCs w:val="15"/>
                <w:color w:val="183964"/>
              </w:rPr>
              <w:t>—</w:t>
            </w:r>
          </w:p>
        </w:tc>
        <w:tc>
          <w:tcPr>
            <w:tcW w:w="1100" w:type="dxa"/>
            <w:vAlign w:val="bottom"/>
          </w:tcPr>
          <w:p>
            <w:pPr>
              <w:jc w:val="right"/>
              <w:ind w:right="327"/>
              <w:spacing w:after="0"/>
              <w:rPr>
                <w:sz w:val="20"/>
                <w:szCs w:val="20"/>
                <w:color w:val="auto"/>
              </w:rPr>
            </w:pPr>
            <w:r>
              <w:rPr>
                <w:rFonts w:ascii="Arial" w:cs="Arial" w:eastAsia="Arial" w:hAnsi="Arial"/>
                <w:sz w:val="15"/>
                <w:szCs w:val="15"/>
                <w:color w:val="183964"/>
              </w:rPr>
              <w:t>4,600</w:t>
            </w:r>
          </w:p>
        </w:tc>
        <w:tc>
          <w:tcPr>
            <w:tcW w:w="980" w:type="dxa"/>
            <w:vAlign w:val="bottom"/>
          </w:tcPr>
          <w:p>
            <w:pPr>
              <w:jc w:val="right"/>
              <w:ind w:right="7"/>
              <w:spacing w:after="0"/>
              <w:rPr>
                <w:sz w:val="20"/>
                <w:szCs w:val="20"/>
                <w:color w:val="auto"/>
              </w:rPr>
            </w:pPr>
            <w:r>
              <w:rPr>
                <w:rFonts w:ascii="Arial" w:cs="Arial" w:eastAsia="Arial" w:hAnsi="Arial"/>
                <w:sz w:val="15"/>
                <w:szCs w:val="15"/>
                <w:color w:val="183964"/>
              </w:rPr>
              <w:t>4,600</w:t>
            </w:r>
          </w:p>
        </w:tc>
      </w:tr>
      <w:tr>
        <w:trPr>
          <w:trHeight w:val="243"/>
        </w:trPr>
        <w:tc>
          <w:tcPr>
            <w:tcW w:w="3340" w:type="dxa"/>
            <w:vAlign w:val="bottom"/>
          </w:tcPr>
          <w:p>
            <w:pPr>
              <w:ind w:left="20"/>
              <w:spacing w:after="0"/>
              <w:rPr>
                <w:sz w:val="20"/>
                <w:szCs w:val="20"/>
                <w:color w:val="auto"/>
              </w:rPr>
            </w:pPr>
            <w:r>
              <w:rPr>
                <w:rFonts w:ascii="Arial" w:cs="Arial" w:eastAsia="Arial" w:hAnsi="Arial"/>
                <w:sz w:val="15"/>
                <w:szCs w:val="15"/>
                <w:color w:val="auto"/>
              </w:rPr>
              <w:t>Investments held at fair value</w:t>
            </w:r>
          </w:p>
        </w:tc>
        <w:tc>
          <w:tcPr>
            <w:tcW w:w="1400" w:type="dxa"/>
            <w:vAlign w:val="bottom"/>
          </w:tcPr>
          <w:p>
            <w:pPr>
              <w:jc w:val="right"/>
              <w:ind w:right="108"/>
              <w:spacing w:after="0"/>
              <w:rPr>
                <w:sz w:val="20"/>
                <w:szCs w:val="20"/>
                <w:color w:val="auto"/>
              </w:rPr>
            </w:pPr>
            <w:r>
              <w:rPr>
                <w:rFonts w:ascii="Arial" w:cs="Arial" w:eastAsia="Arial" w:hAnsi="Arial"/>
                <w:sz w:val="15"/>
                <w:szCs w:val="15"/>
                <w:color w:val="183964"/>
              </w:rPr>
              <w:t>317,841</w:t>
            </w:r>
          </w:p>
        </w:tc>
        <w:tc>
          <w:tcPr>
            <w:tcW w:w="1280" w:type="dxa"/>
            <w:vAlign w:val="bottom"/>
            <w:gridSpan w:val="2"/>
          </w:tcPr>
          <w:p>
            <w:pPr>
              <w:jc w:val="right"/>
              <w:ind w:right="160"/>
              <w:spacing w:after="0"/>
              <w:rPr>
                <w:sz w:val="20"/>
                <w:szCs w:val="20"/>
                <w:color w:val="auto"/>
              </w:rPr>
            </w:pPr>
            <w:r>
              <w:rPr>
                <w:rFonts w:ascii="Arial" w:cs="Arial" w:eastAsia="Arial" w:hAnsi="Arial"/>
                <w:sz w:val="15"/>
                <w:szCs w:val="15"/>
                <w:color w:val="183964"/>
              </w:rPr>
              <w:t>—</w:t>
            </w:r>
          </w:p>
        </w:tc>
        <w:tc>
          <w:tcPr>
            <w:tcW w:w="1780" w:type="dxa"/>
            <w:vAlign w:val="bottom"/>
          </w:tcPr>
          <w:p>
            <w:pPr>
              <w:jc w:val="right"/>
              <w:ind w:right="468"/>
              <w:spacing w:after="0"/>
              <w:rPr>
                <w:sz w:val="20"/>
                <w:szCs w:val="20"/>
                <w:color w:val="auto"/>
              </w:rPr>
            </w:pPr>
            <w:r>
              <w:rPr>
                <w:rFonts w:ascii="Arial" w:cs="Arial" w:eastAsia="Arial" w:hAnsi="Arial"/>
                <w:sz w:val="15"/>
                <w:szCs w:val="15"/>
                <w:color w:val="183964"/>
              </w:rPr>
              <w:t>292,970</w:t>
            </w:r>
          </w:p>
        </w:tc>
        <w:tc>
          <w:tcPr>
            <w:tcW w:w="1340" w:type="dxa"/>
            <w:vAlign w:val="bottom"/>
          </w:tcPr>
          <w:p>
            <w:pPr>
              <w:ind w:left="600"/>
              <w:spacing w:after="0"/>
              <w:rPr>
                <w:sz w:val="20"/>
                <w:szCs w:val="20"/>
                <w:color w:val="auto"/>
              </w:rPr>
            </w:pPr>
            <w:r>
              <w:rPr>
                <w:rFonts w:ascii="Arial" w:cs="Arial" w:eastAsia="Arial" w:hAnsi="Arial"/>
                <w:sz w:val="15"/>
                <w:szCs w:val="15"/>
                <w:color w:val="183964"/>
              </w:rPr>
              <w:t>—</w:t>
            </w:r>
          </w:p>
        </w:tc>
        <w:tc>
          <w:tcPr>
            <w:tcW w:w="1100" w:type="dxa"/>
            <w:vAlign w:val="bottom"/>
          </w:tcPr>
          <w:p>
            <w:pPr>
              <w:jc w:val="right"/>
              <w:ind w:right="327"/>
              <w:spacing w:after="0"/>
              <w:rPr>
                <w:sz w:val="20"/>
                <w:szCs w:val="20"/>
                <w:color w:val="auto"/>
              </w:rPr>
            </w:pPr>
            <w:r>
              <w:rPr>
                <w:rFonts w:ascii="Arial" w:cs="Arial" w:eastAsia="Arial" w:hAnsi="Arial"/>
                <w:sz w:val="15"/>
                <w:szCs w:val="15"/>
                <w:color w:val="183964"/>
              </w:rPr>
              <w:t>24,872</w:t>
            </w:r>
          </w:p>
        </w:tc>
        <w:tc>
          <w:tcPr>
            <w:tcW w:w="980" w:type="dxa"/>
            <w:vAlign w:val="bottom"/>
          </w:tcPr>
          <w:p>
            <w:pPr>
              <w:jc w:val="right"/>
              <w:ind w:right="7"/>
              <w:spacing w:after="0"/>
              <w:rPr>
                <w:sz w:val="20"/>
                <w:szCs w:val="20"/>
                <w:color w:val="auto"/>
              </w:rPr>
            </w:pPr>
            <w:r>
              <w:rPr>
                <w:rFonts w:ascii="Arial" w:cs="Arial" w:eastAsia="Arial" w:hAnsi="Arial"/>
                <w:sz w:val="15"/>
                <w:szCs w:val="15"/>
                <w:color w:val="183964"/>
              </w:rPr>
              <w:t>317,841</w:t>
            </w:r>
          </w:p>
        </w:tc>
      </w:tr>
      <w:tr>
        <w:trPr>
          <w:trHeight w:val="33"/>
        </w:trPr>
        <w:tc>
          <w:tcPr>
            <w:tcW w:w="3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3"/>
        </w:trPr>
        <w:tc>
          <w:tcPr>
            <w:tcW w:w="3340" w:type="dxa"/>
            <w:vAlign w:val="bottom"/>
          </w:tcPr>
          <w:p>
            <w:pPr>
              <w:ind w:left="20"/>
              <w:spacing w:after="0"/>
              <w:rPr>
                <w:sz w:val="20"/>
                <w:szCs w:val="20"/>
                <w:color w:val="auto"/>
              </w:rPr>
            </w:pPr>
            <w:r>
              <w:rPr>
                <w:rFonts w:ascii="Arial" w:cs="Arial" w:eastAsia="Arial" w:hAnsi="Arial"/>
                <w:sz w:val="15"/>
                <w:szCs w:val="15"/>
                <w:color w:val="auto"/>
              </w:rPr>
              <w:t>Total financial assets</w:t>
            </w:r>
          </w:p>
        </w:tc>
        <w:tc>
          <w:tcPr>
            <w:tcW w:w="1400" w:type="dxa"/>
            <w:vAlign w:val="bottom"/>
          </w:tcPr>
          <w:p>
            <w:pPr>
              <w:jc w:val="right"/>
              <w:ind w:right="108"/>
              <w:spacing w:after="0"/>
              <w:rPr>
                <w:sz w:val="20"/>
                <w:szCs w:val="20"/>
                <w:color w:val="auto"/>
              </w:rPr>
            </w:pPr>
            <w:r>
              <w:rPr>
                <w:rFonts w:ascii="Arial" w:cs="Arial" w:eastAsia="Arial" w:hAnsi="Arial"/>
                <w:sz w:val="15"/>
                <w:szCs w:val="15"/>
                <w:color w:val="183964"/>
              </w:rPr>
              <w:t>479,146</w:t>
            </w:r>
          </w:p>
        </w:tc>
        <w:tc>
          <w:tcPr>
            <w:tcW w:w="1280" w:type="dxa"/>
            <w:vAlign w:val="bottom"/>
            <w:gridSpan w:val="2"/>
          </w:tcPr>
          <w:p>
            <w:pPr>
              <w:jc w:val="right"/>
              <w:ind w:right="160"/>
              <w:spacing w:after="0"/>
              <w:rPr>
                <w:sz w:val="20"/>
                <w:szCs w:val="20"/>
                <w:color w:val="auto"/>
              </w:rPr>
            </w:pPr>
            <w:r>
              <w:rPr>
                <w:rFonts w:ascii="Arial" w:cs="Arial" w:eastAsia="Arial" w:hAnsi="Arial"/>
                <w:sz w:val="15"/>
                <w:szCs w:val="15"/>
                <w:color w:val="183964"/>
              </w:rPr>
              <w:t>—</w:t>
            </w:r>
          </w:p>
        </w:tc>
        <w:tc>
          <w:tcPr>
            <w:tcW w:w="1780" w:type="dxa"/>
            <w:vAlign w:val="bottom"/>
          </w:tcPr>
          <w:p>
            <w:pPr>
              <w:jc w:val="right"/>
              <w:ind w:right="468"/>
              <w:spacing w:after="0"/>
              <w:rPr>
                <w:sz w:val="20"/>
                <w:szCs w:val="20"/>
                <w:color w:val="auto"/>
              </w:rPr>
            </w:pPr>
            <w:r>
              <w:rPr>
                <w:rFonts w:ascii="Arial" w:cs="Arial" w:eastAsia="Arial" w:hAnsi="Arial"/>
                <w:sz w:val="15"/>
                <w:szCs w:val="15"/>
                <w:color w:val="183964"/>
              </w:rPr>
              <w:t>449,675</w:t>
            </w:r>
          </w:p>
        </w:tc>
        <w:tc>
          <w:tcPr>
            <w:tcW w:w="1340" w:type="dxa"/>
            <w:vAlign w:val="bottom"/>
          </w:tcPr>
          <w:p>
            <w:pPr>
              <w:ind w:left="600"/>
              <w:spacing w:after="0"/>
              <w:rPr>
                <w:sz w:val="20"/>
                <w:szCs w:val="20"/>
                <w:color w:val="auto"/>
              </w:rPr>
            </w:pPr>
            <w:r>
              <w:rPr>
                <w:rFonts w:ascii="Arial" w:cs="Arial" w:eastAsia="Arial" w:hAnsi="Arial"/>
                <w:sz w:val="15"/>
                <w:szCs w:val="15"/>
                <w:color w:val="183964"/>
              </w:rPr>
              <w:t>—</w:t>
            </w:r>
          </w:p>
        </w:tc>
        <w:tc>
          <w:tcPr>
            <w:tcW w:w="1100" w:type="dxa"/>
            <w:vAlign w:val="bottom"/>
          </w:tcPr>
          <w:p>
            <w:pPr>
              <w:jc w:val="right"/>
              <w:ind w:right="327"/>
              <w:spacing w:after="0"/>
              <w:rPr>
                <w:sz w:val="20"/>
                <w:szCs w:val="20"/>
                <w:color w:val="auto"/>
              </w:rPr>
            </w:pPr>
            <w:r>
              <w:rPr>
                <w:rFonts w:ascii="Arial" w:cs="Arial" w:eastAsia="Arial" w:hAnsi="Arial"/>
                <w:sz w:val="15"/>
                <w:szCs w:val="15"/>
                <w:color w:val="183964"/>
              </w:rPr>
              <w:t>29,472</w:t>
            </w:r>
          </w:p>
        </w:tc>
        <w:tc>
          <w:tcPr>
            <w:tcW w:w="980" w:type="dxa"/>
            <w:vAlign w:val="bottom"/>
          </w:tcPr>
          <w:p>
            <w:pPr>
              <w:jc w:val="right"/>
              <w:ind w:right="7"/>
              <w:spacing w:after="0"/>
              <w:rPr>
                <w:sz w:val="20"/>
                <w:szCs w:val="20"/>
                <w:color w:val="auto"/>
              </w:rPr>
            </w:pPr>
            <w:r>
              <w:rPr>
                <w:rFonts w:ascii="Arial" w:cs="Arial" w:eastAsia="Arial" w:hAnsi="Arial"/>
                <w:sz w:val="15"/>
                <w:szCs w:val="15"/>
                <w:color w:val="183964"/>
              </w:rPr>
              <w:t>479,146</w:t>
            </w:r>
          </w:p>
        </w:tc>
      </w:tr>
      <w:tr>
        <w:trPr>
          <w:trHeight w:val="33"/>
        </w:trPr>
        <w:tc>
          <w:tcPr>
            <w:tcW w:w="3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3"/>
        </w:trPr>
        <w:tc>
          <w:tcPr>
            <w:tcW w:w="3340" w:type="dxa"/>
            <w:vAlign w:val="bottom"/>
          </w:tcPr>
          <w:p>
            <w:pPr>
              <w:ind w:left="20"/>
              <w:spacing w:after="0"/>
              <w:rPr>
                <w:sz w:val="20"/>
                <w:szCs w:val="20"/>
                <w:color w:val="auto"/>
              </w:rPr>
            </w:pPr>
            <w:r>
              <w:rPr>
                <w:rFonts w:ascii="Arial" w:cs="Arial" w:eastAsia="Arial" w:hAnsi="Arial"/>
                <w:sz w:val="15"/>
                <w:szCs w:val="15"/>
                <w:color w:val="auto"/>
              </w:rPr>
              <w:t>Financial liabilities:</w:t>
            </w:r>
          </w:p>
        </w:tc>
        <w:tc>
          <w:tcPr>
            <w:tcW w:w="1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43"/>
        </w:trPr>
        <w:tc>
          <w:tcPr>
            <w:tcW w:w="3340" w:type="dxa"/>
            <w:vAlign w:val="bottom"/>
          </w:tcPr>
          <w:p>
            <w:pPr>
              <w:ind w:left="20"/>
              <w:spacing w:after="0"/>
              <w:rPr>
                <w:sz w:val="20"/>
                <w:szCs w:val="20"/>
                <w:color w:val="auto"/>
              </w:rPr>
            </w:pPr>
            <w:r>
              <w:rPr>
                <w:rFonts w:ascii="Arial" w:cs="Arial" w:eastAsia="Arial" w:hAnsi="Arial"/>
                <w:sz w:val="15"/>
                <w:szCs w:val="15"/>
                <w:color w:val="auto"/>
              </w:rPr>
              <w:t>Subsidiary preferred shares</w:t>
            </w:r>
          </w:p>
        </w:tc>
        <w:tc>
          <w:tcPr>
            <w:tcW w:w="1400" w:type="dxa"/>
            <w:vAlign w:val="bottom"/>
          </w:tcPr>
          <w:p>
            <w:pPr>
              <w:jc w:val="right"/>
              <w:ind w:right="108"/>
              <w:spacing w:after="0"/>
              <w:rPr>
                <w:sz w:val="20"/>
                <w:szCs w:val="20"/>
                <w:color w:val="auto"/>
              </w:rPr>
            </w:pPr>
            <w:r>
              <w:rPr>
                <w:rFonts w:ascii="Arial" w:cs="Arial" w:eastAsia="Arial" w:hAnsi="Arial"/>
                <w:sz w:val="15"/>
                <w:szCs w:val="15"/>
                <w:color w:val="183964"/>
              </w:rPr>
              <w:t>—</w:t>
            </w:r>
          </w:p>
        </w:tc>
        <w:tc>
          <w:tcPr>
            <w:tcW w:w="1200" w:type="dxa"/>
            <w:vAlign w:val="bottom"/>
          </w:tcPr>
          <w:p>
            <w:pPr>
              <w:jc w:val="right"/>
              <w:ind w:right="7"/>
              <w:spacing w:after="0"/>
              <w:rPr>
                <w:sz w:val="20"/>
                <w:szCs w:val="20"/>
                <w:color w:val="auto"/>
              </w:rPr>
            </w:pPr>
            <w:r>
              <w:rPr>
                <w:rFonts w:ascii="Arial" w:cs="Arial" w:eastAsia="Arial" w:hAnsi="Arial"/>
                <w:sz w:val="15"/>
                <w:szCs w:val="15"/>
                <w:color w:val="183964"/>
              </w:rPr>
              <w:t>169</w:t>
            </w:r>
          </w:p>
        </w:tc>
        <w:tc>
          <w:tcPr>
            <w:tcW w:w="80" w:type="dxa"/>
            <w:vAlign w:val="bottom"/>
          </w:tcPr>
          <w:p>
            <w:pPr>
              <w:spacing w:after="0"/>
              <w:rPr>
                <w:sz w:val="21"/>
                <w:szCs w:val="21"/>
                <w:color w:val="auto"/>
              </w:rPr>
            </w:pPr>
          </w:p>
        </w:tc>
        <w:tc>
          <w:tcPr>
            <w:tcW w:w="1780" w:type="dxa"/>
            <w:vAlign w:val="bottom"/>
          </w:tcPr>
          <w:p>
            <w:pPr>
              <w:jc w:val="right"/>
              <w:ind w:right="468"/>
              <w:spacing w:after="0"/>
              <w:rPr>
                <w:sz w:val="20"/>
                <w:szCs w:val="20"/>
                <w:color w:val="auto"/>
              </w:rPr>
            </w:pPr>
            <w:r>
              <w:rPr>
                <w:rFonts w:ascii="Arial" w:cs="Arial" w:eastAsia="Arial" w:hAnsi="Arial"/>
                <w:sz w:val="15"/>
                <w:szCs w:val="15"/>
                <w:color w:val="183964"/>
              </w:rPr>
              <w:t>—</w:t>
            </w:r>
          </w:p>
        </w:tc>
        <w:tc>
          <w:tcPr>
            <w:tcW w:w="1340" w:type="dxa"/>
            <w:vAlign w:val="bottom"/>
          </w:tcPr>
          <w:p>
            <w:pPr>
              <w:ind w:left="600"/>
              <w:spacing w:after="0"/>
              <w:rPr>
                <w:sz w:val="20"/>
                <w:szCs w:val="20"/>
                <w:color w:val="auto"/>
              </w:rPr>
            </w:pPr>
            <w:r>
              <w:rPr>
                <w:rFonts w:ascii="Arial" w:cs="Arial" w:eastAsia="Arial" w:hAnsi="Arial"/>
                <w:sz w:val="15"/>
                <w:szCs w:val="15"/>
                <w:color w:val="183964"/>
              </w:rPr>
              <w:t>—</w:t>
            </w:r>
          </w:p>
        </w:tc>
        <w:tc>
          <w:tcPr>
            <w:tcW w:w="1100" w:type="dxa"/>
            <w:vAlign w:val="bottom"/>
          </w:tcPr>
          <w:p>
            <w:pPr>
              <w:jc w:val="right"/>
              <w:ind w:right="327"/>
              <w:spacing w:after="0"/>
              <w:rPr>
                <w:sz w:val="20"/>
                <w:szCs w:val="20"/>
                <w:color w:val="auto"/>
              </w:rPr>
            </w:pPr>
            <w:r>
              <w:rPr>
                <w:rFonts w:ascii="Arial" w:cs="Arial" w:eastAsia="Arial" w:hAnsi="Arial"/>
                <w:sz w:val="15"/>
                <w:szCs w:val="15"/>
                <w:color w:val="183964"/>
              </w:rPr>
              <w:t>169</w:t>
            </w:r>
          </w:p>
        </w:tc>
        <w:tc>
          <w:tcPr>
            <w:tcW w:w="980" w:type="dxa"/>
            <w:vAlign w:val="bottom"/>
          </w:tcPr>
          <w:p>
            <w:pPr>
              <w:jc w:val="right"/>
              <w:ind w:right="7"/>
              <w:spacing w:after="0"/>
              <w:rPr>
                <w:sz w:val="20"/>
                <w:szCs w:val="20"/>
                <w:color w:val="auto"/>
              </w:rPr>
            </w:pPr>
            <w:r>
              <w:rPr>
                <w:rFonts w:ascii="Arial" w:cs="Arial" w:eastAsia="Arial" w:hAnsi="Arial"/>
                <w:sz w:val="15"/>
                <w:szCs w:val="15"/>
                <w:color w:val="183964"/>
              </w:rPr>
              <w:t>169</w:t>
            </w:r>
          </w:p>
        </w:tc>
      </w:tr>
      <w:tr>
        <w:trPr>
          <w:trHeight w:val="243"/>
        </w:trPr>
        <w:tc>
          <w:tcPr>
            <w:tcW w:w="3340" w:type="dxa"/>
            <w:vAlign w:val="bottom"/>
          </w:tcPr>
          <w:p>
            <w:pPr>
              <w:ind w:left="20"/>
              <w:spacing w:after="0"/>
              <w:rPr>
                <w:sz w:val="20"/>
                <w:szCs w:val="20"/>
                <w:color w:val="auto"/>
              </w:rPr>
            </w:pPr>
            <w:r>
              <w:rPr>
                <w:rFonts w:ascii="Arial" w:cs="Arial" w:eastAsia="Arial" w:hAnsi="Arial"/>
                <w:sz w:val="15"/>
                <w:szCs w:val="15"/>
                <w:color w:val="auto"/>
              </w:rPr>
              <w:t>Share-based liability awards</w:t>
            </w:r>
          </w:p>
        </w:tc>
        <w:tc>
          <w:tcPr>
            <w:tcW w:w="1400" w:type="dxa"/>
            <w:vAlign w:val="bottom"/>
          </w:tcPr>
          <w:p>
            <w:pPr>
              <w:jc w:val="right"/>
              <w:ind w:right="108"/>
              <w:spacing w:after="0"/>
              <w:rPr>
                <w:sz w:val="20"/>
                <w:szCs w:val="20"/>
                <w:color w:val="auto"/>
              </w:rPr>
            </w:pPr>
            <w:r>
              <w:rPr>
                <w:rFonts w:ascii="Arial" w:cs="Arial" w:eastAsia="Arial" w:hAnsi="Arial"/>
                <w:sz w:val="15"/>
                <w:szCs w:val="15"/>
                <w:color w:val="183964"/>
              </w:rPr>
              <w:t>—</w:t>
            </w:r>
          </w:p>
        </w:tc>
        <w:tc>
          <w:tcPr>
            <w:tcW w:w="1200" w:type="dxa"/>
            <w:vAlign w:val="bottom"/>
          </w:tcPr>
          <w:p>
            <w:pPr>
              <w:jc w:val="right"/>
              <w:ind w:right="7"/>
              <w:spacing w:after="0"/>
              <w:rPr>
                <w:sz w:val="20"/>
                <w:szCs w:val="20"/>
                <w:color w:val="auto"/>
              </w:rPr>
            </w:pPr>
            <w:r>
              <w:rPr>
                <w:rFonts w:ascii="Arial" w:cs="Arial" w:eastAsia="Arial" w:hAnsi="Arial"/>
                <w:sz w:val="15"/>
                <w:szCs w:val="15"/>
                <w:color w:val="183964"/>
              </w:rPr>
              <w:t>4,782</w:t>
            </w:r>
          </w:p>
        </w:tc>
        <w:tc>
          <w:tcPr>
            <w:tcW w:w="80" w:type="dxa"/>
            <w:vAlign w:val="bottom"/>
          </w:tcPr>
          <w:p>
            <w:pPr>
              <w:spacing w:after="0"/>
              <w:rPr>
                <w:sz w:val="21"/>
                <w:szCs w:val="21"/>
                <w:color w:val="auto"/>
              </w:rPr>
            </w:pPr>
          </w:p>
        </w:tc>
        <w:tc>
          <w:tcPr>
            <w:tcW w:w="1780" w:type="dxa"/>
            <w:vAlign w:val="bottom"/>
          </w:tcPr>
          <w:p>
            <w:pPr>
              <w:jc w:val="right"/>
              <w:ind w:right="468"/>
              <w:spacing w:after="0"/>
              <w:rPr>
                <w:sz w:val="20"/>
                <w:szCs w:val="20"/>
                <w:color w:val="auto"/>
              </w:rPr>
            </w:pPr>
            <w:r>
              <w:rPr>
                <w:rFonts w:ascii="Arial" w:cs="Arial" w:eastAsia="Arial" w:hAnsi="Arial"/>
                <w:sz w:val="15"/>
                <w:szCs w:val="15"/>
                <w:color w:val="183964"/>
              </w:rPr>
              <w:t>—</w:t>
            </w:r>
          </w:p>
        </w:tc>
        <w:tc>
          <w:tcPr>
            <w:tcW w:w="1340" w:type="dxa"/>
            <w:vAlign w:val="bottom"/>
          </w:tcPr>
          <w:p>
            <w:pPr>
              <w:ind w:left="600"/>
              <w:spacing w:after="0"/>
              <w:rPr>
                <w:sz w:val="20"/>
                <w:szCs w:val="20"/>
                <w:color w:val="auto"/>
              </w:rPr>
            </w:pPr>
            <w:r>
              <w:rPr>
                <w:rFonts w:ascii="Arial" w:cs="Arial" w:eastAsia="Arial" w:hAnsi="Arial"/>
                <w:sz w:val="15"/>
                <w:szCs w:val="15"/>
                <w:color w:val="183964"/>
              </w:rPr>
              <w:t>—</w:t>
            </w:r>
          </w:p>
        </w:tc>
        <w:tc>
          <w:tcPr>
            <w:tcW w:w="1100" w:type="dxa"/>
            <w:vAlign w:val="bottom"/>
          </w:tcPr>
          <w:p>
            <w:pPr>
              <w:jc w:val="right"/>
              <w:ind w:right="327"/>
              <w:spacing w:after="0"/>
              <w:rPr>
                <w:sz w:val="20"/>
                <w:szCs w:val="20"/>
                <w:color w:val="auto"/>
              </w:rPr>
            </w:pPr>
            <w:r>
              <w:rPr>
                <w:rFonts w:ascii="Arial" w:cs="Arial" w:eastAsia="Arial" w:hAnsi="Arial"/>
                <w:sz w:val="15"/>
                <w:szCs w:val="15"/>
                <w:color w:val="183964"/>
              </w:rPr>
              <w:t>4,782</w:t>
            </w:r>
          </w:p>
        </w:tc>
        <w:tc>
          <w:tcPr>
            <w:tcW w:w="980" w:type="dxa"/>
            <w:vAlign w:val="bottom"/>
          </w:tcPr>
          <w:p>
            <w:pPr>
              <w:jc w:val="right"/>
              <w:ind w:right="7"/>
              <w:spacing w:after="0"/>
              <w:rPr>
                <w:sz w:val="20"/>
                <w:szCs w:val="20"/>
                <w:color w:val="auto"/>
              </w:rPr>
            </w:pPr>
            <w:r>
              <w:rPr>
                <w:rFonts w:ascii="Arial" w:cs="Arial" w:eastAsia="Arial" w:hAnsi="Arial"/>
                <w:sz w:val="15"/>
                <w:szCs w:val="15"/>
                <w:color w:val="183964"/>
              </w:rPr>
              <w:t>4,782</w:t>
            </w:r>
          </w:p>
        </w:tc>
      </w:tr>
      <w:tr>
        <w:trPr>
          <w:trHeight w:val="33"/>
        </w:trPr>
        <w:tc>
          <w:tcPr>
            <w:tcW w:w="3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4"/>
        </w:trPr>
        <w:tc>
          <w:tcPr>
            <w:tcW w:w="3340" w:type="dxa"/>
            <w:vAlign w:val="bottom"/>
          </w:tcPr>
          <w:p>
            <w:pPr>
              <w:ind w:left="20"/>
              <w:spacing w:after="0"/>
              <w:rPr>
                <w:sz w:val="20"/>
                <w:szCs w:val="20"/>
                <w:color w:val="auto"/>
              </w:rPr>
            </w:pPr>
            <w:r>
              <w:rPr>
                <w:rFonts w:ascii="Arial" w:cs="Arial" w:eastAsia="Arial" w:hAnsi="Arial"/>
                <w:sz w:val="15"/>
                <w:szCs w:val="15"/>
                <w:color w:val="auto"/>
              </w:rPr>
              <w:t>Total financial liabilities</w:t>
            </w:r>
          </w:p>
        </w:tc>
        <w:tc>
          <w:tcPr>
            <w:tcW w:w="1400" w:type="dxa"/>
            <w:vAlign w:val="bottom"/>
          </w:tcPr>
          <w:p>
            <w:pPr>
              <w:jc w:val="right"/>
              <w:ind w:right="108"/>
              <w:spacing w:after="0"/>
              <w:rPr>
                <w:sz w:val="20"/>
                <w:szCs w:val="20"/>
                <w:color w:val="auto"/>
              </w:rPr>
            </w:pPr>
            <w:r>
              <w:rPr>
                <w:rFonts w:ascii="Arial" w:cs="Arial" w:eastAsia="Arial" w:hAnsi="Arial"/>
                <w:sz w:val="15"/>
                <w:szCs w:val="15"/>
                <w:color w:val="183964"/>
              </w:rPr>
              <w:t>—</w:t>
            </w:r>
          </w:p>
        </w:tc>
        <w:tc>
          <w:tcPr>
            <w:tcW w:w="1200" w:type="dxa"/>
            <w:vAlign w:val="bottom"/>
          </w:tcPr>
          <w:p>
            <w:pPr>
              <w:jc w:val="right"/>
              <w:ind w:right="7"/>
              <w:spacing w:after="0"/>
              <w:rPr>
                <w:sz w:val="20"/>
                <w:szCs w:val="20"/>
                <w:color w:val="auto"/>
              </w:rPr>
            </w:pPr>
            <w:r>
              <w:rPr>
                <w:rFonts w:ascii="Arial" w:cs="Arial" w:eastAsia="Arial" w:hAnsi="Arial"/>
                <w:sz w:val="15"/>
                <w:szCs w:val="15"/>
                <w:color w:val="183964"/>
              </w:rPr>
              <w:t>4,951</w:t>
            </w:r>
          </w:p>
        </w:tc>
        <w:tc>
          <w:tcPr>
            <w:tcW w:w="80" w:type="dxa"/>
            <w:vAlign w:val="bottom"/>
          </w:tcPr>
          <w:p>
            <w:pPr>
              <w:spacing w:after="0"/>
              <w:rPr>
                <w:sz w:val="17"/>
                <w:szCs w:val="17"/>
                <w:color w:val="auto"/>
              </w:rPr>
            </w:pPr>
          </w:p>
        </w:tc>
        <w:tc>
          <w:tcPr>
            <w:tcW w:w="1780" w:type="dxa"/>
            <w:vAlign w:val="bottom"/>
          </w:tcPr>
          <w:p>
            <w:pPr>
              <w:jc w:val="right"/>
              <w:ind w:right="468"/>
              <w:spacing w:after="0"/>
              <w:rPr>
                <w:sz w:val="20"/>
                <w:szCs w:val="20"/>
                <w:color w:val="auto"/>
              </w:rPr>
            </w:pPr>
            <w:r>
              <w:rPr>
                <w:rFonts w:ascii="Arial" w:cs="Arial" w:eastAsia="Arial" w:hAnsi="Arial"/>
                <w:sz w:val="15"/>
                <w:szCs w:val="15"/>
                <w:color w:val="183964"/>
              </w:rPr>
              <w:t>—</w:t>
            </w:r>
          </w:p>
        </w:tc>
        <w:tc>
          <w:tcPr>
            <w:tcW w:w="1340" w:type="dxa"/>
            <w:vAlign w:val="bottom"/>
          </w:tcPr>
          <w:p>
            <w:pPr>
              <w:ind w:left="600"/>
              <w:spacing w:after="0"/>
              <w:rPr>
                <w:sz w:val="20"/>
                <w:szCs w:val="20"/>
                <w:color w:val="auto"/>
              </w:rPr>
            </w:pPr>
            <w:r>
              <w:rPr>
                <w:rFonts w:ascii="Arial" w:cs="Arial" w:eastAsia="Arial" w:hAnsi="Arial"/>
                <w:sz w:val="15"/>
                <w:szCs w:val="15"/>
                <w:color w:val="183964"/>
              </w:rPr>
              <w:t>—</w:t>
            </w:r>
          </w:p>
        </w:tc>
        <w:tc>
          <w:tcPr>
            <w:tcW w:w="1100" w:type="dxa"/>
            <w:vAlign w:val="bottom"/>
          </w:tcPr>
          <w:p>
            <w:pPr>
              <w:jc w:val="right"/>
              <w:ind w:right="327"/>
              <w:spacing w:after="0"/>
              <w:rPr>
                <w:sz w:val="20"/>
                <w:szCs w:val="20"/>
                <w:color w:val="auto"/>
              </w:rPr>
            </w:pPr>
            <w:r>
              <w:rPr>
                <w:rFonts w:ascii="Arial" w:cs="Arial" w:eastAsia="Arial" w:hAnsi="Arial"/>
                <w:sz w:val="15"/>
                <w:szCs w:val="15"/>
                <w:color w:val="183964"/>
              </w:rPr>
              <w:t>4,951</w:t>
            </w:r>
          </w:p>
        </w:tc>
        <w:tc>
          <w:tcPr>
            <w:tcW w:w="980" w:type="dxa"/>
            <w:vAlign w:val="bottom"/>
          </w:tcPr>
          <w:p>
            <w:pPr>
              <w:jc w:val="right"/>
              <w:ind w:right="7"/>
              <w:spacing w:after="0"/>
              <w:rPr>
                <w:sz w:val="20"/>
                <w:szCs w:val="20"/>
                <w:color w:val="auto"/>
              </w:rPr>
            </w:pPr>
            <w:r>
              <w:rPr>
                <w:rFonts w:ascii="Arial" w:cs="Arial" w:eastAsia="Arial" w:hAnsi="Arial"/>
                <w:sz w:val="15"/>
                <w:szCs w:val="15"/>
                <w:color w:val="183964"/>
              </w:rPr>
              <w:t>4,951</w:t>
            </w:r>
          </w:p>
        </w:tc>
      </w:tr>
      <w:tr>
        <w:trPr>
          <w:trHeight w:val="33"/>
        </w:trPr>
        <w:tc>
          <w:tcPr>
            <w:tcW w:w="3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176" w:lineRule="exact"/>
        <w:rPr>
          <w:sz w:val="20"/>
          <w:szCs w:val="20"/>
          <w:color w:val="auto"/>
        </w:rPr>
      </w:pPr>
    </w:p>
    <w:p>
      <w:pPr>
        <w:ind w:left="180" w:hanging="172"/>
        <w:spacing w:after="0"/>
        <w:tabs>
          <w:tab w:leader="none" w:pos="180" w:val="left"/>
        </w:tabs>
        <w:numPr>
          <w:ilvl w:val="0"/>
          <w:numId w:val="30"/>
        </w:numPr>
        <w:rPr>
          <w:rFonts w:ascii="Arial" w:cs="Arial" w:eastAsia="Arial" w:hAnsi="Arial"/>
          <w:sz w:val="11"/>
          <w:szCs w:val="11"/>
          <w:color w:val="183964"/>
        </w:rPr>
      </w:pPr>
      <w:r>
        <w:rPr>
          <w:rFonts w:ascii="Arial" w:cs="Arial" w:eastAsia="Arial" w:hAnsi="Arial"/>
          <w:sz w:val="11"/>
          <w:szCs w:val="11"/>
          <w:color w:val="183964"/>
        </w:rPr>
        <w:t>Issued by a diverse group of corporations, largely consisting of financial institutions, virtually all of which are investment grade.</w:t>
      </w:r>
    </w:p>
    <w:p>
      <w:pPr>
        <w:spacing w:after="0" w:line="35" w:lineRule="exact"/>
        <w:rPr>
          <w:rFonts w:ascii="Arial" w:cs="Arial" w:eastAsia="Arial" w:hAnsi="Arial"/>
          <w:sz w:val="11"/>
          <w:szCs w:val="11"/>
          <w:color w:val="183964"/>
        </w:rPr>
      </w:pPr>
    </w:p>
    <w:p>
      <w:pPr>
        <w:spacing w:after="0"/>
        <w:rPr>
          <w:rFonts w:ascii="Arial" w:cs="Arial" w:eastAsia="Arial" w:hAnsi="Arial"/>
          <w:sz w:val="11"/>
          <w:szCs w:val="11"/>
          <w:color w:val="183964"/>
        </w:rPr>
      </w:pPr>
      <w:r>
        <w:rPr>
          <w:rFonts w:ascii="Arial" w:cs="Arial" w:eastAsia="Arial" w:hAnsi="Arial"/>
          <w:sz w:val="11"/>
          <w:szCs w:val="11"/>
          <w:color w:val="183964"/>
        </w:rPr>
        <w:t>2  Included within cash and cash equivalents.</w:t>
      </w:r>
    </w:p>
    <w:p>
      <w:pPr>
        <w:spacing w:after="0" w:line="49" w:lineRule="exact"/>
        <w:rPr>
          <w:rFonts w:ascii="Arial" w:cs="Arial" w:eastAsia="Arial" w:hAnsi="Arial"/>
          <w:sz w:val="11"/>
          <w:szCs w:val="11"/>
          <w:color w:val="183964"/>
        </w:rPr>
      </w:pPr>
    </w:p>
    <w:p>
      <w:pPr>
        <w:spacing w:after="0"/>
        <w:rPr>
          <w:rFonts w:ascii="Arial" w:cs="Arial" w:eastAsia="Arial" w:hAnsi="Arial"/>
          <w:sz w:val="11"/>
          <w:szCs w:val="11"/>
          <w:color w:val="183964"/>
        </w:rPr>
      </w:pPr>
      <w:r>
        <w:rPr>
          <w:rFonts w:ascii="Arial" w:cs="Arial" w:eastAsia="Arial" w:hAnsi="Arial"/>
          <w:sz w:val="11"/>
          <w:szCs w:val="11"/>
          <w:color w:val="183964"/>
        </w:rPr>
        <w:t>3  Excluded from the table above are short-term investments of $136,062 that are classified at amortized cost as of December 31, 2023. The cost of these short-term investments approximates current fair value.</w:t>
      </w:r>
    </w:p>
    <w:p>
      <w:pPr>
        <w:spacing w:after="0" w:line="353" w:lineRule="exact"/>
        <w:rPr>
          <w:sz w:val="20"/>
          <w:szCs w:val="20"/>
          <w:color w:val="auto"/>
        </w:rPr>
      </w:pPr>
    </w:p>
    <w:p>
      <w:pPr>
        <w:ind w:left="440" w:hanging="432"/>
        <w:spacing w:after="0"/>
        <w:tabs>
          <w:tab w:leader="none" w:pos="440" w:val="left"/>
        </w:tabs>
        <w:numPr>
          <w:ilvl w:val="0"/>
          <w:numId w:val="31"/>
        </w:numPr>
        <w:rPr>
          <w:rFonts w:ascii="Arial" w:cs="Arial" w:eastAsia="Arial" w:hAnsi="Arial"/>
          <w:sz w:val="15"/>
          <w:szCs w:val="15"/>
          <w:b w:val="1"/>
          <w:bCs w:val="1"/>
          <w:color w:val="183964"/>
        </w:rPr>
      </w:pPr>
      <w:r>
        <w:rPr>
          <w:rFonts w:ascii="Arial" w:cs="Arial" w:eastAsia="Arial" w:hAnsi="Arial"/>
          <w:sz w:val="15"/>
          <w:szCs w:val="15"/>
          <w:b w:val="1"/>
          <w:bCs w:val="1"/>
          <w:color w:val="183964"/>
        </w:rPr>
        <w:t>Non-Controlling Interest</w:t>
      </w:r>
    </w:p>
    <w:p>
      <w:pPr>
        <w:spacing w:after="0" w:line="113" w:lineRule="exact"/>
        <w:rPr>
          <w:sz w:val="20"/>
          <w:szCs w:val="20"/>
          <w:color w:val="auto"/>
        </w:rPr>
      </w:pPr>
    </w:p>
    <w:p>
      <w:pPr>
        <w:ind w:right="80"/>
        <w:spacing w:after="0" w:line="269" w:lineRule="auto"/>
        <w:rPr>
          <w:sz w:val="20"/>
          <w:szCs w:val="20"/>
          <w:color w:val="auto"/>
        </w:rPr>
      </w:pPr>
      <w:r>
        <w:rPr>
          <w:rFonts w:ascii="Arial" w:cs="Arial" w:eastAsia="Arial" w:hAnsi="Arial"/>
          <w:sz w:val="15"/>
          <w:szCs w:val="15"/>
          <w:color w:val="auto"/>
        </w:rPr>
        <w:t>As of June 30, 2024, non-controlling interests include Entrega, Follica, and Seaport. Ownership interests of the non-controlling interests in these entities as of June 30, 2024 were 11.7 percent, 19.9 percent and 56.4 percent, respectively. As of December 31, 2023, non-controlling interests include Entrega, and Follica. Ownership interests of the non-controlling interests in these entities were 11.7 percent, and 19.9 percent, respectively. Non-controlling interests include the amounts recorded for subsidiary stock awards.</w:t>
      </w:r>
    </w:p>
    <w:p>
      <w:pPr>
        <w:spacing w:after="0" w:line="50" w:lineRule="exact"/>
        <w:rPr>
          <w:sz w:val="20"/>
          <w:szCs w:val="20"/>
          <w:color w:val="auto"/>
        </w:rPr>
      </w:pPr>
    </w:p>
    <w:p>
      <w:pPr>
        <w:ind w:right="320"/>
        <w:spacing w:after="0" w:line="273" w:lineRule="auto"/>
        <w:rPr>
          <w:sz w:val="20"/>
          <w:szCs w:val="20"/>
          <w:color w:val="auto"/>
        </w:rPr>
      </w:pPr>
      <w:r>
        <w:rPr>
          <w:rFonts w:ascii="Arial" w:cs="Arial" w:eastAsia="Arial" w:hAnsi="Arial"/>
          <w:sz w:val="15"/>
          <w:szCs w:val="15"/>
          <w:color w:val="auto"/>
        </w:rPr>
        <w:t>For the six-months ended June 30, 2024, Seaport issued 950,000 shares of fully vested common stock to the Group and 3,450,000 shares of common stock to certain officers and directors, of which 1,227,778 shares are fully vested as of June 30, 2024. Therefore, the non-controlling interest ownership percentage is 56.4 percent as of June 30, 2024.</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the changes in the non-controlling ownership interest in subsidiaries.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4280" w:type="dxa"/>
            <w:vAlign w:val="bottom"/>
          </w:tcPr>
          <w:p>
            <w:pPr>
              <w:jc w:val="right"/>
              <w:spacing w:after="0"/>
              <w:rPr>
                <w:sz w:val="20"/>
                <w:szCs w:val="20"/>
                <w:color w:val="auto"/>
              </w:rPr>
            </w:pPr>
            <w:r>
              <w:rPr>
                <w:rFonts w:ascii="Arial" w:cs="Arial" w:eastAsia="Arial" w:hAnsi="Arial"/>
                <w:sz w:val="13"/>
                <w:szCs w:val="13"/>
                <w:color w:val="183964"/>
              </w:rPr>
              <w:t>Non-Controlling</w:t>
            </w:r>
          </w:p>
        </w:tc>
      </w:tr>
      <w:tr>
        <w:trPr>
          <w:trHeight w:val="148"/>
        </w:trPr>
        <w:tc>
          <w:tcPr>
            <w:tcW w:w="6940" w:type="dxa"/>
            <w:vAlign w:val="bottom"/>
          </w:tcPr>
          <w:p>
            <w:pPr>
              <w:spacing w:after="0"/>
              <w:rPr>
                <w:sz w:val="12"/>
                <w:szCs w:val="12"/>
                <w:color w:val="auto"/>
              </w:rPr>
            </w:pPr>
          </w:p>
        </w:tc>
        <w:tc>
          <w:tcPr>
            <w:tcW w:w="4280" w:type="dxa"/>
            <w:vAlign w:val="bottom"/>
          </w:tcPr>
          <w:p>
            <w:pPr>
              <w:jc w:val="right"/>
              <w:spacing w:after="0"/>
              <w:rPr>
                <w:sz w:val="20"/>
                <w:szCs w:val="20"/>
                <w:color w:val="auto"/>
              </w:rPr>
            </w:pPr>
            <w:r>
              <w:rPr>
                <w:rFonts w:ascii="Arial" w:cs="Arial" w:eastAsia="Arial" w:hAnsi="Arial"/>
                <w:sz w:val="13"/>
                <w:szCs w:val="13"/>
                <w:color w:val="183964"/>
              </w:rPr>
              <w:t>Interest</w:t>
            </w:r>
          </w:p>
        </w:tc>
      </w:tr>
      <w:tr>
        <w:trPr>
          <w:trHeight w:val="166"/>
        </w:trPr>
        <w:tc>
          <w:tcPr>
            <w:tcW w:w="6940" w:type="dxa"/>
            <w:vAlign w:val="bottom"/>
          </w:tcPr>
          <w:p>
            <w:pPr>
              <w:spacing w:after="0"/>
              <w:rPr>
                <w:sz w:val="14"/>
                <w:szCs w:val="14"/>
                <w:color w:val="auto"/>
              </w:rPr>
            </w:pPr>
          </w:p>
        </w:tc>
        <w:tc>
          <w:tcPr>
            <w:tcW w:w="4280" w:type="dxa"/>
            <w:vAlign w:val="bottom"/>
          </w:tcPr>
          <w:p>
            <w:pPr>
              <w:jc w:val="right"/>
              <w:spacing w:after="0"/>
              <w:rPr>
                <w:sz w:val="20"/>
                <w:szCs w:val="20"/>
                <w:color w:val="auto"/>
              </w:rPr>
            </w:pPr>
            <w:r>
              <w:rPr>
                <w:rFonts w:ascii="Arial" w:cs="Arial" w:eastAsia="Arial" w:hAnsi="Arial"/>
                <w:sz w:val="13"/>
                <w:szCs w:val="13"/>
                <w:color w:val="183964"/>
              </w:rPr>
              <w:t>$</w:t>
            </w:r>
          </w:p>
        </w:tc>
      </w:tr>
      <w:tr>
        <w:trPr>
          <w:trHeight w:val="28"/>
        </w:trPr>
        <w:tc>
          <w:tcPr>
            <w:tcW w:w="694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r>
      <w:tr>
        <w:trPr>
          <w:trHeight w:val="203"/>
        </w:trPr>
        <w:tc>
          <w:tcPr>
            <w:tcW w:w="6940" w:type="dxa"/>
            <w:vAlign w:val="bottom"/>
          </w:tcPr>
          <w:p>
            <w:pPr>
              <w:ind w:left="20"/>
              <w:spacing w:after="0"/>
              <w:rPr>
                <w:sz w:val="20"/>
                <w:szCs w:val="20"/>
                <w:color w:val="auto"/>
              </w:rPr>
            </w:pPr>
            <w:r>
              <w:rPr>
                <w:rFonts w:ascii="Arial" w:cs="Arial" w:eastAsia="Arial" w:hAnsi="Arial"/>
                <w:sz w:val="15"/>
                <w:szCs w:val="15"/>
                <w:color w:val="auto"/>
              </w:rPr>
              <w:t>Balance at December 31, 2023 and January 1, 2024</w:t>
            </w:r>
          </w:p>
        </w:tc>
        <w:tc>
          <w:tcPr>
            <w:tcW w:w="4280" w:type="dxa"/>
            <w:vAlign w:val="bottom"/>
          </w:tcPr>
          <w:p>
            <w:pPr>
              <w:jc w:val="right"/>
              <w:spacing w:after="0"/>
              <w:rPr>
                <w:sz w:val="20"/>
                <w:szCs w:val="20"/>
                <w:color w:val="auto"/>
              </w:rPr>
            </w:pPr>
            <w:r>
              <w:rPr>
                <w:rFonts w:ascii="Arial" w:cs="Arial" w:eastAsia="Arial" w:hAnsi="Arial"/>
                <w:sz w:val="15"/>
                <w:szCs w:val="15"/>
                <w:color w:val="183964"/>
              </w:rPr>
              <w:t>(5,835)</w:t>
            </w:r>
          </w:p>
        </w:tc>
      </w:tr>
      <w:tr>
        <w:trPr>
          <w:trHeight w:val="243"/>
        </w:trPr>
        <w:tc>
          <w:tcPr>
            <w:tcW w:w="6940" w:type="dxa"/>
            <w:vAlign w:val="bottom"/>
          </w:tcPr>
          <w:p>
            <w:pPr>
              <w:ind w:left="20"/>
              <w:spacing w:after="0"/>
              <w:rPr>
                <w:sz w:val="20"/>
                <w:szCs w:val="20"/>
                <w:color w:val="auto"/>
              </w:rPr>
            </w:pPr>
            <w:r>
              <w:rPr>
                <w:rFonts w:ascii="Arial" w:cs="Arial" w:eastAsia="Arial" w:hAnsi="Arial"/>
                <w:sz w:val="15"/>
                <w:szCs w:val="15"/>
                <w:color w:val="auto"/>
              </w:rPr>
              <w:t>Share of comprehensive income (loss)</w:t>
            </w:r>
          </w:p>
        </w:tc>
        <w:tc>
          <w:tcPr>
            <w:tcW w:w="4280" w:type="dxa"/>
            <w:vAlign w:val="bottom"/>
          </w:tcPr>
          <w:p>
            <w:pPr>
              <w:jc w:val="right"/>
              <w:spacing w:after="0"/>
              <w:rPr>
                <w:sz w:val="20"/>
                <w:szCs w:val="20"/>
                <w:color w:val="auto"/>
              </w:rPr>
            </w:pPr>
            <w:r>
              <w:rPr>
                <w:rFonts w:ascii="Arial" w:cs="Arial" w:eastAsia="Arial" w:hAnsi="Arial"/>
                <w:sz w:val="15"/>
                <w:szCs w:val="15"/>
                <w:color w:val="183964"/>
              </w:rPr>
              <w:t>(7,111)</w:t>
            </w:r>
          </w:p>
        </w:tc>
      </w:tr>
      <w:tr>
        <w:trPr>
          <w:trHeight w:val="243"/>
        </w:trPr>
        <w:tc>
          <w:tcPr>
            <w:tcW w:w="6940" w:type="dxa"/>
            <w:vAlign w:val="bottom"/>
          </w:tcPr>
          <w:p>
            <w:pPr>
              <w:ind w:left="20"/>
              <w:spacing w:after="0"/>
              <w:rPr>
                <w:sz w:val="20"/>
                <w:szCs w:val="20"/>
                <w:color w:val="auto"/>
              </w:rPr>
            </w:pPr>
            <w:r>
              <w:rPr>
                <w:rFonts w:ascii="Arial" w:cs="Arial" w:eastAsia="Arial" w:hAnsi="Arial"/>
                <w:sz w:val="15"/>
                <w:szCs w:val="15"/>
                <w:color w:val="auto"/>
              </w:rPr>
              <w:t>Equity settled share-based payments</w:t>
            </w:r>
          </w:p>
        </w:tc>
        <w:tc>
          <w:tcPr>
            <w:tcW w:w="4280" w:type="dxa"/>
            <w:vAlign w:val="bottom"/>
          </w:tcPr>
          <w:p>
            <w:pPr>
              <w:jc w:val="right"/>
              <w:ind w:right="9"/>
              <w:spacing w:after="0"/>
              <w:rPr>
                <w:sz w:val="20"/>
                <w:szCs w:val="20"/>
                <w:color w:val="auto"/>
              </w:rPr>
            </w:pPr>
            <w:r>
              <w:rPr>
                <w:rFonts w:ascii="Arial" w:cs="Arial" w:eastAsia="Arial" w:hAnsi="Arial"/>
                <w:sz w:val="15"/>
                <w:szCs w:val="15"/>
                <w:color w:val="183964"/>
              </w:rPr>
              <w:t>3,285</w:t>
            </w:r>
          </w:p>
        </w:tc>
      </w:tr>
      <w:tr>
        <w:trPr>
          <w:trHeight w:val="243"/>
        </w:trPr>
        <w:tc>
          <w:tcPr>
            <w:tcW w:w="6940" w:type="dxa"/>
            <w:vAlign w:val="bottom"/>
          </w:tcPr>
          <w:p>
            <w:pPr>
              <w:ind w:left="20"/>
              <w:spacing w:after="0"/>
              <w:rPr>
                <w:sz w:val="20"/>
                <w:szCs w:val="20"/>
                <w:color w:val="auto"/>
              </w:rPr>
            </w:pPr>
            <w:r>
              <w:rPr>
                <w:rFonts w:ascii="Arial" w:cs="Arial" w:eastAsia="Arial" w:hAnsi="Arial"/>
                <w:sz w:val="15"/>
                <w:szCs w:val="15"/>
                <w:color w:val="auto"/>
              </w:rPr>
              <w:t>Expiration of share options in subsidiary</w:t>
            </w:r>
          </w:p>
        </w:tc>
        <w:tc>
          <w:tcPr>
            <w:tcW w:w="4280" w:type="dxa"/>
            <w:vAlign w:val="bottom"/>
          </w:tcPr>
          <w:p>
            <w:pPr>
              <w:jc w:val="right"/>
              <w:spacing w:after="0"/>
              <w:rPr>
                <w:sz w:val="20"/>
                <w:szCs w:val="20"/>
                <w:color w:val="auto"/>
              </w:rPr>
            </w:pPr>
            <w:r>
              <w:rPr>
                <w:rFonts w:ascii="Arial" w:cs="Arial" w:eastAsia="Arial" w:hAnsi="Arial"/>
                <w:sz w:val="15"/>
                <w:szCs w:val="15"/>
                <w:color w:val="183964"/>
              </w:rPr>
              <w:t>(1)</w:t>
            </w:r>
          </w:p>
        </w:tc>
      </w:tr>
      <w:tr>
        <w:trPr>
          <w:trHeight w:val="33"/>
        </w:trPr>
        <w:tc>
          <w:tcPr>
            <w:tcW w:w="694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r>
      <w:tr>
        <w:trPr>
          <w:trHeight w:val="211"/>
        </w:trPr>
        <w:tc>
          <w:tcPr>
            <w:tcW w:w="6940" w:type="dxa"/>
            <w:vAlign w:val="bottom"/>
          </w:tcPr>
          <w:p>
            <w:pPr>
              <w:ind w:left="20"/>
              <w:spacing w:after="0"/>
              <w:rPr>
                <w:sz w:val="20"/>
                <w:szCs w:val="20"/>
                <w:color w:val="auto"/>
              </w:rPr>
            </w:pPr>
            <w:r>
              <w:rPr>
                <w:rFonts w:ascii="Arial" w:cs="Arial" w:eastAsia="Arial" w:hAnsi="Arial"/>
                <w:sz w:val="15"/>
                <w:szCs w:val="15"/>
                <w:b w:val="1"/>
                <w:bCs w:val="1"/>
                <w:color w:val="auto"/>
              </w:rPr>
              <w:t>Balance at June 30, 2024</w:t>
            </w:r>
          </w:p>
        </w:tc>
        <w:tc>
          <w:tcPr>
            <w:tcW w:w="4280" w:type="dxa"/>
            <w:vAlign w:val="bottom"/>
          </w:tcPr>
          <w:p>
            <w:pPr>
              <w:jc w:val="right"/>
              <w:spacing w:after="0"/>
              <w:rPr>
                <w:sz w:val="20"/>
                <w:szCs w:val="20"/>
                <w:color w:val="auto"/>
              </w:rPr>
            </w:pPr>
            <w:r>
              <w:rPr>
                <w:rFonts w:ascii="Arial" w:cs="Arial" w:eastAsia="Arial" w:hAnsi="Arial"/>
                <w:sz w:val="15"/>
                <w:szCs w:val="15"/>
                <w:b w:val="1"/>
                <w:bCs w:val="1"/>
                <w:color w:val="auto"/>
              </w:rPr>
              <w:t>(9,661)</w:t>
            </w:r>
          </w:p>
        </w:tc>
      </w:tr>
      <w:tr>
        <w:trPr>
          <w:trHeight w:val="25"/>
        </w:trPr>
        <w:tc>
          <w:tcPr>
            <w:tcW w:w="694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the financial information related to Seaport, the Group's only subsidiary with significant non-controlling interest as of June 30, 2024.</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920" w:type="dxa"/>
            <w:vAlign w:val="bottom"/>
          </w:tcPr>
          <w:p>
            <w:pPr>
              <w:spacing w:after="0"/>
              <w:rPr>
                <w:sz w:val="12"/>
                <w:szCs w:val="12"/>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3"/>
                <w:szCs w:val="13"/>
                <w:color w:val="183964"/>
              </w:rPr>
              <w:t>Non-Controlling</w:t>
            </w:r>
          </w:p>
        </w:tc>
      </w:tr>
      <w:tr>
        <w:trPr>
          <w:trHeight w:val="148"/>
        </w:trPr>
        <w:tc>
          <w:tcPr>
            <w:tcW w:w="9920" w:type="dxa"/>
            <w:vAlign w:val="bottom"/>
          </w:tcPr>
          <w:p>
            <w:pPr>
              <w:spacing w:after="0"/>
              <w:rPr>
                <w:sz w:val="12"/>
                <w:szCs w:val="12"/>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3"/>
                <w:szCs w:val="13"/>
                <w:color w:val="183964"/>
              </w:rPr>
              <w:t>Interest</w:t>
            </w:r>
          </w:p>
        </w:tc>
      </w:tr>
      <w:tr>
        <w:trPr>
          <w:trHeight w:val="179"/>
        </w:trPr>
        <w:tc>
          <w:tcPr>
            <w:tcW w:w="9920" w:type="dxa"/>
            <w:vAlign w:val="bottom"/>
          </w:tcPr>
          <w:p>
            <w:pPr>
              <w:ind w:left="20"/>
              <w:spacing w:after="0"/>
              <w:rPr>
                <w:sz w:val="20"/>
                <w:szCs w:val="20"/>
                <w:color w:val="auto"/>
              </w:rPr>
            </w:pPr>
            <w:r>
              <w:rPr>
                <w:rFonts w:ascii="Arial" w:cs="Arial" w:eastAsia="Arial" w:hAnsi="Arial"/>
                <w:sz w:val="13"/>
                <w:szCs w:val="13"/>
                <w:color w:val="auto"/>
              </w:rPr>
              <w:t>For the period ended June 30, 2024</w:t>
            </w:r>
          </w:p>
        </w:tc>
        <w:tc>
          <w:tcPr>
            <w:tcW w:w="1300" w:type="dxa"/>
            <w:vAlign w:val="bottom"/>
          </w:tcPr>
          <w:p>
            <w:pPr>
              <w:jc w:val="right"/>
              <w:spacing w:after="0"/>
              <w:rPr>
                <w:sz w:val="20"/>
                <w:szCs w:val="20"/>
                <w:color w:val="auto"/>
              </w:rPr>
            </w:pPr>
            <w:r>
              <w:rPr>
                <w:rFonts w:ascii="Arial" w:cs="Arial" w:eastAsia="Arial" w:hAnsi="Arial"/>
                <w:sz w:val="13"/>
                <w:szCs w:val="13"/>
                <w:color w:val="183964"/>
              </w:rPr>
              <w:t>$</w:t>
            </w:r>
          </w:p>
        </w:tc>
        <w:tc>
          <w:tcPr>
            <w:tcW w:w="20" w:type="dxa"/>
            <w:vAlign w:val="bottom"/>
          </w:tcPr>
          <w:p>
            <w:pPr>
              <w:spacing w:after="0"/>
              <w:rPr>
                <w:sz w:val="15"/>
                <w:szCs w:val="15"/>
                <w:color w:val="auto"/>
              </w:rPr>
            </w:pPr>
          </w:p>
        </w:tc>
      </w:tr>
      <w:tr>
        <w:trPr>
          <w:trHeight w:val="28"/>
        </w:trPr>
        <w:tc>
          <w:tcPr>
            <w:tcW w:w="99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2"/>
        </w:trPr>
        <w:tc>
          <w:tcPr>
            <w:tcW w:w="9920" w:type="dxa"/>
            <w:vAlign w:val="bottom"/>
          </w:tcPr>
          <w:p>
            <w:pPr>
              <w:ind w:left="20"/>
              <w:spacing w:after="0"/>
              <w:rPr>
                <w:sz w:val="20"/>
                <w:szCs w:val="20"/>
                <w:color w:val="auto"/>
              </w:rPr>
            </w:pPr>
            <w:r>
              <w:rPr>
                <w:rFonts w:ascii="Arial" w:cs="Arial" w:eastAsia="Arial" w:hAnsi="Arial"/>
                <w:sz w:val="15"/>
                <w:szCs w:val="15"/>
                <w:b w:val="1"/>
                <w:bCs w:val="1"/>
                <w:color w:val="auto"/>
              </w:rPr>
              <w:t>Statement of Comprehensive Income/(Loss)</w:t>
            </w: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
        </w:trPr>
        <w:tc>
          <w:tcPr>
            <w:tcW w:w="99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1"/>
        </w:trPr>
        <w:tc>
          <w:tcPr>
            <w:tcW w:w="9920" w:type="dxa"/>
            <w:vAlign w:val="bottom"/>
          </w:tcPr>
          <w:p>
            <w:pPr>
              <w:ind w:left="20"/>
              <w:spacing w:after="0"/>
              <w:rPr>
                <w:sz w:val="20"/>
                <w:szCs w:val="20"/>
                <w:color w:val="auto"/>
              </w:rPr>
            </w:pPr>
            <w:r>
              <w:rPr>
                <w:rFonts w:ascii="Arial" w:cs="Arial" w:eastAsia="Arial" w:hAnsi="Arial"/>
                <w:sz w:val="15"/>
                <w:szCs w:val="15"/>
                <w:color w:val="auto"/>
              </w:rPr>
              <w:t>Total revenue</w:t>
            </w:r>
          </w:p>
        </w:tc>
        <w:tc>
          <w:tcPr>
            <w:tcW w:w="132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w:t>
            </w:r>
          </w:p>
        </w:tc>
      </w:tr>
      <w:tr>
        <w:trPr>
          <w:trHeight w:val="25"/>
        </w:trPr>
        <w:tc>
          <w:tcPr>
            <w:tcW w:w="99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2"/>
        </w:trPr>
        <w:tc>
          <w:tcPr>
            <w:tcW w:w="9920" w:type="dxa"/>
            <w:vAlign w:val="bottom"/>
          </w:tcPr>
          <w:p>
            <w:pPr>
              <w:ind w:left="20"/>
              <w:spacing w:after="0"/>
              <w:rPr>
                <w:sz w:val="20"/>
                <w:szCs w:val="20"/>
                <w:color w:val="auto"/>
              </w:rPr>
            </w:pPr>
            <w:r>
              <w:rPr>
                <w:rFonts w:ascii="Arial" w:cs="Arial" w:eastAsia="Arial" w:hAnsi="Arial"/>
                <w:sz w:val="15"/>
                <w:szCs w:val="15"/>
                <w:color w:val="auto"/>
              </w:rPr>
              <w:t>Income/(loss) for the period</w:t>
            </w:r>
          </w:p>
        </w:tc>
        <w:tc>
          <w:tcPr>
            <w:tcW w:w="1300" w:type="dxa"/>
            <w:vAlign w:val="bottom"/>
          </w:tcPr>
          <w:p>
            <w:pPr>
              <w:jc w:val="right"/>
              <w:spacing w:after="0"/>
              <w:rPr>
                <w:sz w:val="20"/>
                <w:szCs w:val="20"/>
                <w:color w:val="auto"/>
              </w:rPr>
            </w:pPr>
            <w:r>
              <w:rPr>
                <w:rFonts w:ascii="Arial" w:cs="Arial" w:eastAsia="Arial" w:hAnsi="Arial"/>
                <w:sz w:val="15"/>
                <w:szCs w:val="15"/>
                <w:b w:val="1"/>
                <w:bCs w:val="1"/>
                <w:color w:val="auto"/>
              </w:rPr>
              <w:t>(12,332)</w:t>
            </w:r>
          </w:p>
        </w:tc>
        <w:tc>
          <w:tcPr>
            <w:tcW w:w="20" w:type="dxa"/>
            <w:vAlign w:val="bottom"/>
          </w:tcPr>
          <w:p>
            <w:pPr>
              <w:spacing w:after="0"/>
              <w:rPr>
                <w:sz w:val="18"/>
                <w:szCs w:val="18"/>
                <w:color w:val="auto"/>
              </w:rPr>
            </w:pPr>
          </w:p>
        </w:tc>
      </w:tr>
      <w:tr>
        <w:trPr>
          <w:trHeight w:val="25"/>
        </w:trPr>
        <w:tc>
          <w:tcPr>
            <w:tcW w:w="99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1"/>
        </w:trPr>
        <w:tc>
          <w:tcPr>
            <w:tcW w:w="9920" w:type="dxa"/>
            <w:vAlign w:val="bottom"/>
          </w:tcPr>
          <w:p>
            <w:pPr>
              <w:ind w:left="20"/>
              <w:spacing w:after="0"/>
              <w:rPr>
                <w:sz w:val="20"/>
                <w:szCs w:val="20"/>
                <w:color w:val="auto"/>
              </w:rPr>
            </w:pPr>
            <w:r>
              <w:rPr>
                <w:rFonts w:ascii="Arial" w:cs="Arial" w:eastAsia="Arial" w:hAnsi="Arial"/>
                <w:sz w:val="15"/>
                <w:szCs w:val="15"/>
                <w:color w:val="auto"/>
              </w:rPr>
              <w:t>Total comprehensive income/(loss) for the period</w:t>
            </w:r>
          </w:p>
        </w:tc>
        <w:tc>
          <w:tcPr>
            <w:tcW w:w="1300" w:type="dxa"/>
            <w:vAlign w:val="bottom"/>
          </w:tcPr>
          <w:p>
            <w:pPr>
              <w:jc w:val="right"/>
              <w:spacing w:after="0"/>
              <w:rPr>
                <w:sz w:val="20"/>
                <w:szCs w:val="20"/>
                <w:color w:val="auto"/>
              </w:rPr>
            </w:pPr>
            <w:r>
              <w:rPr>
                <w:rFonts w:ascii="Arial" w:cs="Arial" w:eastAsia="Arial" w:hAnsi="Arial"/>
                <w:sz w:val="15"/>
                <w:szCs w:val="15"/>
                <w:b w:val="1"/>
                <w:bCs w:val="1"/>
                <w:color w:val="auto"/>
              </w:rPr>
              <w:t>(12,332)</w:t>
            </w:r>
          </w:p>
        </w:tc>
        <w:tc>
          <w:tcPr>
            <w:tcW w:w="20" w:type="dxa"/>
            <w:vAlign w:val="bottom"/>
          </w:tcPr>
          <w:p>
            <w:pPr>
              <w:spacing w:after="0"/>
              <w:rPr>
                <w:sz w:val="18"/>
                <w:szCs w:val="18"/>
                <w:color w:val="auto"/>
              </w:rPr>
            </w:pPr>
          </w:p>
        </w:tc>
      </w:tr>
      <w:tr>
        <w:trPr>
          <w:trHeight w:val="25"/>
        </w:trPr>
        <w:tc>
          <w:tcPr>
            <w:tcW w:w="99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2"/>
        </w:trPr>
        <w:tc>
          <w:tcPr>
            <w:tcW w:w="9920" w:type="dxa"/>
            <w:vAlign w:val="bottom"/>
          </w:tcPr>
          <w:p>
            <w:pPr>
              <w:ind w:left="20"/>
              <w:spacing w:after="0"/>
              <w:rPr>
                <w:sz w:val="20"/>
                <w:szCs w:val="20"/>
                <w:color w:val="auto"/>
              </w:rPr>
            </w:pPr>
            <w:r>
              <w:rPr>
                <w:rFonts w:ascii="Arial" w:cs="Arial" w:eastAsia="Arial" w:hAnsi="Arial"/>
                <w:sz w:val="15"/>
                <w:szCs w:val="15"/>
                <w:b w:val="1"/>
                <w:bCs w:val="1"/>
                <w:color w:val="auto"/>
              </w:rPr>
              <w:t>Statement of Financial Position</w:t>
            </w: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3"/>
        </w:trPr>
        <w:tc>
          <w:tcPr>
            <w:tcW w:w="9920" w:type="dxa"/>
            <w:vAlign w:val="bottom"/>
          </w:tcPr>
          <w:p>
            <w:pPr>
              <w:ind w:left="20"/>
              <w:spacing w:after="0"/>
              <w:rPr>
                <w:sz w:val="20"/>
                <w:szCs w:val="20"/>
                <w:color w:val="auto"/>
              </w:rPr>
            </w:pPr>
            <w:r>
              <w:rPr>
                <w:rFonts w:ascii="Arial" w:cs="Arial" w:eastAsia="Arial" w:hAnsi="Arial"/>
                <w:sz w:val="15"/>
                <w:szCs w:val="15"/>
                <w:color w:val="auto"/>
              </w:rPr>
              <w:t>Total assets</w:t>
            </w:r>
          </w:p>
        </w:tc>
        <w:tc>
          <w:tcPr>
            <w:tcW w:w="1300" w:type="dxa"/>
            <w:vAlign w:val="bottom"/>
          </w:tcPr>
          <w:p>
            <w:pPr>
              <w:jc w:val="right"/>
              <w:ind w:right="8"/>
              <w:spacing w:after="0"/>
              <w:rPr>
                <w:sz w:val="20"/>
                <w:szCs w:val="20"/>
                <w:color w:val="auto"/>
              </w:rPr>
            </w:pPr>
            <w:r>
              <w:rPr>
                <w:rFonts w:ascii="Arial" w:cs="Arial" w:eastAsia="Arial" w:hAnsi="Arial"/>
                <w:sz w:val="15"/>
                <w:szCs w:val="15"/>
                <w:b w:val="1"/>
                <w:bCs w:val="1"/>
                <w:color w:val="auto"/>
              </w:rPr>
              <w:t>102,494</w:t>
            </w:r>
          </w:p>
        </w:tc>
        <w:tc>
          <w:tcPr>
            <w:tcW w:w="20" w:type="dxa"/>
            <w:vAlign w:val="bottom"/>
          </w:tcPr>
          <w:p>
            <w:pPr>
              <w:spacing w:after="0"/>
              <w:rPr>
                <w:sz w:val="21"/>
                <w:szCs w:val="21"/>
                <w:color w:val="auto"/>
              </w:rPr>
            </w:pPr>
          </w:p>
        </w:tc>
      </w:tr>
      <w:tr>
        <w:trPr>
          <w:trHeight w:val="243"/>
        </w:trPr>
        <w:tc>
          <w:tcPr>
            <w:tcW w:w="9920" w:type="dxa"/>
            <w:vAlign w:val="bottom"/>
          </w:tcPr>
          <w:p>
            <w:pPr>
              <w:ind w:left="20"/>
              <w:spacing w:after="0"/>
              <w:rPr>
                <w:sz w:val="20"/>
                <w:szCs w:val="20"/>
                <w:color w:val="auto"/>
              </w:rPr>
            </w:pPr>
            <w:r>
              <w:rPr>
                <w:rFonts w:ascii="Arial" w:cs="Arial" w:eastAsia="Arial" w:hAnsi="Arial"/>
                <w:sz w:val="15"/>
                <w:szCs w:val="15"/>
                <w:color w:val="auto"/>
              </w:rPr>
              <w:t>Total liabilities</w:t>
            </w:r>
          </w:p>
        </w:tc>
        <w:tc>
          <w:tcPr>
            <w:tcW w:w="1300" w:type="dxa"/>
            <w:vAlign w:val="bottom"/>
          </w:tcPr>
          <w:p>
            <w:pPr>
              <w:jc w:val="right"/>
              <w:ind w:right="8"/>
              <w:spacing w:after="0"/>
              <w:rPr>
                <w:sz w:val="20"/>
                <w:szCs w:val="20"/>
                <w:color w:val="auto"/>
              </w:rPr>
            </w:pPr>
            <w:r>
              <w:rPr>
                <w:rFonts w:ascii="Arial" w:cs="Arial" w:eastAsia="Arial" w:hAnsi="Arial"/>
                <w:sz w:val="15"/>
                <w:szCs w:val="15"/>
                <w:b w:val="1"/>
                <w:bCs w:val="1"/>
                <w:color w:val="auto"/>
              </w:rPr>
              <w:t>79,070</w:t>
            </w:r>
          </w:p>
        </w:tc>
        <w:tc>
          <w:tcPr>
            <w:tcW w:w="20" w:type="dxa"/>
            <w:vAlign w:val="bottom"/>
          </w:tcPr>
          <w:p>
            <w:pPr>
              <w:spacing w:after="0"/>
              <w:rPr>
                <w:sz w:val="21"/>
                <w:szCs w:val="21"/>
                <w:color w:val="auto"/>
              </w:rPr>
            </w:pPr>
          </w:p>
        </w:tc>
      </w:tr>
      <w:tr>
        <w:trPr>
          <w:trHeight w:val="25"/>
        </w:trPr>
        <w:tc>
          <w:tcPr>
            <w:tcW w:w="9920" w:type="dxa"/>
            <w:vAlign w:val="bottom"/>
            <w:tcBorders>
              <w:bottom w:val="single" w:sz="8" w:color="183964"/>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1"/>
        </w:trPr>
        <w:tc>
          <w:tcPr>
            <w:tcW w:w="9920" w:type="dxa"/>
            <w:vAlign w:val="bottom"/>
          </w:tcPr>
          <w:p>
            <w:pPr>
              <w:ind w:left="20"/>
              <w:spacing w:after="0"/>
              <w:rPr>
                <w:sz w:val="20"/>
                <w:szCs w:val="20"/>
                <w:color w:val="auto"/>
              </w:rPr>
            </w:pPr>
            <w:r>
              <w:rPr>
                <w:rFonts w:ascii="Arial" w:cs="Arial" w:eastAsia="Arial" w:hAnsi="Arial"/>
                <w:sz w:val="15"/>
                <w:szCs w:val="15"/>
                <w:b w:val="1"/>
                <w:bCs w:val="1"/>
                <w:color w:val="auto"/>
              </w:rPr>
              <w:t>Net assets/(liabilities)</w:t>
            </w:r>
          </w:p>
        </w:tc>
        <w:tc>
          <w:tcPr>
            <w:tcW w:w="1300" w:type="dxa"/>
            <w:vAlign w:val="bottom"/>
          </w:tcPr>
          <w:p>
            <w:pPr>
              <w:jc w:val="right"/>
              <w:ind w:right="8"/>
              <w:spacing w:after="0"/>
              <w:rPr>
                <w:sz w:val="20"/>
                <w:szCs w:val="20"/>
                <w:color w:val="auto"/>
              </w:rPr>
            </w:pPr>
            <w:r>
              <w:rPr>
                <w:rFonts w:ascii="Arial" w:cs="Arial" w:eastAsia="Arial" w:hAnsi="Arial"/>
                <w:sz w:val="15"/>
                <w:szCs w:val="15"/>
                <w:b w:val="1"/>
                <w:bCs w:val="1"/>
                <w:color w:val="auto"/>
              </w:rPr>
              <w:t>23,424</w:t>
            </w:r>
          </w:p>
        </w:tc>
        <w:tc>
          <w:tcPr>
            <w:tcW w:w="20" w:type="dxa"/>
            <w:vAlign w:val="bottom"/>
          </w:tcPr>
          <w:p>
            <w:pPr>
              <w:spacing w:after="0"/>
              <w:rPr>
                <w:sz w:val="18"/>
                <w:szCs w:val="18"/>
                <w:color w:val="auto"/>
              </w:rPr>
            </w:pPr>
          </w:p>
        </w:tc>
      </w:tr>
      <w:tr>
        <w:trPr>
          <w:trHeight w:val="25"/>
        </w:trPr>
        <w:tc>
          <w:tcPr>
            <w:tcW w:w="9920" w:type="dxa"/>
            <w:vAlign w:val="bottom"/>
            <w:tcBorders>
              <w:bottom w:val="single" w:sz="8" w:color="183964"/>
            </w:tcBorders>
          </w:tcPr>
          <w:p>
            <w:pPr>
              <w:spacing w:after="0"/>
              <w:rPr>
                <w:sz w:val="2"/>
                <w:szCs w:val="2"/>
                <w:color w:val="auto"/>
              </w:rPr>
            </w:pPr>
          </w:p>
        </w:tc>
        <w:tc>
          <w:tcPr>
            <w:tcW w:w="1300" w:type="dxa"/>
            <w:vAlign w:val="bottom"/>
            <w:tcBorders>
              <w:bottom w:val="single" w:sz="8" w:color="183964"/>
            </w:tcBorders>
          </w:tcPr>
          <w:p>
            <w:pPr>
              <w:spacing w:after="0"/>
              <w:rPr>
                <w:sz w:val="2"/>
                <w:szCs w:val="2"/>
                <w:color w:val="auto"/>
              </w:rPr>
            </w:pPr>
          </w:p>
        </w:tc>
        <w:tc>
          <w:tcPr>
            <w:tcW w:w="20" w:type="dxa"/>
            <w:vAlign w:val="bottom"/>
          </w:tcPr>
          <w:p>
            <w:pPr>
              <w:spacing w:after="0"/>
              <w:rPr>
                <w:sz w:val="2"/>
                <w:szCs w:val="2"/>
                <w:color w:val="auto"/>
              </w:rPr>
            </w:pPr>
          </w:p>
        </w:tc>
      </w:tr>
      <w:tr>
        <w:trPr>
          <w:trHeight w:val="1647"/>
        </w:trPr>
        <w:tc>
          <w:tcPr>
            <w:tcW w:w="99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3" w:right="339" w:bottom="1440" w:gutter="0" w:footer="0" w:header="0"/>
        </w:sectPr>
      </w:pPr>
    </w:p>
    <w:bookmarkStart w:id="39" w:name="page40"/>
    <w:bookmarkEnd w:id="39"/>
    <w:p>
      <w:pPr>
        <w:ind w:left="440" w:hanging="432"/>
        <w:spacing w:after="0"/>
        <w:tabs>
          <w:tab w:leader="none" w:pos="440" w:val="left"/>
        </w:tabs>
        <w:numPr>
          <w:ilvl w:val="0"/>
          <w:numId w:val="32"/>
        </w:numPr>
        <w:rPr>
          <w:rFonts w:ascii="Arial" w:cs="Arial" w:eastAsia="Arial" w:hAnsi="Arial"/>
          <w:sz w:val="15"/>
          <w:szCs w:val="15"/>
          <w:b w:val="1"/>
          <w:bCs w:val="1"/>
          <w:color w:val="183964"/>
        </w:rPr>
      </w:pPr>
      <w:r>
        <w:rPr>
          <w:rFonts w:ascii="Arial" w:cs="Arial" w:eastAsia="Arial" w:hAnsi="Arial"/>
          <w:sz w:val="15"/>
          <w:szCs w:val="15"/>
          <w:b w:val="1"/>
          <w:bCs w:val="1"/>
          <w:color w:val="183964"/>
        </w:rPr>
        <w:t>Trade and Other Payables</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color w:val="auto"/>
        </w:rPr>
        <w:t>Information regarding Trade and other payables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60" w:type="dxa"/>
            <w:vAlign w:val="bottom"/>
          </w:tcPr>
          <w:p>
            <w:pPr>
              <w:spacing w:after="0"/>
              <w:rPr>
                <w:sz w:val="13"/>
                <w:szCs w:val="13"/>
                <w:color w:val="auto"/>
              </w:rPr>
            </w:pPr>
          </w:p>
        </w:tc>
        <w:tc>
          <w:tcPr>
            <w:tcW w:w="4320" w:type="dxa"/>
            <w:vAlign w:val="bottom"/>
          </w:tcPr>
          <w:p>
            <w:pPr>
              <w:jc w:val="right"/>
              <w:ind w:right="307"/>
              <w:spacing w:after="0"/>
              <w:rPr>
                <w:sz w:val="20"/>
                <w:szCs w:val="20"/>
                <w:color w:val="auto"/>
              </w:rPr>
            </w:pPr>
            <w:r>
              <w:rPr>
                <w:rFonts w:ascii="Arial" w:cs="Arial" w:eastAsia="Arial" w:hAnsi="Arial"/>
                <w:sz w:val="13"/>
                <w:szCs w:val="13"/>
                <w:b w:val="1"/>
                <w:bCs w:val="1"/>
                <w:color w:val="auto"/>
              </w:rPr>
              <w:t>2024</w:t>
            </w:r>
          </w:p>
        </w:tc>
        <w:tc>
          <w:tcPr>
            <w:tcW w:w="940" w:type="dxa"/>
            <w:vAlign w:val="bottom"/>
          </w:tcPr>
          <w:p>
            <w:pPr>
              <w:jc w:val="right"/>
              <w:spacing w:after="0"/>
              <w:rPr>
                <w:sz w:val="20"/>
                <w:szCs w:val="20"/>
                <w:color w:val="auto"/>
              </w:rPr>
            </w:pPr>
            <w:r>
              <w:rPr>
                <w:rFonts w:ascii="Arial" w:cs="Arial" w:eastAsia="Arial" w:hAnsi="Arial"/>
                <w:sz w:val="13"/>
                <w:szCs w:val="13"/>
                <w:color w:val="183964"/>
              </w:rPr>
              <w:t>2023</w:t>
            </w:r>
          </w:p>
        </w:tc>
      </w:tr>
      <w:tr>
        <w:trPr>
          <w:trHeight w:val="172"/>
        </w:trPr>
        <w:tc>
          <w:tcPr>
            <w:tcW w:w="5960" w:type="dxa"/>
            <w:vAlign w:val="bottom"/>
          </w:tcPr>
          <w:p>
            <w:pPr>
              <w:ind w:left="20"/>
              <w:spacing w:after="0"/>
              <w:rPr>
                <w:sz w:val="20"/>
                <w:szCs w:val="20"/>
                <w:color w:val="auto"/>
              </w:rPr>
            </w:pPr>
            <w:r>
              <w:rPr>
                <w:rFonts w:ascii="Arial" w:cs="Arial" w:eastAsia="Arial" w:hAnsi="Arial"/>
                <w:sz w:val="13"/>
                <w:szCs w:val="13"/>
                <w:color w:val="auto"/>
              </w:rPr>
              <w:t>As of June 30, 2024 and December 31, 2023</w:t>
            </w:r>
          </w:p>
        </w:tc>
        <w:tc>
          <w:tcPr>
            <w:tcW w:w="4320" w:type="dxa"/>
            <w:vAlign w:val="bottom"/>
          </w:tcPr>
          <w:p>
            <w:pPr>
              <w:jc w:val="right"/>
              <w:ind w:right="307"/>
              <w:spacing w:after="0"/>
              <w:rPr>
                <w:sz w:val="20"/>
                <w:szCs w:val="20"/>
                <w:color w:val="auto"/>
              </w:rPr>
            </w:pPr>
            <w:r>
              <w:rPr>
                <w:rFonts w:ascii="Arial" w:cs="Arial" w:eastAsia="Arial" w:hAnsi="Arial"/>
                <w:sz w:val="13"/>
                <w:szCs w:val="13"/>
                <w:b w:val="1"/>
                <w:bCs w:val="1"/>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183964"/>
              </w:rPr>
              <w:t>$</w:t>
            </w:r>
          </w:p>
        </w:tc>
      </w:tr>
      <w:tr>
        <w:trPr>
          <w:trHeight w:val="22"/>
        </w:trPr>
        <w:tc>
          <w:tcPr>
            <w:tcW w:w="5960" w:type="dxa"/>
            <w:vAlign w:val="bottom"/>
            <w:tcBorders>
              <w:bottom w:val="single" w:sz="8" w:color="183964"/>
            </w:tcBorders>
          </w:tcPr>
          <w:p>
            <w:pPr>
              <w:spacing w:after="0" w:line="20" w:lineRule="exact"/>
              <w:rPr>
                <w:sz w:val="1"/>
                <w:szCs w:val="1"/>
                <w:color w:val="auto"/>
              </w:rPr>
            </w:pPr>
          </w:p>
        </w:tc>
        <w:tc>
          <w:tcPr>
            <w:tcW w:w="4320" w:type="dxa"/>
            <w:vAlign w:val="bottom"/>
            <w:tcBorders>
              <w:bottom w:val="single" w:sz="8" w:color="183964"/>
            </w:tcBorders>
          </w:tcPr>
          <w:p>
            <w:pPr>
              <w:spacing w:after="0" w:line="20" w:lineRule="exact"/>
              <w:rPr>
                <w:sz w:val="1"/>
                <w:szCs w:val="1"/>
                <w:color w:val="auto"/>
              </w:rPr>
            </w:pPr>
          </w:p>
        </w:tc>
        <w:tc>
          <w:tcPr>
            <w:tcW w:w="940" w:type="dxa"/>
            <w:vAlign w:val="bottom"/>
            <w:tcBorders>
              <w:bottom w:val="single" w:sz="8" w:color="183964"/>
            </w:tcBorders>
          </w:tcPr>
          <w:p>
            <w:pPr>
              <w:spacing w:after="0" w:line="20" w:lineRule="exact"/>
              <w:rPr>
                <w:sz w:val="1"/>
                <w:szCs w:val="1"/>
                <w:color w:val="auto"/>
              </w:rPr>
            </w:pPr>
          </w:p>
        </w:tc>
      </w:tr>
      <w:tr>
        <w:trPr>
          <w:trHeight w:val="212"/>
        </w:trPr>
        <w:tc>
          <w:tcPr>
            <w:tcW w:w="5960" w:type="dxa"/>
            <w:vAlign w:val="bottom"/>
          </w:tcPr>
          <w:p>
            <w:pPr>
              <w:ind w:left="20"/>
              <w:spacing w:after="0"/>
              <w:rPr>
                <w:sz w:val="20"/>
                <w:szCs w:val="20"/>
                <w:color w:val="auto"/>
              </w:rPr>
            </w:pPr>
            <w:r>
              <w:rPr>
                <w:rFonts w:ascii="Arial" w:cs="Arial" w:eastAsia="Arial" w:hAnsi="Arial"/>
                <w:sz w:val="15"/>
                <w:szCs w:val="15"/>
                <w:color w:val="auto"/>
              </w:rPr>
              <w:t>Trade payables</w:t>
            </w:r>
          </w:p>
        </w:tc>
        <w:tc>
          <w:tcPr>
            <w:tcW w:w="4320" w:type="dxa"/>
            <w:vAlign w:val="bottom"/>
          </w:tcPr>
          <w:p>
            <w:pPr>
              <w:jc w:val="right"/>
              <w:ind w:right="367"/>
              <w:spacing w:after="0"/>
              <w:rPr>
                <w:sz w:val="20"/>
                <w:szCs w:val="20"/>
                <w:color w:val="auto"/>
              </w:rPr>
            </w:pPr>
            <w:r>
              <w:rPr>
                <w:rFonts w:ascii="Arial" w:cs="Arial" w:eastAsia="Arial" w:hAnsi="Arial"/>
                <w:sz w:val="15"/>
                <w:szCs w:val="15"/>
                <w:b w:val="1"/>
                <w:bCs w:val="1"/>
                <w:color w:val="auto"/>
              </w:rPr>
              <w:t>8,125</w:t>
            </w:r>
          </w:p>
        </w:tc>
        <w:tc>
          <w:tcPr>
            <w:tcW w:w="940" w:type="dxa"/>
            <w:vAlign w:val="bottom"/>
          </w:tcPr>
          <w:p>
            <w:pPr>
              <w:jc w:val="right"/>
              <w:ind w:right="7"/>
              <w:spacing w:after="0"/>
              <w:rPr>
                <w:sz w:val="20"/>
                <w:szCs w:val="20"/>
                <w:color w:val="auto"/>
              </w:rPr>
            </w:pPr>
            <w:r>
              <w:rPr>
                <w:rFonts w:ascii="Arial" w:cs="Arial" w:eastAsia="Arial" w:hAnsi="Arial"/>
                <w:sz w:val="15"/>
                <w:szCs w:val="15"/>
                <w:color w:val="183964"/>
              </w:rPr>
              <w:t>14,637</w:t>
            </w:r>
          </w:p>
        </w:tc>
      </w:tr>
      <w:tr>
        <w:trPr>
          <w:trHeight w:val="243"/>
        </w:trPr>
        <w:tc>
          <w:tcPr>
            <w:tcW w:w="5960" w:type="dxa"/>
            <w:vAlign w:val="bottom"/>
          </w:tcPr>
          <w:p>
            <w:pPr>
              <w:ind w:left="20"/>
              <w:spacing w:after="0"/>
              <w:rPr>
                <w:sz w:val="20"/>
                <w:szCs w:val="20"/>
                <w:color w:val="auto"/>
              </w:rPr>
            </w:pPr>
            <w:r>
              <w:rPr>
                <w:rFonts w:ascii="Arial" w:cs="Arial" w:eastAsia="Arial" w:hAnsi="Arial"/>
                <w:sz w:val="15"/>
                <w:szCs w:val="15"/>
                <w:color w:val="auto"/>
              </w:rPr>
              <w:t>Accrued expenses</w:t>
            </w:r>
          </w:p>
        </w:tc>
        <w:tc>
          <w:tcPr>
            <w:tcW w:w="4320" w:type="dxa"/>
            <w:vAlign w:val="bottom"/>
          </w:tcPr>
          <w:p>
            <w:pPr>
              <w:jc w:val="right"/>
              <w:ind w:right="367"/>
              <w:spacing w:after="0"/>
              <w:rPr>
                <w:sz w:val="20"/>
                <w:szCs w:val="20"/>
                <w:color w:val="auto"/>
              </w:rPr>
            </w:pPr>
            <w:r>
              <w:rPr>
                <w:rFonts w:ascii="Arial" w:cs="Arial" w:eastAsia="Arial" w:hAnsi="Arial"/>
                <w:sz w:val="15"/>
                <w:szCs w:val="15"/>
                <w:b w:val="1"/>
                <w:bCs w:val="1"/>
                <w:color w:val="auto"/>
              </w:rPr>
              <w:t>21,434</w:t>
            </w:r>
          </w:p>
        </w:tc>
        <w:tc>
          <w:tcPr>
            <w:tcW w:w="940" w:type="dxa"/>
            <w:vAlign w:val="bottom"/>
          </w:tcPr>
          <w:p>
            <w:pPr>
              <w:jc w:val="right"/>
              <w:ind w:right="7"/>
              <w:spacing w:after="0"/>
              <w:rPr>
                <w:sz w:val="20"/>
                <w:szCs w:val="20"/>
                <w:color w:val="auto"/>
              </w:rPr>
            </w:pPr>
            <w:r>
              <w:rPr>
                <w:rFonts w:ascii="Arial" w:cs="Arial" w:eastAsia="Arial" w:hAnsi="Arial"/>
                <w:sz w:val="15"/>
                <w:szCs w:val="15"/>
                <w:color w:val="183964"/>
              </w:rPr>
              <w:t>28,187</w:t>
            </w:r>
          </w:p>
        </w:tc>
      </w:tr>
      <w:tr>
        <w:trPr>
          <w:trHeight w:val="243"/>
        </w:trPr>
        <w:tc>
          <w:tcPr>
            <w:tcW w:w="5960" w:type="dxa"/>
            <w:vAlign w:val="bottom"/>
          </w:tcPr>
          <w:p>
            <w:pPr>
              <w:ind w:left="20"/>
              <w:spacing w:after="0"/>
              <w:rPr>
                <w:sz w:val="20"/>
                <w:szCs w:val="20"/>
                <w:color w:val="auto"/>
              </w:rPr>
            </w:pPr>
            <w:r>
              <w:rPr>
                <w:rFonts w:ascii="Arial" w:cs="Arial" w:eastAsia="Arial" w:hAnsi="Arial"/>
                <w:sz w:val="15"/>
                <w:szCs w:val="15"/>
                <w:color w:val="auto"/>
              </w:rPr>
              <w:t>Liability for share-based awards</w:t>
            </w:r>
          </w:p>
        </w:tc>
        <w:tc>
          <w:tcPr>
            <w:tcW w:w="4320" w:type="dxa"/>
            <w:vAlign w:val="bottom"/>
          </w:tcPr>
          <w:p>
            <w:pPr>
              <w:jc w:val="right"/>
              <w:ind w:right="367"/>
              <w:spacing w:after="0"/>
              <w:rPr>
                <w:sz w:val="20"/>
                <w:szCs w:val="20"/>
                <w:color w:val="auto"/>
              </w:rPr>
            </w:pPr>
            <w:r>
              <w:rPr>
                <w:rFonts w:ascii="Arial" w:cs="Arial" w:eastAsia="Arial" w:hAnsi="Arial"/>
                <w:sz w:val="15"/>
                <w:szCs w:val="15"/>
                <w:b w:val="1"/>
                <w:bCs w:val="1"/>
                <w:color w:val="auto"/>
              </w:rPr>
              <w:t>1,886</w:t>
            </w:r>
          </w:p>
        </w:tc>
        <w:tc>
          <w:tcPr>
            <w:tcW w:w="940" w:type="dxa"/>
            <w:vAlign w:val="bottom"/>
          </w:tcPr>
          <w:p>
            <w:pPr>
              <w:jc w:val="right"/>
              <w:ind w:right="7"/>
              <w:spacing w:after="0"/>
              <w:rPr>
                <w:sz w:val="20"/>
                <w:szCs w:val="20"/>
                <w:color w:val="auto"/>
              </w:rPr>
            </w:pPr>
            <w:r>
              <w:rPr>
                <w:rFonts w:ascii="Arial" w:cs="Arial" w:eastAsia="Arial" w:hAnsi="Arial"/>
                <w:sz w:val="15"/>
                <w:szCs w:val="15"/>
                <w:color w:val="183964"/>
              </w:rPr>
              <w:t>1,281</w:t>
            </w:r>
          </w:p>
        </w:tc>
      </w:tr>
      <w:tr>
        <w:trPr>
          <w:trHeight w:val="243"/>
        </w:trPr>
        <w:tc>
          <w:tcPr>
            <w:tcW w:w="5960" w:type="dxa"/>
            <w:vAlign w:val="bottom"/>
          </w:tcPr>
          <w:p>
            <w:pPr>
              <w:ind w:left="20"/>
              <w:spacing w:after="0"/>
              <w:rPr>
                <w:sz w:val="20"/>
                <w:szCs w:val="20"/>
                <w:color w:val="auto"/>
              </w:rPr>
            </w:pPr>
            <w:r>
              <w:rPr>
                <w:rFonts w:ascii="Arial" w:cs="Arial" w:eastAsia="Arial" w:hAnsi="Arial"/>
                <w:sz w:val="15"/>
                <w:szCs w:val="15"/>
                <w:color w:val="auto"/>
              </w:rPr>
              <w:t>Other</w:t>
            </w:r>
          </w:p>
        </w:tc>
        <w:tc>
          <w:tcPr>
            <w:tcW w:w="4320" w:type="dxa"/>
            <w:vAlign w:val="bottom"/>
          </w:tcPr>
          <w:p>
            <w:pPr>
              <w:jc w:val="right"/>
              <w:ind w:right="367"/>
              <w:spacing w:after="0"/>
              <w:rPr>
                <w:sz w:val="20"/>
                <w:szCs w:val="20"/>
                <w:color w:val="auto"/>
              </w:rPr>
            </w:pPr>
            <w:r>
              <w:rPr>
                <w:rFonts w:ascii="Arial" w:cs="Arial" w:eastAsia="Arial" w:hAnsi="Arial"/>
                <w:sz w:val="15"/>
                <w:szCs w:val="15"/>
                <w:b w:val="1"/>
                <w:bCs w:val="1"/>
                <w:color w:val="auto"/>
              </w:rPr>
              <w:t>1</w:t>
            </w:r>
          </w:p>
        </w:tc>
        <w:tc>
          <w:tcPr>
            <w:tcW w:w="940" w:type="dxa"/>
            <w:vAlign w:val="bottom"/>
          </w:tcPr>
          <w:p>
            <w:pPr>
              <w:jc w:val="right"/>
              <w:ind w:right="7"/>
              <w:spacing w:after="0"/>
              <w:rPr>
                <w:sz w:val="20"/>
                <w:szCs w:val="20"/>
                <w:color w:val="auto"/>
              </w:rPr>
            </w:pPr>
            <w:r>
              <w:rPr>
                <w:rFonts w:ascii="Arial" w:cs="Arial" w:eastAsia="Arial" w:hAnsi="Arial"/>
                <w:sz w:val="15"/>
                <w:szCs w:val="15"/>
                <w:color w:val="183964"/>
              </w:rPr>
              <w:t>3</w:t>
            </w:r>
          </w:p>
        </w:tc>
      </w:tr>
      <w:tr>
        <w:trPr>
          <w:trHeight w:val="25"/>
        </w:trPr>
        <w:tc>
          <w:tcPr>
            <w:tcW w:w="596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1"/>
        </w:trPr>
        <w:tc>
          <w:tcPr>
            <w:tcW w:w="5960" w:type="dxa"/>
            <w:vAlign w:val="bottom"/>
          </w:tcPr>
          <w:p>
            <w:pPr>
              <w:ind w:left="20"/>
              <w:spacing w:after="0"/>
              <w:rPr>
                <w:sz w:val="20"/>
                <w:szCs w:val="20"/>
                <w:color w:val="auto"/>
              </w:rPr>
            </w:pPr>
            <w:r>
              <w:rPr>
                <w:rFonts w:ascii="Arial" w:cs="Arial" w:eastAsia="Arial" w:hAnsi="Arial"/>
                <w:sz w:val="15"/>
                <w:szCs w:val="15"/>
                <w:b w:val="1"/>
                <w:bCs w:val="1"/>
                <w:color w:val="auto"/>
              </w:rPr>
              <w:t>Total trade and other payables</w:t>
            </w:r>
          </w:p>
        </w:tc>
        <w:tc>
          <w:tcPr>
            <w:tcW w:w="4320" w:type="dxa"/>
            <w:vAlign w:val="bottom"/>
          </w:tcPr>
          <w:p>
            <w:pPr>
              <w:jc w:val="right"/>
              <w:ind w:right="367"/>
              <w:spacing w:after="0"/>
              <w:rPr>
                <w:sz w:val="20"/>
                <w:szCs w:val="20"/>
                <w:color w:val="auto"/>
              </w:rPr>
            </w:pPr>
            <w:r>
              <w:rPr>
                <w:rFonts w:ascii="Arial" w:cs="Arial" w:eastAsia="Arial" w:hAnsi="Arial"/>
                <w:sz w:val="15"/>
                <w:szCs w:val="15"/>
                <w:b w:val="1"/>
                <w:bCs w:val="1"/>
                <w:color w:val="auto"/>
              </w:rPr>
              <w:t>31,445</w:t>
            </w:r>
          </w:p>
        </w:tc>
        <w:tc>
          <w:tcPr>
            <w:tcW w:w="940" w:type="dxa"/>
            <w:vAlign w:val="bottom"/>
          </w:tcPr>
          <w:p>
            <w:pPr>
              <w:jc w:val="right"/>
              <w:ind w:right="7"/>
              <w:spacing w:after="0"/>
              <w:rPr>
                <w:sz w:val="20"/>
                <w:szCs w:val="20"/>
                <w:color w:val="auto"/>
              </w:rPr>
            </w:pPr>
            <w:r>
              <w:rPr>
                <w:rFonts w:ascii="Arial" w:cs="Arial" w:eastAsia="Arial" w:hAnsi="Arial"/>
                <w:sz w:val="15"/>
                <w:szCs w:val="15"/>
                <w:color w:val="183964"/>
              </w:rPr>
              <w:t>44,107</w:t>
            </w:r>
          </w:p>
        </w:tc>
      </w:tr>
      <w:tr>
        <w:trPr>
          <w:trHeight w:val="25"/>
        </w:trPr>
        <w:tc>
          <w:tcPr>
            <w:tcW w:w="596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170" w:lineRule="exact"/>
        <w:rPr>
          <w:sz w:val="20"/>
          <w:szCs w:val="20"/>
          <w:color w:val="auto"/>
        </w:rPr>
      </w:pPr>
    </w:p>
    <w:p>
      <w:pPr>
        <w:ind w:left="400" w:hanging="392"/>
        <w:spacing w:after="0"/>
        <w:tabs>
          <w:tab w:leader="none" w:pos="400" w:val="left"/>
        </w:tabs>
        <w:numPr>
          <w:ilvl w:val="0"/>
          <w:numId w:val="33"/>
        </w:numPr>
        <w:rPr>
          <w:rFonts w:ascii="Arial" w:cs="Arial" w:eastAsia="Arial" w:hAnsi="Arial"/>
          <w:sz w:val="15"/>
          <w:szCs w:val="15"/>
          <w:b w:val="1"/>
          <w:bCs w:val="1"/>
          <w:color w:val="183964"/>
        </w:rPr>
      </w:pPr>
      <w:r>
        <w:rPr>
          <w:rFonts w:ascii="Arial" w:cs="Arial" w:eastAsia="Arial" w:hAnsi="Arial"/>
          <w:sz w:val="15"/>
          <w:szCs w:val="15"/>
          <w:b w:val="1"/>
          <w:bCs w:val="1"/>
          <w:color w:val="183964"/>
        </w:rPr>
        <w:t>Commitments and Contingencies</w:t>
      </w:r>
    </w:p>
    <w:p>
      <w:pPr>
        <w:spacing w:after="0" w:line="100" w:lineRule="exact"/>
        <w:rPr>
          <w:sz w:val="20"/>
          <w:szCs w:val="20"/>
          <w:color w:val="auto"/>
        </w:rPr>
      </w:pPr>
    </w:p>
    <w:p>
      <w:pPr>
        <w:spacing w:after="0" w:line="260" w:lineRule="auto"/>
        <w:rPr>
          <w:sz w:val="20"/>
          <w:szCs w:val="20"/>
          <w:color w:val="auto"/>
        </w:rPr>
      </w:pPr>
      <w:r>
        <w:rPr>
          <w:rFonts w:ascii="Arial" w:cs="Arial" w:eastAsia="Arial" w:hAnsi="Arial"/>
          <w:sz w:val="15"/>
          <w:szCs w:val="15"/>
          <w:color w:val="auto"/>
        </w:rPr>
        <w:t>The Group is a party to certain licensing agreements where the Group is licensing IP from third parties. In consideration for such licenses, the Group has made upfront payments and may be required to make additional contingent payments based on developmental and sales milestones and/or royalty on future sales. As of June 30, 2024, certain milestone events have not yet occurred, and therefore, the Group does not have a present obligation to make the related payments in respect of the licenses. Such milestones are dependent on events that are outside of the control of the Group, and many of these milestone events are remote of occurring. Payments in respect of developmental milestones that are dependent on events that are outside the control of the Group but are reasonably possible to occur amounted to approximately $7,371 and $7,371, respectively, as of June 30, 2024 and December 31, 2023. These milestone amounts represent an aggregate of multiple milestone payments depending on different milestone events in multiple agreements. The probability that all such milestone events will occur in the aggregate is remote. Payments made to license IP represent the acquisition cost of intangible assets.</w:t>
      </w:r>
    </w:p>
    <w:p>
      <w:pPr>
        <w:spacing w:after="0" w:line="58" w:lineRule="exact"/>
        <w:rPr>
          <w:sz w:val="20"/>
          <w:szCs w:val="20"/>
          <w:color w:val="auto"/>
        </w:rPr>
      </w:pPr>
    </w:p>
    <w:p>
      <w:pPr>
        <w:ind w:right="60"/>
        <w:spacing w:after="0" w:line="282" w:lineRule="auto"/>
        <w:rPr>
          <w:sz w:val="20"/>
          <w:szCs w:val="20"/>
          <w:color w:val="auto"/>
        </w:rPr>
      </w:pPr>
      <w:r>
        <w:rPr>
          <w:rFonts w:ascii="Arial" w:cs="Arial" w:eastAsia="Arial" w:hAnsi="Arial"/>
          <w:sz w:val="15"/>
          <w:szCs w:val="15"/>
          <w:color w:val="auto"/>
        </w:rPr>
        <w:t>The Group was a party to certain sponsored research arrangements and is a party to arrangements with contract manufacturing and contract research organizations, whereby the counterparty provides the Group with research and/or manufacturing services. As of June 30, 2024 and December 31, 2023, the noncancellable commitments in respect of such contracts amounted to approximately $16,827 and $16,422, respectively.</w:t>
      </w:r>
    </w:p>
    <w:p>
      <w:pPr>
        <w:spacing w:after="0" w:line="40" w:lineRule="exact"/>
        <w:rPr>
          <w:sz w:val="20"/>
          <w:szCs w:val="20"/>
          <w:color w:val="auto"/>
        </w:rPr>
      </w:pPr>
    </w:p>
    <w:p>
      <w:pPr>
        <w:ind w:right="20"/>
        <w:spacing w:after="0" w:line="269" w:lineRule="auto"/>
        <w:rPr>
          <w:sz w:val="20"/>
          <w:szCs w:val="20"/>
          <w:color w:val="auto"/>
        </w:rPr>
      </w:pPr>
      <w:r>
        <w:rPr>
          <w:rFonts w:ascii="Arial" w:cs="Arial" w:eastAsia="Arial" w:hAnsi="Arial"/>
          <w:sz w:val="15"/>
          <w:szCs w:val="15"/>
          <w:color w:val="auto"/>
        </w:rPr>
        <w:t>In March 2024, a complaint was filed in Massachusetts District Court against the Group alleging breach of contract with respect to certain payments alleged to be owed to a previous employee of a Group's subsidiary based on purported terms of a contract between such individual and the Group. The Group intends to defend itself vigorously though the ultimate outcome of this matter and the timing for resolution remains uncertain. No determination has been made that a loss, if any, arising from this matter is probable or that the amount of any such loss, or range of loss, is reasonably estimable.</w:t>
      </w:r>
    </w:p>
    <w:p>
      <w:pPr>
        <w:spacing w:after="0" w:line="50" w:lineRule="exact"/>
        <w:rPr>
          <w:sz w:val="20"/>
          <w:szCs w:val="20"/>
          <w:color w:val="auto"/>
        </w:rPr>
      </w:pPr>
    </w:p>
    <w:p>
      <w:pPr>
        <w:ind w:right="60"/>
        <w:spacing w:after="0" w:line="269" w:lineRule="auto"/>
        <w:rPr>
          <w:sz w:val="20"/>
          <w:szCs w:val="20"/>
          <w:color w:val="auto"/>
        </w:rPr>
      </w:pPr>
      <w:r>
        <w:rPr>
          <w:rFonts w:ascii="Arial" w:cs="Arial" w:eastAsia="Arial" w:hAnsi="Arial"/>
          <w:sz w:val="15"/>
          <w:szCs w:val="15"/>
          <w:color w:val="auto"/>
        </w:rPr>
        <w:t>The Group is involved from time -to-time in various legal proceedings arising in the normal course of business. Although the outcomes of these legal proceedings are inherently difficult to predict, the Group does not expect the resolution of such legal proceedings to have a material adverse effect on its financial position or results of operations. The Group did not book any provisions and did not identify any contingent liabilities requiring disclosure for any legal proceedings other than already included above for the six months ended June 30, 2024.</w:t>
      </w:r>
    </w:p>
    <w:p>
      <w:pPr>
        <w:spacing w:after="0" w:line="48" w:lineRule="exact"/>
        <w:rPr>
          <w:sz w:val="20"/>
          <w:szCs w:val="20"/>
          <w:color w:val="auto"/>
        </w:rPr>
      </w:pPr>
    </w:p>
    <w:p>
      <w:pPr>
        <w:ind w:left="400" w:hanging="392"/>
        <w:spacing w:after="0"/>
        <w:tabs>
          <w:tab w:leader="none" w:pos="400" w:val="left"/>
        </w:tabs>
        <w:numPr>
          <w:ilvl w:val="0"/>
          <w:numId w:val="34"/>
        </w:numPr>
        <w:rPr>
          <w:rFonts w:ascii="Arial" w:cs="Arial" w:eastAsia="Arial" w:hAnsi="Arial"/>
          <w:sz w:val="15"/>
          <w:szCs w:val="15"/>
          <w:b w:val="1"/>
          <w:bCs w:val="1"/>
          <w:color w:val="183964"/>
        </w:rPr>
      </w:pPr>
      <w:r>
        <w:rPr>
          <w:rFonts w:ascii="Arial" w:cs="Arial" w:eastAsia="Arial" w:hAnsi="Arial"/>
          <w:sz w:val="15"/>
          <w:szCs w:val="15"/>
          <w:b w:val="1"/>
          <w:bCs w:val="1"/>
          <w:color w:val="183964"/>
        </w:rPr>
        <w:t>Related Parties Transactions</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color w:val="183964"/>
        </w:rPr>
        <w:t>Related Party Subleases</w:t>
      </w:r>
    </w:p>
    <w:p>
      <w:pPr>
        <w:spacing w:after="0" w:line="28" w:lineRule="exact"/>
        <w:rPr>
          <w:sz w:val="20"/>
          <w:szCs w:val="20"/>
          <w:color w:val="auto"/>
        </w:rPr>
      </w:pPr>
    </w:p>
    <w:p>
      <w:pPr>
        <w:ind w:right="520"/>
        <w:spacing w:after="0" w:line="267" w:lineRule="auto"/>
        <w:rPr>
          <w:sz w:val="20"/>
          <w:szCs w:val="20"/>
          <w:color w:val="auto"/>
        </w:rPr>
      </w:pPr>
      <w:r>
        <w:rPr>
          <w:rFonts w:ascii="Arial" w:cs="Arial" w:eastAsia="Arial" w:hAnsi="Arial"/>
          <w:sz w:val="15"/>
          <w:szCs w:val="15"/>
          <w:color w:val="auto"/>
        </w:rPr>
        <w:t>During 2019, the Group executed a sublease agreement with a related party, Gelesis. During 2023, the sublease receivable was written down to $0 as Gelesis ceased operations and filed for bankruptcy.</w:t>
      </w:r>
    </w:p>
    <w:p>
      <w:pPr>
        <w:spacing w:after="0" w:line="64" w:lineRule="exact"/>
        <w:rPr>
          <w:sz w:val="20"/>
          <w:szCs w:val="20"/>
          <w:color w:val="auto"/>
        </w:rPr>
      </w:pPr>
    </w:p>
    <w:p>
      <w:pPr>
        <w:ind w:right="580"/>
        <w:spacing w:after="0" w:line="283" w:lineRule="auto"/>
        <w:rPr>
          <w:sz w:val="20"/>
          <w:szCs w:val="20"/>
          <w:color w:val="auto"/>
        </w:rPr>
      </w:pPr>
      <w:r>
        <w:rPr>
          <w:rFonts w:ascii="Arial" w:cs="Arial" w:eastAsia="Arial" w:hAnsi="Arial"/>
          <w:sz w:val="15"/>
          <w:szCs w:val="15"/>
          <w:color w:val="auto"/>
        </w:rPr>
        <w:t>The Group recorded $0, and $16 of interest income with respect to the sublease during the six months ended June 30, 2024, and 2023, respectively, which is presented within finance income in the Condensed Consolidated Statement of Comprehensive Income/(Loss).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1" w:right="359" w:bottom="1440" w:gutter="0" w:footer="0" w:header="0"/>
        </w:sectPr>
      </w:pPr>
    </w:p>
    <w:bookmarkStart w:id="40" w:name="page41"/>
    <w:bookmarkEnd w:id="40"/>
    <w:p>
      <w:pPr>
        <w:spacing w:after="0"/>
        <w:rPr>
          <w:sz w:val="20"/>
          <w:szCs w:val="20"/>
          <w:color w:val="auto"/>
        </w:rPr>
      </w:pPr>
      <w:r>
        <w:rPr>
          <w:rFonts w:ascii="Arial" w:cs="Arial" w:eastAsia="Arial" w:hAnsi="Arial"/>
          <w:sz w:val="15"/>
          <w:szCs w:val="15"/>
          <w:color w:val="183964"/>
        </w:rPr>
        <w:t>Key Management Personnel Compensation</w:t>
      </w:r>
    </w:p>
    <w:p>
      <w:pPr>
        <w:spacing w:after="0" w:line="17" w:lineRule="exact"/>
        <w:rPr>
          <w:sz w:val="20"/>
          <w:szCs w:val="20"/>
          <w:color w:val="auto"/>
        </w:rPr>
      </w:pPr>
    </w:p>
    <w:p>
      <w:pPr>
        <w:ind w:right="540"/>
        <w:spacing w:after="0" w:line="282" w:lineRule="auto"/>
        <w:rPr>
          <w:sz w:val="20"/>
          <w:szCs w:val="20"/>
          <w:color w:val="auto"/>
        </w:rPr>
      </w:pPr>
      <w:r>
        <w:rPr>
          <w:rFonts w:ascii="Arial" w:cs="Arial" w:eastAsia="Arial" w:hAnsi="Arial"/>
          <w:sz w:val="15"/>
          <w:szCs w:val="15"/>
          <w:color w:val="auto"/>
        </w:rPr>
        <w:t>Key management includes executive directors and members of the executive management team of the Group (not including non-executive directors). The key management personnel compensation of the Group was as follows for the six months ended June 30:</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00" w:type="dxa"/>
            <w:vAlign w:val="bottom"/>
          </w:tcPr>
          <w:p>
            <w:pPr>
              <w:spacing w:after="0"/>
              <w:rPr>
                <w:sz w:val="13"/>
                <w:szCs w:val="13"/>
                <w:color w:val="auto"/>
              </w:rPr>
            </w:pPr>
          </w:p>
        </w:tc>
        <w:tc>
          <w:tcPr>
            <w:tcW w:w="4540" w:type="dxa"/>
            <w:vAlign w:val="bottom"/>
          </w:tcPr>
          <w:p>
            <w:pPr>
              <w:jc w:val="right"/>
              <w:ind w:right="367"/>
              <w:spacing w:after="0"/>
              <w:rPr>
                <w:sz w:val="20"/>
                <w:szCs w:val="20"/>
                <w:color w:val="auto"/>
              </w:rPr>
            </w:pPr>
            <w:r>
              <w:rPr>
                <w:rFonts w:ascii="Arial" w:cs="Arial" w:eastAsia="Arial" w:hAnsi="Arial"/>
                <w:sz w:val="13"/>
                <w:szCs w:val="13"/>
                <w:b w:val="1"/>
                <w:bCs w:val="1"/>
                <w:color w:val="auto"/>
              </w:rPr>
              <w:t>2024</w:t>
            </w:r>
          </w:p>
        </w:tc>
        <w:tc>
          <w:tcPr>
            <w:tcW w:w="880" w:type="dxa"/>
            <w:vAlign w:val="bottom"/>
          </w:tcPr>
          <w:p>
            <w:pPr>
              <w:jc w:val="right"/>
              <w:spacing w:after="0"/>
              <w:rPr>
                <w:sz w:val="20"/>
                <w:szCs w:val="20"/>
                <w:color w:val="auto"/>
              </w:rPr>
            </w:pPr>
            <w:r>
              <w:rPr>
                <w:rFonts w:ascii="Arial" w:cs="Arial" w:eastAsia="Arial" w:hAnsi="Arial"/>
                <w:sz w:val="13"/>
                <w:szCs w:val="13"/>
                <w:color w:val="183964"/>
              </w:rPr>
              <w:t>2023</w:t>
            </w:r>
          </w:p>
        </w:tc>
      </w:tr>
      <w:tr>
        <w:trPr>
          <w:trHeight w:val="172"/>
        </w:trPr>
        <w:tc>
          <w:tcPr>
            <w:tcW w:w="5800" w:type="dxa"/>
            <w:vAlign w:val="bottom"/>
          </w:tcPr>
          <w:p>
            <w:pPr>
              <w:ind w:left="20"/>
              <w:spacing w:after="0"/>
              <w:rPr>
                <w:sz w:val="20"/>
                <w:szCs w:val="20"/>
                <w:color w:val="auto"/>
              </w:rPr>
            </w:pPr>
            <w:r>
              <w:rPr>
                <w:rFonts w:ascii="Arial" w:cs="Arial" w:eastAsia="Arial" w:hAnsi="Arial"/>
                <w:sz w:val="13"/>
                <w:szCs w:val="13"/>
                <w:color w:val="auto"/>
              </w:rPr>
              <w:t>For the six months ended June 30</w:t>
            </w:r>
          </w:p>
        </w:tc>
        <w:tc>
          <w:tcPr>
            <w:tcW w:w="4540" w:type="dxa"/>
            <w:vAlign w:val="bottom"/>
          </w:tcPr>
          <w:p>
            <w:pPr>
              <w:jc w:val="right"/>
              <w:ind w:right="367"/>
              <w:spacing w:after="0"/>
              <w:rPr>
                <w:sz w:val="20"/>
                <w:szCs w:val="20"/>
                <w:color w:val="auto"/>
              </w:rPr>
            </w:pPr>
            <w:r>
              <w:rPr>
                <w:rFonts w:ascii="Arial" w:cs="Arial" w:eastAsia="Arial" w:hAnsi="Arial"/>
                <w:sz w:val="13"/>
                <w:szCs w:val="13"/>
                <w:b w:val="1"/>
                <w:bCs w:val="1"/>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183964"/>
              </w:rPr>
              <w:t>$</w:t>
            </w:r>
          </w:p>
        </w:tc>
      </w:tr>
      <w:tr>
        <w:trPr>
          <w:trHeight w:val="22"/>
        </w:trPr>
        <w:tc>
          <w:tcPr>
            <w:tcW w:w="5800" w:type="dxa"/>
            <w:vAlign w:val="bottom"/>
            <w:tcBorders>
              <w:bottom w:val="single" w:sz="8" w:color="auto"/>
            </w:tcBorders>
          </w:tcPr>
          <w:p>
            <w:pPr>
              <w:spacing w:after="0" w:line="20" w:lineRule="exact"/>
              <w:rPr>
                <w:sz w:val="1"/>
                <w:szCs w:val="1"/>
                <w:color w:val="auto"/>
              </w:rPr>
            </w:pPr>
          </w:p>
        </w:tc>
        <w:tc>
          <w:tcPr>
            <w:tcW w:w="4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2"/>
        </w:trPr>
        <w:tc>
          <w:tcPr>
            <w:tcW w:w="5800" w:type="dxa"/>
            <w:vAlign w:val="bottom"/>
          </w:tcPr>
          <w:p>
            <w:pPr>
              <w:ind w:left="20"/>
              <w:spacing w:after="0"/>
              <w:rPr>
                <w:sz w:val="20"/>
                <w:szCs w:val="20"/>
                <w:color w:val="auto"/>
              </w:rPr>
            </w:pPr>
            <w:r>
              <w:rPr>
                <w:rFonts w:ascii="Arial" w:cs="Arial" w:eastAsia="Arial" w:hAnsi="Arial"/>
                <w:sz w:val="15"/>
                <w:szCs w:val="15"/>
                <w:color w:val="auto"/>
              </w:rPr>
              <w:t>Short-term employee benefits</w:t>
            </w:r>
          </w:p>
        </w:tc>
        <w:tc>
          <w:tcPr>
            <w:tcW w:w="4540" w:type="dxa"/>
            <w:vAlign w:val="bottom"/>
          </w:tcPr>
          <w:p>
            <w:pPr>
              <w:jc w:val="right"/>
              <w:ind w:right="427"/>
              <w:spacing w:after="0"/>
              <w:rPr>
                <w:sz w:val="20"/>
                <w:szCs w:val="20"/>
                <w:color w:val="auto"/>
              </w:rPr>
            </w:pPr>
            <w:r>
              <w:rPr>
                <w:rFonts w:ascii="Arial" w:cs="Arial" w:eastAsia="Arial" w:hAnsi="Arial"/>
                <w:sz w:val="15"/>
                <w:szCs w:val="15"/>
                <w:b w:val="1"/>
                <w:bCs w:val="1"/>
                <w:color w:val="auto"/>
              </w:rPr>
              <w:t>1,872</w:t>
            </w:r>
          </w:p>
        </w:tc>
        <w:tc>
          <w:tcPr>
            <w:tcW w:w="880" w:type="dxa"/>
            <w:vAlign w:val="bottom"/>
          </w:tcPr>
          <w:p>
            <w:pPr>
              <w:jc w:val="right"/>
              <w:ind w:right="7"/>
              <w:spacing w:after="0"/>
              <w:rPr>
                <w:sz w:val="20"/>
                <w:szCs w:val="20"/>
                <w:color w:val="auto"/>
              </w:rPr>
            </w:pPr>
            <w:r>
              <w:rPr>
                <w:rFonts w:ascii="Arial" w:cs="Arial" w:eastAsia="Arial" w:hAnsi="Arial"/>
                <w:sz w:val="15"/>
                <w:szCs w:val="15"/>
                <w:color w:val="183964"/>
              </w:rPr>
              <w:t>2,230</w:t>
            </w:r>
          </w:p>
        </w:tc>
      </w:tr>
      <w:tr>
        <w:trPr>
          <w:trHeight w:val="243"/>
        </w:trPr>
        <w:tc>
          <w:tcPr>
            <w:tcW w:w="5800" w:type="dxa"/>
            <w:vAlign w:val="bottom"/>
          </w:tcPr>
          <w:p>
            <w:pPr>
              <w:ind w:left="20"/>
              <w:spacing w:after="0"/>
              <w:rPr>
                <w:sz w:val="20"/>
                <w:szCs w:val="20"/>
                <w:color w:val="auto"/>
              </w:rPr>
            </w:pPr>
            <w:r>
              <w:rPr>
                <w:rFonts w:ascii="Arial" w:cs="Arial" w:eastAsia="Arial" w:hAnsi="Arial"/>
                <w:sz w:val="15"/>
                <w:szCs w:val="15"/>
                <w:color w:val="auto"/>
              </w:rPr>
              <w:t>Post-employment benefits</w:t>
            </w:r>
          </w:p>
        </w:tc>
        <w:tc>
          <w:tcPr>
            <w:tcW w:w="4540" w:type="dxa"/>
            <w:vAlign w:val="bottom"/>
          </w:tcPr>
          <w:p>
            <w:pPr>
              <w:jc w:val="right"/>
              <w:ind w:right="427"/>
              <w:spacing w:after="0"/>
              <w:rPr>
                <w:sz w:val="20"/>
                <w:szCs w:val="20"/>
                <w:color w:val="auto"/>
              </w:rPr>
            </w:pPr>
            <w:r>
              <w:rPr>
                <w:rFonts w:ascii="Arial" w:cs="Arial" w:eastAsia="Arial" w:hAnsi="Arial"/>
                <w:sz w:val="15"/>
                <w:szCs w:val="15"/>
                <w:b w:val="1"/>
                <w:bCs w:val="1"/>
                <w:color w:val="auto"/>
              </w:rPr>
              <w:t>44</w:t>
            </w:r>
          </w:p>
        </w:tc>
        <w:tc>
          <w:tcPr>
            <w:tcW w:w="880" w:type="dxa"/>
            <w:vAlign w:val="bottom"/>
          </w:tcPr>
          <w:p>
            <w:pPr>
              <w:jc w:val="right"/>
              <w:ind w:right="7"/>
              <w:spacing w:after="0"/>
              <w:rPr>
                <w:sz w:val="20"/>
                <w:szCs w:val="20"/>
                <w:color w:val="auto"/>
              </w:rPr>
            </w:pPr>
            <w:r>
              <w:rPr>
                <w:rFonts w:ascii="Arial" w:cs="Arial" w:eastAsia="Arial" w:hAnsi="Arial"/>
                <w:sz w:val="15"/>
                <w:szCs w:val="15"/>
                <w:color w:val="183964"/>
              </w:rPr>
              <w:t>38</w:t>
            </w:r>
          </w:p>
        </w:tc>
      </w:tr>
      <w:tr>
        <w:trPr>
          <w:trHeight w:val="243"/>
        </w:trPr>
        <w:tc>
          <w:tcPr>
            <w:tcW w:w="5800" w:type="dxa"/>
            <w:vAlign w:val="bottom"/>
          </w:tcPr>
          <w:p>
            <w:pPr>
              <w:ind w:left="20"/>
              <w:spacing w:after="0"/>
              <w:rPr>
                <w:sz w:val="20"/>
                <w:szCs w:val="20"/>
                <w:color w:val="auto"/>
              </w:rPr>
            </w:pPr>
            <w:r>
              <w:rPr>
                <w:rFonts w:ascii="Arial" w:cs="Arial" w:eastAsia="Arial" w:hAnsi="Arial"/>
                <w:sz w:val="15"/>
                <w:szCs w:val="15"/>
                <w:color w:val="auto"/>
              </w:rPr>
              <w:t>Termination Benefits</w:t>
            </w:r>
          </w:p>
        </w:tc>
        <w:tc>
          <w:tcPr>
            <w:tcW w:w="4540" w:type="dxa"/>
            <w:vAlign w:val="bottom"/>
          </w:tcPr>
          <w:p>
            <w:pPr>
              <w:jc w:val="right"/>
              <w:ind w:right="427"/>
              <w:spacing w:after="0"/>
              <w:rPr>
                <w:sz w:val="20"/>
                <w:szCs w:val="20"/>
                <w:color w:val="auto"/>
              </w:rPr>
            </w:pPr>
            <w:r>
              <w:rPr>
                <w:rFonts w:ascii="Arial" w:cs="Arial" w:eastAsia="Arial" w:hAnsi="Arial"/>
                <w:sz w:val="15"/>
                <w:szCs w:val="15"/>
                <w:b w:val="1"/>
                <w:bCs w:val="1"/>
                <w:color w:val="auto"/>
              </w:rPr>
              <w:t>140</w:t>
            </w:r>
          </w:p>
        </w:tc>
        <w:tc>
          <w:tcPr>
            <w:tcW w:w="880" w:type="dxa"/>
            <w:vAlign w:val="bottom"/>
          </w:tcPr>
          <w:p>
            <w:pPr>
              <w:jc w:val="right"/>
              <w:ind w:right="7"/>
              <w:spacing w:after="0"/>
              <w:rPr>
                <w:sz w:val="20"/>
                <w:szCs w:val="20"/>
                <w:color w:val="auto"/>
              </w:rPr>
            </w:pPr>
            <w:r>
              <w:rPr>
                <w:rFonts w:ascii="Arial" w:cs="Arial" w:eastAsia="Arial" w:hAnsi="Arial"/>
                <w:sz w:val="15"/>
                <w:szCs w:val="15"/>
                <w:color w:val="183964"/>
              </w:rPr>
              <w:t>187</w:t>
            </w:r>
          </w:p>
        </w:tc>
      </w:tr>
      <w:tr>
        <w:trPr>
          <w:trHeight w:val="243"/>
        </w:trPr>
        <w:tc>
          <w:tcPr>
            <w:tcW w:w="5800" w:type="dxa"/>
            <w:vAlign w:val="bottom"/>
          </w:tcPr>
          <w:p>
            <w:pPr>
              <w:ind w:left="20"/>
              <w:spacing w:after="0"/>
              <w:rPr>
                <w:sz w:val="20"/>
                <w:szCs w:val="20"/>
                <w:color w:val="auto"/>
              </w:rPr>
            </w:pPr>
            <w:r>
              <w:rPr>
                <w:rFonts w:ascii="Arial" w:cs="Arial" w:eastAsia="Arial" w:hAnsi="Arial"/>
                <w:sz w:val="15"/>
                <w:szCs w:val="15"/>
                <w:color w:val="auto"/>
              </w:rPr>
              <w:t>Share-based payment expense</w:t>
            </w:r>
          </w:p>
        </w:tc>
        <w:tc>
          <w:tcPr>
            <w:tcW w:w="4540" w:type="dxa"/>
            <w:vAlign w:val="bottom"/>
          </w:tcPr>
          <w:p>
            <w:pPr>
              <w:jc w:val="right"/>
              <w:ind w:right="427"/>
              <w:spacing w:after="0"/>
              <w:rPr>
                <w:sz w:val="20"/>
                <w:szCs w:val="20"/>
                <w:color w:val="auto"/>
              </w:rPr>
            </w:pPr>
            <w:r>
              <w:rPr>
                <w:rFonts w:ascii="Arial" w:cs="Arial" w:eastAsia="Arial" w:hAnsi="Arial"/>
                <w:sz w:val="15"/>
                <w:szCs w:val="15"/>
                <w:b w:val="1"/>
                <w:bCs w:val="1"/>
                <w:color w:val="auto"/>
              </w:rPr>
              <w:t>314</w:t>
            </w:r>
          </w:p>
        </w:tc>
        <w:tc>
          <w:tcPr>
            <w:tcW w:w="880" w:type="dxa"/>
            <w:vAlign w:val="bottom"/>
          </w:tcPr>
          <w:p>
            <w:pPr>
              <w:jc w:val="right"/>
              <w:spacing w:after="0"/>
              <w:rPr>
                <w:sz w:val="20"/>
                <w:szCs w:val="20"/>
                <w:color w:val="auto"/>
              </w:rPr>
            </w:pPr>
            <w:r>
              <w:rPr>
                <w:rFonts w:ascii="Arial" w:cs="Arial" w:eastAsia="Arial" w:hAnsi="Arial"/>
                <w:sz w:val="15"/>
                <w:szCs w:val="15"/>
                <w:color w:val="183964"/>
              </w:rPr>
              <w:t>(518)</w:t>
            </w:r>
          </w:p>
        </w:tc>
      </w:tr>
      <w:tr>
        <w:trPr>
          <w:trHeight w:val="25"/>
        </w:trPr>
        <w:tc>
          <w:tcPr>
            <w:tcW w:w="5800" w:type="dxa"/>
            <w:vAlign w:val="bottom"/>
            <w:tcBorders>
              <w:bottom w:val="single" w:sz="8" w:color="auto"/>
            </w:tcBorders>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2"/>
        </w:trPr>
        <w:tc>
          <w:tcPr>
            <w:tcW w:w="5800" w:type="dxa"/>
            <w:vAlign w:val="bottom"/>
          </w:tcPr>
          <w:p>
            <w:pPr>
              <w:ind w:left="20"/>
              <w:spacing w:after="0"/>
              <w:rPr>
                <w:sz w:val="20"/>
                <w:szCs w:val="20"/>
                <w:color w:val="auto"/>
              </w:rPr>
            </w:pPr>
            <w:r>
              <w:rPr>
                <w:rFonts w:ascii="Arial" w:cs="Arial" w:eastAsia="Arial" w:hAnsi="Arial"/>
                <w:sz w:val="15"/>
                <w:szCs w:val="15"/>
                <w:b w:val="1"/>
                <w:bCs w:val="1"/>
                <w:color w:val="auto"/>
              </w:rPr>
              <w:t>Total</w:t>
            </w:r>
          </w:p>
        </w:tc>
        <w:tc>
          <w:tcPr>
            <w:tcW w:w="4540" w:type="dxa"/>
            <w:vAlign w:val="bottom"/>
          </w:tcPr>
          <w:p>
            <w:pPr>
              <w:jc w:val="right"/>
              <w:ind w:right="427"/>
              <w:spacing w:after="0"/>
              <w:rPr>
                <w:sz w:val="20"/>
                <w:szCs w:val="20"/>
                <w:color w:val="auto"/>
              </w:rPr>
            </w:pPr>
            <w:r>
              <w:rPr>
                <w:rFonts w:ascii="Arial" w:cs="Arial" w:eastAsia="Arial" w:hAnsi="Arial"/>
                <w:sz w:val="15"/>
                <w:szCs w:val="15"/>
                <w:b w:val="1"/>
                <w:bCs w:val="1"/>
                <w:color w:val="auto"/>
              </w:rPr>
              <w:t>2,370</w:t>
            </w:r>
          </w:p>
        </w:tc>
        <w:tc>
          <w:tcPr>
            <w:tcW w:w="880" w:type="dxa"/>
            <w:vAlign w:val="bottom"/>
          </w:tcPr>
          <w:p>
            <w:pPr>
              <w:jc w:val="right"/>
              <w:ind w:right="7"/>
              <w:spacing w:after="0"/>
              <w:rPr>
                <w:sz w:val="20"/>
                <w:szCs w:val="20"/>
                <w:color w:val="auto"/>
              </w:rPr>
            </w:pPr>
            <w:r>
              <w:rPr>
                <w:rFonts w:ascii="Arial" w:cs="Arial" w:eastAsia="Arial" w:hAnsi="Arial"/>
                <w:sz w:val="15"/>
                <w:szCs w:val="15"/>
                <w:color w:val="183964"/>
              </w:rPr>
              <w:t>1,937</w:t>
            </w:r>
          </w:p>
        </w:tc>
      </w:tr>
      <w:tr>
        <w:trPr>
          <w:trHeight w:val="25"/>
        </w:trPr>
        <w:tc>
          <w:tcPr>
            <w:tcW w:w="5800" w:type="dxa"/>
            <w:vAlign w:val="bottom"/>
            <w:tcBorders>
              <w:bottom w:val="single" w:sz="8" w:color="auto"/>
            </w:tcBorders>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Short-term employee benefits include salaries, health care and other non-cash benefits. Post-employment benefits include 401K contributions from the Group.</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Termination benefits include severance pay. Share-based payments are generally subject to vesting terms over future periods. See Note 7. Share-based Payments.</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As of June 30, 2024, the payable due to the key management employees was $909.</w:t>
      </w:r>
    </w:p>
    <w:p>
      <w:pPr>
        <w:spacing w:after="0" w:line="86" w:lineRule="exact"/>
        <w:rPr>
          <w:sz w:val="20"/>
          <w:szCs w:val="20"/>
          <w:color w:val="auto"/>
        </w:rPr>
      </w:pPr>
    </w:p>
    <w:p>
      <w:pPr>
        <w:jc w:val="both"/>
        <w:ind w:right="20"/>
        <w:spacing w:after="0" w:line="273" w:lineRule="auto"/>
        <w:rPr>
          <w:sz w:val="20"/>
          <w:szCs w:val="20"/>
          <w:color w:val="auto"/>
        </w:rPr>
      </w:pPr>
      <w:r>
        <w:rPr>
          <w:rFonts w:ascii="Arial" w:cs="Arial" w:eastAsia="Arial" w:hAnsi="Arial"/>
          <w:sz w:val="15"/>
          <w:szCs w:val="15"/>
          <w:color w:val="auto"/>
        </w:rPr>
        <w:t>In addition the Group paid remuneration to non-executive directors in the amounts of $245, and $213 for the six months ended June 30, 2024, and 2023, respectively. Also, the Group incurred $147, and $216, of stock based compensation expense for such non-executive directors for the six months ended June 30, 2024, and 2023, respectively.</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color w:val="auto"/>
        </w:rPr>
        <w:t>During the six months ended June 30, 2024 and 2023, the Group incurred $5, and $0, respectively, of expenses paid to related parties.</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183964"/>
        </w:rPr>
        <w:t>Convertible Notes Issued to Directors</w:t>
      </w:r>
    </w:p>
    <w:p>
      <w:pPr>
        <w:spacing w:after="0" w:line="17" w:lineRule="exact"/>
        <w:rPr>
          <w:sz w:val="20"/>
          <w:szCs w:val="20"/>
          <w:color w:val="auto"/>
        </w:rPr>
      </w:pPr>
    </w:p>
    <w:p>
      <w:pPr>
        <w:ind w:right="200"/>
        <w:spacing w:after="0" w:line="272" w:lineRule="auto"/>
        <w:rPr>
          <w:sz w:val="20"/>
          <w:szCs w:val="20"/>
          <w:color w:val="auto"/>
        </w:rPr>
      </w:pPr>
      <w:r>
        <w:rPr>
          <w:rFonts w:ascii="Arial" w:cs="Arial" w:eastAsia="Arial" w:hAnsi="Arial"/>
          <w:sz w:val="15"/>
          <w:szCs w:val="15"/>
          <w:color w:val="auto"/>
        </w:rPr>
        <w:t>Certain related parties of the Group have invested in convertible notes issued by the Group’s subsidiaries. As of June 30, 2024 and December 31, 2023, the outstanding related party notes payable totaled $107 and $104, respectively, including principal and interest. The notes issued to related parties bear interest rates, maturity dates, discounts and other contractual terms that are the same as those issued to outside investors during the same issuances.</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183964"/>
        </w:rPr>
        <w:t>Directors’ and Senior Managers’ Shareholdings and Share Incentive Awards</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The Directors and senior managers hold beneficial interests in shares in the following businesses and sourcing companies as of June 30, 2024:</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860" w:type="dxa"/>
            <w:vAlign w:val="bottom"/>
          </w:tcPr>
          <w:p>
            <w:pPr>
              <w:jc w:val="right"/>
              <w:ind w:right="69"/>
              <w:spacing w:after="0"/>
              <w:rPr>
                <w:sz w:val="20"/>
                <w:szCs w:val="20"/>
                <w:color w:val="auto"/>
              </w:rPr>
            </w:pPr>
            <w:r>
              <w:rPr>
                <w:rFonts w:ascii="Arial" w:cs="Arial" w:eastAsia="Arial" w:hAnsi="Arial"/>
                <w:sz w:val="13"/>
                <w:szCs w:val="13"/>
                <w:b w:val="1"/>
                <w:bCs w:val="1"/>
                <w:color w:val="auto"/>
              </w:rPr>
              <w:t>Number of shares</w:t>
            </w:r>
          </w:p>
        </w:tc>
        <w:tc>
          <w:tcPr>
            <w:tcW w:w="1340" w:type="dxa"/>
            <w:vAlign w:val="bottom"/>
          </w:tcPr>
          <w:p>
            <w:pPr>
              <w:jc w:val="right"/>
              <w:ind w:right="9"/>
              <w:spacing w:after="0"/>
              <w:rPr>
                <w:sz w:val="20"/>
                <w:szCs w:val="20"/>
                <w:color w:val="auto"/>
              </w:rPr>
            </w:pPr>
            <w:r>
              <w:rPr>
                <w:rFonts w:ascii="Arial" w:cs="Arial" w:eastAsia="Arial" w:hAnsi="Arial"/>
                <w:sz w:val="13"/>
                <w:szCs w:val="13"/>
                <w:b w:val="1"/>
                <w:bCs w:val="1"/>
                <w:color w:val="auto"/>
              </w:rPr>
              <w:t>Number of options</w:t>
            </w:r>
          </w:p>
        </w:tc>
        <w:tc>
          <w:tcPr>
            <w:tcW w:w="1520" w:type="dxa"/>
            <w:vAlign w:val="bottom"/>
          </w:tcPr>
          <w:p>
            <w:pPr>
              <w:jc w:val="right"/>
              <w:ind w:right="229"/>
              <w:spacing w:after="0"/>
              <w:rPr>
                <w:sz w:val="20"/>
                <w:szCs w:val="20"/>
                <w:color w:val="auto"/>
              </w:rPr>
            </w:pPr>
            <w:r>
              <w:rPr>
                <w:rFonts w:ascii="Arial" w:cs="Arial" w:eastAsia="Arial" w:hAnsi="Arial"/>
                <w:sz w:val="13"/>
                <w:szCs w:val="13"/>
                <w:b w:val="1"/>
                <w:bCs w:val="1"/>
                <w:color w:val="auto"/>
              </w:rPr>
              <w:t>Number of RSUs</w:t>
            </w:r>
          </w:p>
        </w:tc>
        <w:tc>
          <w:tcPr>
            <w:tcW w:w="1000" w:type="dxa"/>
            <w:vAlign w:val="bottom"/>
          </w:tcPr>
          <w:p>
            <w:pPr>
              <w:spacing w:after="0"/>
              <w:rPr>
                <w:sz w:val="12"/>
                <w:szCs w:val="12"/>
                <w:color w:val="auto"/>
              </w:rPr>
            </w:pPr>
          </w:p>
        </w:tc>
      </w:tr>
      <w:tr>
        <w:trPr>
          <w:trHeight w:val="148"/>
        </w:trPr>
        <w:tc>
          <w:tcPr>
            <w:tcW w:w="20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860" w:type="dxa"/>
            <w:vAlign w:val="bottom"/>
          </w:tcPr>
          <w:p>
            <w:pPr>
              <w:jc w:val="right"/>
              <w:ind w:right="69"/>
              <w:spacing w:after="0"/>
              <w:rPr>
                <w:sz w:val="20"/>
                <w:szCs w:val="20"/>
                <w:color w:val="auto"/>
              </w:rPr>
            </w:pPr>
            <w:r>
              <w:rPr>
                <w:rFonts w:ascii="Arial" w:cs="Arial" w:eastAsia="Arial" w:hAnsi="Arial"/>
                <w:sz w:val="13"/>
                <w:szCs w:val="13"/>
                <w:b w:val="1"/>
                <w:bCs w:val="1"/>
                <w:color w:val="auto"/>
              </w:rPr>
              <w:t>held as of June 30,</w:t>
            </w:r>
          </w:p>
        </w:tc>
        <w:tc>
          <w:tcPr>
            <w:tcW w:w="1340" w:type="dxa"/>
            <w:vAlign w:val="bottom"/>
          </w:tcPr>
          <w:p>
            <w:pPr>
              <w:jc w:val="right"/>
              <w:ind w:right="9"/>
              <w:spacing w:after="0"/>
              <w:rPr>
                <w:sz w:val="20"/>
                <w:szCs w:val="20"/>
                <w:color w:val="auto"/>
              </w:rPr>
            </w:pPr>
            <w:r>
              <w:rPr>
                <w:rFonts w:ascii="Arial" w:cs="Arial" w:eastAsia="Arial" w:hAnsi="Arial"/>
                <w:sz w:val="13"/>
                <w:szCs w:val="13"/>
                <w:b w:val="1"/>
                <w:bCs w:val="1"/>
                <w:color w:val="auto"/>
              </w:rPr>
              <w:t>held as of June 30,</w:t>
            </w:r>
          </w:p>
        </w:tc>
        <w:tc>
          <w:tcPr>
            <w:tcW w:w="1520" w:type="dxa"/>
            <w:vAlign w:val="bottom"/>
          </w:tcPr>
          <w:p>
            <w:pPr>
              <w:jc w:val="right"/>
              <w:ind w:right="229"/>
              <w:spacing w:after="0"/>
              <w:rPr>
                <w:sz w:val="20"/>
                <w:szCs w:val="20"/>
                <w:color w:val="auto"/>
              </w:rPr>
            </w:pPr>
            <w:r>
              <w:rPr>
                <w:rFonts w:ascii="Arial" w:cs="Arial" w:eastAsia="Arial" w:hAnsi="Arial"/>
                <w:sz w:val="13"/>
                <w:szCs w:val="13"/>
                <w:b w:val="1"/>
                <w:bCs w:val="1"/>
                <w:color w:val="auto"/>
              </w:rPr>
              <w:t>held as of June 30,</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Ownership</w:t>
            </w:r>
          </w:p>
        </w:tc>
      </w:tr>
      <w:tr>
        <w:trPr>
          <w:trHeight w:val="185"/>
        </w:trPr>
        <w:tc>
          <w:tcPr>
            <w:tcW w:w="2080" w:type="dxa"/>
            <w:vAlign w:val="bottom"/>
          </w:tcPr>
          <w:p>
            <w:pPr>
              <w:spacing w:after="0"/>
              <w:rPr>
                <w:sz w:val="16"/>
                <w:szCs w:val="16"/>
                <w:color w:val="auto"/>
              </w:rPr>
            </w:pPr>
          </w:p>
        </w:tc>
        <w:tc>
          <w:tcPr>
            <w:tcW w:w="3420" w:type="dxa"/>
            <w:vAlign w:val="bottom"/>
          </w:tcPr>
          <w:p>
            <w:pPr>
              <w:ind w:left="640"/>
              <w:spacing w:after="0"/>
              <w:rPr>
                <w:sz w:val="20"/>
                <w:szCs w:val="20"/>
                <w:color w:val="auto"/>
              </w:rPr>
            </w:pPr>
            <w:r>
              <w:rPr>
                <w:rFonts w:ascii="Arial" w:cs="Arial" w:eastAsia="Arial" w:hAnsi="Arial"/>
                <w:sz w:val="13"/>
                <w:szCs w:val="13"/>
                <w:color w:val="auto"/>
              </w:rPr>
              <w:t>Business name (share class)</w:t>
            </w:r>
          </w:p>
        </w:tc>
        <w:tc>
          <w:tcPr>
            <w:tcW w:w="1860" w:type="dxa"/>
            <w:vAlign w:val="bottom"/>
          </w:tcPr>
          <w:p>
            <w:pPr>
              <w:jc w:val="right"/>
              <w:ind w:right="69"/>
              <w:spacing w:after="0"/>
              <w:rPr>
                <w:sz w:val="20"/>
                <w:szCs w:val="20"/>
                <w:color w:val="auto"/>
              </w:rPr>
            </w:pPr>
            <w:r>
              <w:rPr>
                <w:rFonts w:ascii="Arial" w:cs="Arial" w:eastAsia="Arial" w:hAnsi="Arial"/>
                <w:sz w:val="13"/>
                <w:szCs w:val="13"/>
                <w:b w:val="1"/>
                <w:bCs w:val="1"/>
                <w:color w:val="auto"/>
              </w:rPr>
              <w:t>2024</w:t>
            </w:r>
          </w:p>
        </w:tc>
        <w:tc>
          <w:tcPr>
            <w:tcW w:w="1340" w:type="dxa"/>
            <w:vAlign w:val="bottom"/>
          </w:tcPr>
          <w:p>
            <w:pPr>
              <w:jc w:val="right"/>
              <w:ind w:right="9"/>
              <w:spacing w:after="0"/>
              <w:rPr>
                <w:sz w:val="20"/>
                <w:szCs w:val="20"/>
                <w:color w:val="auto"/>
              </w:rPr>
            </w:pPr>
            <w:r>
              <w:rPr>
                <w:rFonts w:ascii="Arial" w:cs="Arial" w:eastAsia="Arial" w:hAnsi="Arial"/>
                <w:sz w:val="13"/>
                <w:szCs w:val="13"/>
                <w:b w:val="1"/>
                <w:bCs w:val="1"/>
                <w:color w:val="auto"/>
              </w:rPr>
              <w:t>2024</w:t>
            </w:r>
          </w:p>
        </w:tc>
        <w:tc>
          <w:tcPr>
            <w:tcW w:w="1520" w:type="dxa"/>
            <w:vAlign w:val="bottom"/>
          </w:tcPr>
          <w:p>
            <w:pPr>
              <w:jc w:val="right"/>
              <w:ind w:right="229"/>
              <w:spacing w:after="0"/>
              <w:rPr>
                <w:sz w:val="20"/>
                <w:szCs w:val="20"/>
                <w:color w:val="auto"/>
              </w:rPr>
            </w:pPr>
            <w:r>
              <w:rPr>
                <w:rFonts w:ascii="Arial" w:cs="Arial" w:eastAsia="Arial" w:hAnsi="Arial"/>
                <w:sz w:val="13"/>
                <w:szCs w:val="13"/>
                <w:b w:val="1"/>
                <w:bCs w:val="1"/>
                <w:color w:val="auto"/>
              </w:rPr>
              <w:t>2024</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interest¹</w:t>
            </w:r>
          </w:p>
        </w:tc>
      </w:tr>
      <w:tr>
        <w:trPr>
          <w:trHeight w:val="22"/>
        </w:trPr>
        <w:tc>
          <w:tcPr>
            <w:tcW w:w="2080" w:type="dxa"/>
            <w:vAlign w:val="bottom"/>
            <w:tcBorders>
              <w:bottom w:val="single" w:sz="8" w:color="183964"/>
            </w:tcBorders>
          </w:tcPr>
          <w:p>
            <w:pPr>
              <w:spacing w:after="0" w:line="20" w:lineRule="exact"/>
              <w:rPr>
                <w:sz w:val="1"/>
                <w:szCs w:val="1"/>
                <w:color w:val="auto"/>
              </w:rPr>
            </w:pPr>
          </w:p>
        </w:tc>
        <w:tc>
          <w:tcPr>
            <w:tcW w:w="3420" w:type="dxa"/>
            <w:vAlign w:val="bottom"/>
            <w:tcBorders>
              <w:bottom w:val="single" w:sz="8" w:color="183964"/>
            </w:tcBorders>
          </w:tcPr>
          <w:p>
            <w:pPr>
              <w:spacing w:after="0" w:line="20" w:lineRule="exact"/>
              <w:rPr>
                <w:sz w:val="1"/>
                <w:szCs w:val="1"/>
                <w:color w:val="auto"/>
              </w:rPr>
            </w:pPr>
          </w:p>
        </w:tc>
        <w:tc>
          <w:tcPr>
            <w:tcW w:w="1860" w:type="dxa"/>
            <w:vAlign w:val="bottom"/>
            <w:tcBorders>
              <w:bottom w:val="single" w:sz="8" w:color="183964"/>
            </w:tcBorders>
          </w:tcPr>
          <w:p>
            <w:pPr>
              <w:spacing w:after="0" w:line="20" w:lineRule="exact"/>
              <w:rPr>
                <w:sz w:val="1"/>
                <w:szCs w:val="1"/>
                <w:color w:val="auto"/>
              </w:rPr>
            </w:pPr>
          </w:p>
        </w:tc>
        <w:tc>
          <w:tcPr>
            <w:tcW w:w="1340" w:type="dxa"/>
            <w:vAlign w:val="bottom"/>
            <w:tcBorders>
              <w:bottom w:val="single" w:sz="8" w:color="183964"/>
            </w:tcBorders>
          </w:tcPr>
          <w:p>
            <w:pPr>
              <w:spacing w:after="0" w:line="20" w:lineRule="exact"/>
              <w:rPr>
                <w:sz w:val="1"/>
                <w:szCs w:val="1"/>
                <w:color w:val="auto"/>
              </w:rPr>
            </w:pPr>
          </w:p>
        </w:tc>
        <w:tc>
          <w:tcPr>
            <w:tcW w:w="1520" w:type="dxa"/>
            <w:vAlign w:val="bottom"/>
            <w:tcBorders>
              <w:bottom w:val="single" w:sz="8" w:color="183964"/>
            </w:tcBorders>
          </w:tcPr>
          <w:p>
            <w:pPr>
              <w:spacing w:after="0" w:line="20" w:lineRule="exact"/>
              <w:rPr>
                <w:sz w:val="1"/>
                <w:szCs w:val="1"/>
                <w:color w:val="auto"/>
              </w:rPr>
            </w:pPr>
          </w:p>
        </w:tc>
        <w:tc>
          <w:tcPr>
            <w:tcW w:w="1000" w:type="dxa"/>
            <w:vAlign w:val="bottom"/>
            <w:tcBorders>
              <w:bottom w:val="single" w:sz="8" w:color="183964"/>
            </w:tcBorders>
          </w:tcPr>
          <w:p>
            <w:pPr>
              <w:spacing w:after="0" w:line="20" w:lineRule="exact"/>
              <w:rPr>
                <w:sz w:val="1"/>
                <w:szCs w:val="1"/>
                <w:color w:val="auto"/>
              </w:rPr>
            </w:pPr>
          </w:p>
        </w:tc>
      </w:tr>
      <w:tr>
        <w:trPr>
          <w:trHeight w:val="211"/>
        </w:trPr>
        <w:tc>
          <w:tcPr>
            <w:tcW w:w="2080" w:type="dxa"/>
            <w:vAlign w:val="bottom"/>
          </w:tcPr>
          <w:p>
            <w:pPr>
              <w:ind w:left="20"/>
              <w:spacing w:after="0"/>
              <w:rPr>
                <w:sz w:val="20"/>
                <w:szCs w:val="20"/>
                <w:color w:val="auto"/>
              </w:rPr>
            </w:pPr>
            <w:r>
              <w:rPr>
                <w:rFonts w:ascii="Arial" w:cs="Arial" w:eastAsia="Arial" w:hAnsi="Arial"/>
                <w:sz w:val="15"/>
                <w:szCs w:val="15"/>
                <w:b w:val="1"/>
                <w:bCs w:val="1"/>
                <w:color w:val="auto"/>
              </w:rPr>
              <w:t>Directors:</w:t>
            </w:r>
          </w:p>
        </w:tc>
        <w:tc>
          <w:tcPr>
            <w:tcW w:w="3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43"/>
        </w:trPr>
        <w:tc>
          <w:tcPr>
            <w:tcW w:w="2080" w:type="dxa"/>
            <w:vAlign w:val="bottom"/>
          </w:tcPr>
          <w:p>
            <w:pPr>
              <w:ind w:left="20"/>
              <w:spacing w:after="0"/>
              <w:rPr>
                <w:sz w:val="20"/>
                <w:szCs w:val="20"/>
                <w:color w:val="auto"/>
              </w:rPr>
            </w:pPr>
            <w:r>
              <w:rPr>
                <w:rFonts w:ascii="Arial" w:cs="Arial" w:eastAsia="Arial" w:hAnsi="Arial"/>
                <w:sz w:val="15"/>
                <w:szCs w:val="15"/>
                <w:color w:val="auto"/>
              </w:rPr>
              <w:t>Dr Robert Langer</w:t>
            </w:r>
          </w:p>
        </w:tc>
        <w:tc>
          <w:tcPr>
            <w:tcW w:w="3420" w:type="dxa"/>
            <w:vAlign w:val="bottom"/>
          </w:tcPr>
          <w:p>
            <w:pPr>
              <w:ind w:left="640"/>
              <w:spacing w:after="0"/>
              <w:rPr>
                <w:sz w:val="20"/>
                <w:szCs w:val="20"/>
                <w:color w:val="auto"/>
              </w:rPr>
            </w:pPr>
            <w:r>
              <w:rPr>
                <w:rFonts w:ascii="Arial" w:cs="Arial" w:eastAsia="Arial" w:hAnsi="Arial"/>
                <w:sz w:val="15"/>
                <w:szCs w:val="15"/>
                <w:color w:val="auto"/>
              </w:rPr>
              <w:t>Entrega (Common)</w:t>
            </w:r>
          </w:p>
        </w:tc>
        <w:tc>
          <w:tcPr>
            <w:tcW w:w="1860" w:type="dxa"/>
            <w:vAlign w:val="bottom"/>
          </w:tcPr>
          <w:p>
            <w:pPr>
              <w:jc w:val="right"/>
              <w:ind w:right="69"/>
              <w:spacing w:after="0"/>
              <w:rPr>
                <w:sz w:val="20"/>
                <w:szCs w:val="20"/>
                <w:color w:val="auto"/>
              </w:rPr>
            </w:pPr>
            <w:r>
              <w:rPr>
                <w:rFonts w:ascii="Arial" w:cs="Arial" w:eastAsia="Arial" w:hAnsi="Arial"/>
                <w:sz w:val="15"/>
                <w:szCs w:val="15"/>
                <w:b w:val="1"/>
                <w:bCs w:val="1"/>
                <w:color w:val="auto"/>
              </w:rPr>
              <w:t>250,000</w:t>
            </w:r>
          </w:p>
        </w:tc>
        <w:tc>
          <w:tcPr>
            <w:tcW w:w="1340" w:type="dxa"/>
            <w:vAlign w:val="bottom"/>
          </w:tcPr>
          <w:p>
            <w:pPr>
              <w:jc w:val="right"/>
              <w:ind w:right="9"/>
              <w:spacing w:after="0"/>
              <w:rPr>
                <w:sz w:val="20"/>
                <w:szCs w:val="20"/>
                <w:color w:val="auto"/>
              </w:rPr>
            </w:pPr>
            <w:r>
              <w:rPr>
                <w:rFonts w:ascii="Arial" w:cs="Arial" w:eastAsia="Arial" w:hAnsi="Arial"/>
                <w:sz w:val="15"/>
                <w:szCs w:val="15"/>
                <w:b w:val="1"/>
                <w:bCs w:val="1"/>
                <w:color w:val="auto"/>
              </w:rPr>
              <w:t>82,500</w:t>
            </w:r>
          </w:p>
        </w:tc>
        <w:tc>
          <w:tcPr>
            <w:tcW w:w="1520" w:type="dxa"/>
            <w:vAlign w:val="bottom"/>
          </w:tcPr>
          <w:p>
            <w:pPr>
              <w:jc w:val="right"/>
              <w:ind w:right="229"/>
              <w:spacing w:after="0"/>
              <w:rPr>
                <w:sz w:val="20"/>
                <w:szCs w:val="20"/>
                <w:color w:val="auto"/>
              </w:rPr>
            </w:pPr>
            <w:r>
              <w:rPr>
                <w:rFonts w:ascii="Arial" w:cs="Arial" w:eastAsia="Arial" w:hAnsi="Arial"/>
                <w:sz w:val="15"/>
                <w:szCs w:val="15"/>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4.09 %</w:t>
            </w:r>
          </w:p>
        </w:tc>
      </w:tr>
      <w:tr>
        <w:trPr>
          <w:trHeight w:val="243"/>
        </w:trPr>
        <w:tc>
          <w:tcPr>
            <w:tcW w:w="2080" w:type="dxa"/>
            <w:vAlign w:val="bottom"/>
          </w:tcPr>
          <w:p>
            <w:pPr>
              <w:ind w:left="20"/>
              <w:spacing w:after="0"/>
              <w:rPr>
                <w:sz w:val="20"/>
                <w:szCs w:val="20"/>
                <w:color w:val="auto"/>
              </w:rPr>
            </w:pPr>
            <w:r>
              <w:rPr>
                <w:rFonts w:ascii="Arial" w:cs="Arial" w:eastAsia="Arial" w:hAnsi="Arial"/>
                <w:sz w:val="15"/>
                <w:szCs w:val="15"/>
                <w:color w:val="auto"/>
              </w:rPr>
              <w:t>Dr Raju Kucherlapati</w:t>
            </w:r>
          </w:p>
        </w:tc>
        <w:tc>
          <w:tcPr>
            <w:tcW w:w="3420" w:type="dxa"/>
            <w:vAlign w:val="bottom"/>
          </w:tcPr>
          <w:p>
            <w:pPr>
              <w:ind w:left="640"/>
              <w:spacing w:after="0"/>
              <w:rPr>
                <w:sz w:val="20"/>
                <w:szCs w:val="20"/>
                <w:color w:val="auto"/>
              </w:rPr>
            </w:pPr>
            <w:r>
              <w:rPr>
                <w:rFonts w:ascii="Arial" w:cs="Arial" w:eastAsia="Arial" w:hAnsi="Arial"/>
                <w:sz w:val="15"/>
                <w:szCs w:val="15"/>
                <w:color w:val="auto"/>
              </w:rPr>
              <w:t>Enlight (Class B Common)</w:t>
            </w:r>
          </w:p>
        </w:tc>
        <w:tc>
          <w:tcPr>
            <w:tcW w:w="1860" w:type="dxa"/>
            <w:vAlign w:val="bottom"/>
          </w:tcPr>
          <w:p>
            <w:pPr>
              <w:jc w:val="right"/>
              <w:ind w:right="69"/>
              <w:spacing w:after="0"/>
              <w:rPr>
                <w:sz w:val="20"/>
                <w:szCs w:val="20"/>
                <w:color w:val="auto"/>
              </w:rPr>
            </w:pPr>
            <w:r>
              <w:rPr>
                <w:rFonts w:ascii="Arial" w:cs="Arial" w:eastAsia="Arial" w:hAnsi="Arial"/>
                <w:sz w:val="15"/>
                <w:szCs w:val="15"/>
                <w:b w:val="1"/>
                <w:bCs w:val="1"/>
                <w:color w:val="auto"/>
              </w:rPr>
              <w:t>—</w:t>
            </w:r>
          </w:p>
        </w:tc>
        <w:tc>
          <w:tcPr>
            <w:tcW w:w="1340" w:type="dxa"/>
            <w:vAlign w:val="bottom"/>
          </w:tcPr>
          <w:p>
            <w:pPr>
              <w:jc w:val="right"/>
              <w:ind w:right="9"/>
              <w:spacing w:after="0"/>
              <w:rPr>
                <w:sz w:val="20"/>
                <w:szCs w:val="20"/>
                <w:color w:val="auto"/>
              </w:rPr>
            </w:pPr>
            <w:r>
              <w:rPr>
                <w:rFonts w:ascii="Arial" w:cs="Arial" w:eastAsia="Arial" w:hAnsi="Arial"/>
                <w:sz w:val="15"/>
                <w:szCs w:val="15"/>
                <w:b w:val="1"/>
                <w:bCs w:val="1"/>
                <w:color w:val="auto"/>
              </w:rPr>
              <w:t>30,000</w:t>
            </w:r>
          </w:p>
        </w:tc>
        <w:tc>
          <w:tcPr>
            <w:tcW w:w="1520" w:type="dxa"/>
            <w:vAlign w:val="bottom"/>
          </w:tcPr>
          <w:p>
            <w:pPr>
              <w:jc w:val="right"/>
              <w:ind w:right="229"/>
              <w:spacing w:after="0"/>
              <w:rPr>
                <w:sz w:val="20"/>
                <w:szCs w:val="20"/>
                <w:color w:val="auto"/>
              </w:rPr>
            </w:pPr>
            <w:r>
              <w:rPr>
                <w:rFonts w:ascii="Arial" w:cs="Arial" w:eastAsia="Arial" w:hAnsi="Arial"/>
                <w:sz w:val="15"/>
                <w:szCs w:val="15"/>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3.00 %</w:t>
            </w:r>
          </w:p>
        </w:tc>
      </w:tr>
      <w:tr>
        <w:trPr>
          <w:trHeight w:val="276"/>
        </w:trPr>
        <w:tc>
          <w:tcPr>
            <w:tcW w:w="2080" w:type="dxa"/>
            <w:vAlign w:val="bottom"/>
          </w:tcPr>
          <w:p>
            <w:pPr>
              <w:ind w:left="20"/>
              <w:spacing w:after="0"/>
              <w:rPr>
                <w:sz w:val="20"/>
                <w:szCs w:val="20"/>
                <w:color w:val="auto"/>
              </w:rPr>
            </w:pPr>
            <w:r>
              <w:rPr>
                <w:rFonts w:ascii="Arial" w:cs="Arial" w:eastAsia="Arial" w:hAnsi="Arial"/>
                <w:sz w:val="15"/>
                <w:szCs w:val="15"/>
                <w:color w:val="auto"/>
              </w:rPr>
              <w:t>Dr John LaMattina</w:t>
            </w:r>
            <w:r>
              <w:rPr>
                <w:rFonts w:ascii="Arial" w:cs="Arial" w:eastAsia="Arial" w:hAnsi="Arial"/>
                <w:sz w:val="19"/>
                <w:szCs w:val="19"/>
                <w:color w:val="auto"/>
                <w:vertAlign w:val="superscript"/>
              </w:rPr>
              <w:t>2</w:t>
            </w:r>
          </w:p>
        </w:tc>
        <w:tc>
          <w:tcPr>
            <w:tcW w:w="3420" w:type="dxa"/>
            <w:vAlign w:val="bottom"/>
          </w:tcPr>
          <w:p>
            <w:pPr>
              <w:ind w:left="640"/>
              <w:spacing w:after="0"/>
              <w:rPr>
                <w:sz w:val="20"/>
                <w:szCs w:val="20"/>
                <w:color w:val="auto"/>
              </w:rPr>
            </w:pPr>
            <w:r>
              <w:rPr>
                <w:rFonts w:ascii="Arial" w:cs="Arial" w:eastAsia="Arial" w:hAnsi="Arial"/>
                <w:sz w:val="15"/>
                <w:szCs w:val="15"/>
                <w:color w:val="auto"/>
              </w:rPr>
              <w:t>Vedanta Biosciences (Common)</w:t>
            </w:r>
          </w:p>
        </w:tc>
        <w:tc>
          <w:tcPr>
            <w:tcW w:w="1860" w:type="dxa"/>
            <w:vAlign w:val="bottom"/>
          </w:tcPr>
          <w:p>
            <w:pPr>
              <w:jc w:val="right"/>
              <w:ind w:right="69"/>
              <w:spacing w:after="0"/>
              <w:rPr>
                <w:sz w:val="20"/>
                <w:szCs w:val="20"/>
                <w:color w:val="auto"/>
              </w:rPr>
            </w:pPr>
            <w:r>
              <w:rPr>
                <w:rFonts w:ascii="Arial" w:cs="Arial" w:eastAsia="Arial" w:hAnsi="Arial"/>
                <w:sz w:val="15"/>
                <w:szCs w:val="15"/>
                <w:b w:val="1"/>
                <w:bCs w:val="1"/>
                <w:color w:val="auto"/>
              </w:rPr>
              <w:t>25,000</w:t>
            </w:r>
          </w:p>
        </w:tc>
        <w:tc>
          <w:tcPr>
            <w:tcW w:w="1340" w:type="dxa"/>
            <w:vAlign w:val="bottom"/>
          </w:tcPr>
          <w:p>
            <w:pPr>
              <w:jc w:val="right"/>
              <w:ind w:right="9"/>
              <w:spacing w:after="0"/>
              <w:rPr>
                <w:sz w:val="20"/>
                <w:szCs w:val="20"/>
                <w:color w:val="auto"/>
              </w:rPr>
            </w:pPr>
            <w:r>
              <w:rPr>
                <w:rFonts w:ascii="Arial" w:cs="Arial" w:eastAsia="Arial" w:hAnsi="Arial"/>
                <w:sz w:val="15"/>
                <w:szCs w:val="15"/>
                <w:b w:val="1"/>
                <w:bCs w:val="1"/>
                <w:color w:val="auto"/>
              </w:rPr>
              <w:t>15,000</w:t>
            </w:r>
          </w:p>
        </w:tc>
        <w:tc>
          <w:tcPr>
            <w:tcW w:w="1520" w:type="dxa"/>
            <w:vAlign w:val="bottom"/>
          </w:tcPr>
          <w:p>
            <w:pPr>
              <w:jc w:val="right"/>
              <w:ind w:right="229"/>
              <w:spacing w:after="0"/>
              <w:rPr>
                <w:sz w:val="20"/>
                <w:szCs w:val="20"/>
                <w:color w:val="auto"/>
              </w:rPr>
            </w:pPr>
            <w:r>
              <w:rPr>
                <w:rFonts w:ascii="Arial" w:cs="Arial" w:eastAsia="Arial" w:hAnsi="Arial"/>
                <w:sz w:val="15"/>
                <w:szCs w:val="15"/>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0.25 %</w:t>
            </w:r>
          </w:p>
        </w:tc>
      </w:tr>
      <w:tr>
        <w:trPr>
          <w:trHeight w:val="210"/>
        </w:trPr>
        <w:tc>
          <w:tcPr>
            <w:tcW w:w="2080" w:type="dxa"/>
            <w:vAlign w:val="bottom"/>
          </w:tcPr>
          <w:p>
            <w:pPr>
              <w:spacing w:after="0"/>
              <w:rPr>
                <w:sz w:val="18"/>
                <w:szCs w:val="18"/>
                <w:color w:val="auto"/>
              </w:rPr>
            </w:pPr>
          </w:p>
        </w:tc>
        <w:tc>
          <w:tcPr>
            <w:tcW w:w="3420" w:type="dxa"/>
            <w:vAlign w:val="bottom"/>
          </w:tcPr>
          <w:p>
            <w:pPr>
              <w:ind w:left="640"/>
              <w:spacing w:after="0"/>
              <w:rPr>
                <w:sz w:val="20"/>
                <w:szCs w:val="20"/>
                <w:color w:val="auto"/>
              </w:rPr>
            </w:pPr>
            <w:r>
              <w:rPr>
                <w:rFonts w:ascii="Arial" w:cs="Arial" w:eastAsia="Arial" w:hAnsi="Arial"/>
                <w:sz w:val="15"/>
                <w:szCs w:val="15"/>
                <w:color w:val="auto"/>
              </w:rPr>
              <w:t>Akili (Common)</w:t>
            </w:r>
          </w:p>
        </w:tc>
        <w:tc>
          <w:tcPr>
            <w:tcW w:w="1860" w:type="dxa"/>
            <w:vAlign w:val="bottom"/>
          </w:tcPr>
          <w:p>
            <w:pPr>
              <w:jc w:val="right"/>
              <w:ind w:right="69"/>
              <w:spacing w:after="0"/>
              <w:rPr>
                <w:sz w:val="20"/>
                <w:szCs w:val="20"/>
                <w:color w:val="auto"/>
              </w:rPr>
            </w:pPr>
            <w:r>
              <w:rPr>
                <w:rFonts w:ascii="Arial" w:cs="Arial" w:eastAsia="Arial" w:hAnsi="Arial"/>
                <w:sz w:val="15"/>
                <w:szCs w:val="15"/>
                <w:b w:val="1"/>
                <w:bCs w:val="1"/>
                <w:color w:val="auto"/>
              </w:rPr>
              <w:t>56,554</w:t>
            </w:r>
          </w:p>
        </w:tc>
        <w:tc>
          <w:tcPr>
            <w:tcW w:w="1340" w:type="dxa"/>
            <w:vAlign w:val="bottom"/>
          </w:tcPr>
          <w:p>
            <w:pPr>
              <w:jc w:val="right"/>
              <w:ind w:right="9"/>
              <w:spacing w:after="0"/>
              <w:rPr>
                <w:sz w:val="20"/>
                <w:szCs w:val="20"/>
                <w:color w:val="auto"/>
              </w:rPr>
            </w:pPr>
            <w:r>
              <w:rPr>
                <w:rFonts w:ascii="Arial" w:cs="Arial" w:eastAsia="Arial" w:hAnsi="Arial"/>
                <w:sz w:val="15"/>
                <w:szCs w:val="15"/>
                <w:b w:val="1"/>
                <w:bCs w:val="1"/>
                <w:color w:val="auto"/>
              </w:rPr>
              <w:t>—</w:t>
            </w:r>
          </w:p>
        </w:tc>
        <w:tc>
          <w:tcPr>
            <w:tcW w:w="1520" w:type="dxa"/>
            <w:vAlign w:val="bottom"/>
          </w:tcPr>
          <w:p>
            <w:pPr>
              <w:jc w:val="right"/>
              <w:ind w:right="229"/>
              <w:spacing w:after="0"/>
              <w:rPr>
                <w:sz w:val="20"/>
                <w:szCs w:val="20"/>
                <w:color w:val="auto"/>
              </w:rPr>
            </w:pPr>
            <w:r>
              <w:rPr>
                <w:rFonts w:ascii="Arial" w:cs="Arial" w:eastAsia="Arial" w:hAnsi="Arial"/>
                <w:sz w:val="15"/>
                <w:szCs w:val="15"/>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0.07 %</w:t>
            </w:r>
          </w:p>
        </w:tc>
      </w:tr>
      <w:tr>
        <w:trPr>
          <w:trHeight w:val="243"/>
        </w:trPr>
        <w:tc>
          <w:tcPr>
            <w:tcW w:w="2080" w:type="dxa"/>
            <w:vAlign w:val="bottom"/>
          </w:tcPr>
          <w:p>
            <w:pPr>
              <w:ind w:left="20"/>
              <w:spacing w:after="0"/>
              <w:rPr>
                <w:sz w:val="20"/>
                <w:szCs w:val="20"/>
                <w:color w:val="auto"/>
              </w:rPr>
            </w:pPr>
            <w:r>
              <w:rPr>
                <w:rFonts w:ascii="Arial" w:cs="Arial" w:eastAsia="Arial" w:hAnsi="Arial"/>
                <w:sz w:val="15"/>
                <w:szCs w:val="15"/>
                <w:b w:val="1"/>
                <w:bCs w:val="1"/>
                <w:color w:val="auto"/>
              </w:rPr>
              <w:t>Senior Managers:</w:t>
            </w:r>
          </w:p>
        </w:tc>
        <w:tc>
          <w:tcPr>
            <w:tcW w:w="34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43"/>
        </w:trPr>
        <w:tc>
          <w:tcPr>
            <w:tcW w:w="2080" w:type="dxa"/>
            <w:vAlign w:val="bottom"/>
          </w:tcPr>
          <w:p>
            <w:pPr>
              <w:ind w:left="20"/>
              <w:spacing w:after="0"/>
              <w:rPr>
                <w:sz w:val="20"/>
                <w:szCs w:val="20"/>
                <w:color w:val="auto"/>
              </w:rPr>
            </w:pPr>
            <w:r>
              <w:rPr>
                <w:rFonts w:ascii="Arial" w:cs="Arial" w:eastAsia="Arial" w:hAnsi="Arial"/>
                <w:sz w:val="15"/>
                <w:szCs w:val="15"/>
                <w:color w:val="auto"/>
              </w:rPr>
              <w:t>Dr Eric Elenko</w:t>
            </w:r>
          </w:p>
        </w:tc>
        <w:tc>
          <w:tcPr>
            <w:tcW w:w="3420" w:type="dxa"/>
            <w:vAlign w:val="bottom"/>
          </w:tcPr>
          <w:p>
            <w:pPr>
              <w:ind w:left="640"/>
              <w:spacing w:after="0"/>
              <w:rPr>
                <w:sz w:val="20"/>
                <w:szCs w:val="20"/>
                <w:color w:val="auto"/>
              </w:rPr>
            </w:pPr>
            <w:r>
              <w:rPr>
                <w:rFonts w:ascii="Arial" w:cs="Arial" w:eastAsia="Arial" w:hAnsi="Arial"/>
                <w:sz w:val="15"/>
                <w:szCs w:val="15"/>
                <w:color w:val="auto"/>
              </w:rPr>
              <w:t>Seaport Therapeutics</w:t>
            </w:r>
          </w:p>
        </w:tc>
        <w:tc>
          <w:tcPr>
            <w:tcW w:w="1860" w:type="dxa"/>
            <w:vAlign w:val="bottom"/>
          </w:tcPr>
          <w:p>
            <w:pPr>
              <w:jc w:val="right"/>
              <w:ind w:right="69"/>
              <w:spacing w:after="0"/>
              <w:rPr>
                <w:sz w:val="20"/>
                <w:szCs w:val="20"/>
                <w:color w:val="auto"/>
              </w:rPr>
            </w:pPr>
            <w:r>
              <w:rPr>
                <w:rFonts w:ascii="Arial" w:cs="Arial" w:eastAsia="Arial" w:hAnsi="Arial"/>
                <w:sz w:val="15"/>
                <w:szCs w:val="15"/>
                <w:b w:val="1"/>
                <w:bCs w:val="1"/>
                <w:color w:val="auto"/>
              </w:rPr>
              <w:t>950,000</w:t>
            </w:r>
          </w:p>
        </w:tc>
        <w:tc>
          <w:tcPr>
            <w:tcW w:w="1340" w:type="dxa"/>
            <w:vAlign w:val="bottom"/>
          </w:tcPr>
          <w:p>
            <w:pPr>
              <w:jc w:val="right"/>
              <w:ind w:right="9"/>
              <w:spacing w:after="0"/>
              <w:rPr>
                <w:sz w:val="20"/>
                <w:szCs w:val="20"/>
                <w:color w:val="auto"/>
              </w:rPr>
            </w:pPr>
            <w:r>
              <w:rPr>
                <w:rFonts w:ascii="Arial" w:cs="Arial" w:eastAsia="Arial" w:hAnsi="Arial"/>
                <w:sz w:val="15"/>
                <w:szCs w:val="15"/>
                <w:b w:val="1"/>
                <w:bCs w:val="1"/>
                <w:color w:val="auto"/>
              </w:rPr>
              <w:t>—</w:t>
            </w:r>
          </w:p>
        </w:tc>
        <w:tc>
          <w:tcPr>
            <w:tcW w:w="1520" w:type="dxa"/>
            <w:vAlign w:val="bottom"/>
          </w:tcPr>
          <w:p>
            <w:pPr>
              <w:jc w:val="right"/>
              <w:ind w:right="229"/>
              <w:spacing w:after="0"/>
              <w:rPr>
                <w:sz w:val="20"/>
                <w:szCs w:val="20"/>
                <w:color w:val="auto"/>
              </w:rPr>
            </w:pPr>
            <w:r>
              <w:rPr>
                <w:rFonts w:ascii="Arial" w:cs="Arial" w:eastAsia="Arial" w:hAnsi="Arial"/>
                <w:sz w:val="15"/>
                <w:szCs w:val="15"/>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1.11 %</w:t>
            </w:r>
          </w:p>
        </w:tc>
      </w:tr>
      <w:tr>
        <w:trPr>
          <w:trHeight w:val="25"/>
        </w:trPr>
        <w:tc>
          <w:tcPr>
            <w:tcW w:w="208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95" w:lineRule="exact"/>
        <w:rPr>
          <w:sz w:val="20"/>
          <w:szCs w:val="20"/>
          <w:color w:val="auto"/>
        </w:rPr>
      </w:pPr>
    </w:p>
    <w:p>
      <w:pPr>
        <w:ind w:left="260" w:hanging="252"/>
        <w:spacing w:after="0" w:line="259" w:lineRule="auto"/>
        <w:tabs>
          <w:tab w:leader="none" w:pos="185" w:val="left"/>
        </w:tabs>
        <w:numPr>
          <w:ilvl w:val="0"/>
          <w:numId w:val="35"/>
        </w:numPr>
        <w:rPr>
          <w:rFonts w:ascii="Arial" w:cs="Arial" w:eastAsia="Arial" w:hAnsi="Arial"/>
          <w:sz w:val="11"/>
          <w:szCs w:val="11"/>
          <w:color w:val="183964"/>
        </w:rPr>
      </w:pPr>
      <w:r>
        <w:rPr>
          <w:rFonts w:ascii="Arial" w:cs="Arial" w:eastAsia="Arial" w:hAnsi="Arial"/>
          <w:sz w:val="11"/>
          <w:szCs w:val="11"/>
          <w:color w:val="183964"/>
        </w:rPr>
        <w:t>Ownership interests as of June 30, 2024 are calculated on a diluted basis, including issued and outstanding shares, warrants and options (and written commitments to issue options) but excluding unallocated shares authorized to be issued pursuant to equity incentive plans and any shares issuable upon conversion of outstanding convertible promissory notes.</w:t>
      </w:r>
    </w:p>
    <w:p>
      <w:pPr>
        <w:spacing w:after="0" w:line="24" w:lineRule="exact"/>
        <w:rPr>
          <w:sz w:val="20"/>
          <w:szCs w:val="20"/>
          <w:color w:val="auto"/>
        </w:rPr>
      </w:pPr>
    </w:p>
    <w:p>
      <w:pPr>
        <w:ind w:left="180" w:hanging="172"/>
        <w:spacing w:after="0"/>
        <w:tabs>
          <w:tab w:leader="none" w:pos="180" w:val="left"/>
        </w:tabs>
        <w:numPr>
          <w:ilvl w:val="0"/>
          <w:numId w:val="36"/>
        </w:numPr>
        <w:rPr>
          <w:rFonts w:ascii="Arial" w:cs="Arial" w:eastAsia="Arial" w:hAnsi="Arial"/>
          <w:sz w:val="11"/>
          <w:szCs w:val="11"/>
          <w:color w:val="183964"/>
        </w:rPr>
      </w:pPr>
      <w:r>
        <w:rPr>
          <w:rFonts w:ascii="Arial" w:cs="Arial" w:eastAsia="Arial" w:hAnsi="Arial"/>
          <w:sz w:val="11"/>
          <w:szCs w:val="11"/>
          <w:color w:val="183964"/>
        </w:rPr>
        <w:t>Dr John LaMattina holds convertible notes issued by Appeering in the aggregate principal amount of $50,000. Share holdings in Akili were sold in July 2024 as a result of the acquisition of Akili by Virtual Therapeutics.</w:t>
      </w:r>
    </w:p>
    <w:p>
      <w:pPr>
        <w:spacing w:after="0" w:line="301"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Directors and senior managers hold 10,295,371 ordinary shares and 4.3 percent voting rights of the Group as of June 30, 2024. This amount excludes options to purchase 1,996,875 ordinary shares. This amount also excludes 4,287,561 shares, which are issuable based on the terms of performance based RSU awards granted to certain senior managers covering the financial years 2024, 2023 and 2022, and 355,212 shares, which are issuable to directors immediately prior to the Group's 2025 Annual General Meeting of Stockholders, based on the terms of the RSU awards granted to non-executive directors in 2024. Such shares will be issued to such senior managers and non-executive directors in future periods provided that performance and/or service conditions are met, and certain of the shares will be withheld for payment of customary withholding taxes.</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color w:val="183964"/>
        </w:rPr>
        <w:t>Other</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See Note 6. Investment in Notes from Associates for details on the notes issued by Gelesis and Vedanta to the Group.</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As of June 30, 2024, the Group has a receivable from Sonde and Vedanta in the amount of $930.</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See Note 5. Investments in Associates for details on the execution and termination of the Merger Agreement with Gelesis.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986155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3" w:right="359" w:bottom="1440" w:gutter="0" w:footer="0" w:header="0"/>
        </w:sectPr>
      </w:pPr>
    </w:p>
    <w:bookmarkStart w:id="41" w:name="page42"/>
    <w:bookmarkEnd w:id="41"/>
    <w:p>
      <w:pPr>
        <w:ind w:left="440" w:hanging="432"/>
        <w:spacing w:after="0"/>
        <w:tabs>
          <w:tab w:leader="none" w:pos="440" w:val="left"/>
        </w:tabs>
        <w:numPr>
          <w:ilvl w:val="0"/>
          <w:numId w:val="37"/>
        </w:numPr>
        <w:rPr>
          <w:rFonts w:ascii="Arial" w:cs="Arial" w:eastAsia="Arial" w:hAnsi="Arial"/>
          <w:sz w:val="15"/>
          <w:szCs w:val="15"/>
          <w:b w:val="1"/>
          <w:bCs w:val="1"/>
          <w:color w:val="183964"/>
        </w:rPr>
      </w:pPr>
      <w:r>
        <w:rPr>
          <w:rFonts w:ascii="Arial" w:cs="Arial" w:eastAsia="Arial" w:hAnsi="Arial"/>
          <w:sz w:val="15"/>
          <w:szCs w:val="15"/>
          <w:b w:val="1"/>
          <w:bCs w:val="1"/>
          <w:color w:val="183964"/>
        </w:rPr>
        <w:t>Taxation</w:t>
      </w:r>
    </w:p>
    <w:p>
      <w:pPr>
        <w:spacing w:after="0" w:line="100" w:lineRule="exact"/>
        <w:rPr>
          <w:sz w:val="20"/>
          <w:szCs w:val="20"/>
          <w:color w:val="auto"/>
        </w:rPr>
      </w:pPr>
    </w:p>
    <w:p>
      <w:pPr>
        <w:ind w:right="400"/>
        <w:spacing w:after="0" w:line="273" w:lineRule="auto"/>
        <w:rPr>
          <w:sz w:val="20"/>
          <w:szCs w:val="20"/>
          <w:color w:val="auto"/>
        </w:rPr>
      </w:pPr>
      <w:r>
        <w:rPr>
          <w:rFonts w:ascii="Arial" w:cs="Arial" w:eastAsia="Arial" w:hAnsi="Arial"/>
          <w:sz w:val="15"/>
          <w:szCs w:val="15"/>
          <w:color w:val="auto"/>
        </w:rPr>
        <w:t>Income tax benefit/(expense) is recorded based on management’s estimate of the annual effective income tax rate which is determined for each jurisdiction and applied to the interim period pre-tax income/(loss) of each jurisdiction, respectively. Income tax benefit/(expense) related to discrete events or transactions are recorded in the interim period in which the event or transaction occurs.</w:t>
      </w:r>
    </w:p>
    <w:p>
      <w:pPr>
        <w:spacing w:after="0" w:line="46" w:lineRule="exact"/>
        <w:rPr>
          <w:sz w:val="20"/>
          <w:szCs w:val="20"/>
          <w:color w:val="auto"/>
        </w:rPr>
      </w:pPr>
    </w:p>
    <w:p>
      <w:pPr>
        <w:ind w:right="160"/>
        <w:spacing w:after="0" w:line="269" w:lineRule="auto"/>
        <w:rPr>
          <w:sz w:val="20"/>
          <w:szCs w:val="20"/>
          <w:color w:val="auto"/>
        </w:rPr>
      </w:pPr>
      <w:r>
        <w:rPr>
          <w:rFonts w:ascii="Arial" w:cs="Arial" w:eastAsia="Arial" w:hAnsi="Arial"/>
          <w:sz w:val="15"/>
          <w:szCs w:val="15"/>
          <w:color w:val="auto"/>
        </w:rPr>
        <w:t>For the six months ended June 30, 2024 and 2023, the Group recorded an income tax benefit of $6,147 and an income tax expense of $11,807, respectively, which represented an effective tax rate of 11.2 percent and negative 85.9 percent, respectively. The income tax benefit recorded for the six months ended June 30, 2024, primarily related to recognizing an income tax benefit from generated tax credits, a discrete income tax benefit related to the capital loss from the Akili investment, partially offset by a discrete income tax expense related to the mark-to-market investment adjustments.</w:t>
      </w:r>
    </w:p>
    <w:p>
      <w:pPr>
        <w:spacing w:after="0" w:line="48" w:lineRule="exact"/>
        <w:rPr>
          <w:sz w:val="20"/>
          <w:szCs w:val="20"/>
          <w:color w:val="auto"/>
        </w:rPr>
      </w:pPr>
    </w:p>
    <w:p>
      <w:pPr>
        <w:ind w:left="400" w:hanging="392"/>
        <w:spacing w:after="0"/>
        <w:tabs>
          <w:tab w:leader="none" w:pos="400" w:val="left"/>
        </w:tabs>
        <w:numPr>
          <w:ilvl w:val="0"/>
          <w:numId w:val="38"/>
        </w:numPr>
        <w:rPr>
          <w:rFonts w:ascii="Arial" w:cs="Arial" w:eastAsia="Arial" w:hAnsi="Arial"/>
          <w:sz w:val="15"/>
          <w:szCs w:val="15"/>
          <w:b w:val="1"/>
          <w:bCs w:val="1"/>
          <w:color w:val="183964"/>
        </w:rPr>
      </w:pPr>
      <w:r>
        <w:rPr>
          <w:rFonts w:ascii="Arial" w:cs="Arial" w:eastAsia="Arial" w:hAnsi="Arial"/>
          <w:sz w:val="15"/>
          <w:szCs w:val="15"/>
          <w:b w:val="1"/>
          <w:bCs w:val="1"/>
          <w:color w:val="183964"/>
        </w:rPr>
        <w:t>Subsequent Events</w:t>
      </w:r>
    </w:p>
    <w:p>
      <w:pPr>
        <w:spacing w:after="0" w:line="113"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The Group has evaluated subsequent events after June 30, 2024, up to the date of issuance, August 28, 2024, of the Condensed Consolidated Financial Statements, and has not identified any recordable or disclosable events not otherwise reported in these Condensed Consolidated Financial Statements or notes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1" w:right="379" w:bottom="1440" w:gutter="0" w:footer="0" w:header="0"/>
        </w:sectPr>
      </w:pPr>
    </w:p>
    <w:bookmarkStart w:id="42" w:name="page43"/>
    <w:bookmarkEnd w:id="42"/>
    <w:p>
      <w:pPr>
        <w:spacing w:after="0"/>
        <w:rPr>
          <w:sz w:val="20"/>
          <w:szCs w:val="20"/>
          <w:color w:val="auto"/>
        </w:rPr>
      </w:pPr>
      <w:r>
        <w:rPr>
          <w:rFonts w:ascii="Arial" w:cs="Arial" w:eastAsia="Arial" w:hAnsi="Arial"/>
          <w:sz w:val="31"/>
          <w:szCs w:val="31"/>
          <w:b w:val="1"/>
          <w:bCs w:val="1"/>
          <w:color w:val="183964"/>
        </w:rPr>
        <w:t>Directors’ responsibility statement</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The Board of Directors approved this Half-yearly Financial Report on August 28, 2024.</w:t>
      </w:r>
    </w:p>
    <w:p>
      <w:pPr>
        <w:spacing w:after="0" w:line="98" w:lineRule="exact"/>
        <w:rPr>
          <w:sz w:val="20"/>
          <w:szCs w:val="20"/>
          <w:color w:val="auto"/>
        </w:rPr>
      </w:pPr>
    </w:p>
    <w:p>
      <w:pPr>
        <w:spacing w:after="0" w:line="273" w:lineRule="auto"/>
        <w:rPr>
          <w:sz w:val="20"/>
          <w:szCs w:val="20"/>
          <w:color w:val="auto"/>
        </w:rPr>
      </w:pPr>
      <w:r>
        <w:rPr>
          <w:rFonts w:ascii="Arial" w:cs="Arial" w:eastAsia="Arial" w:hAnsi="Arial"/>
          <w:sz w:val="15"/>
          <w:szCs w:val="15"/>
          <w:color w:val="auto"/>
        </w:rPr>
        <w:t>The Directors confirm that to the best of their knowledge the unaudited condensed financial information has been prepared in accordance with IAS 34 as contained in UK-adopted International Financial Reporting Standards (IFRS) and that the interim management report includes a fair review of the information required by DTR 4.2.7 and DTR 4.2.8.</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Approved by the Board of Directors and signed on its behalf by:</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Bharatt Chowrira</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Chief Executive Officer</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August 28, 2024</w:t>
      </w:r>
    </w:p>
    <w:sectPr>
      <w:pgSz w:w="11900" w:h="16838" w:orient="portrait"/>
      <w:cols w:equalWidth="0" w:num="1">
        <w:col w:w="11180"/>
      </w:cols>
      <w:pgMar w:left="320" w:top="1235"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1."/>
      <w:numFmt w:val="decimal"/>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1."/>
      <w:numFmt w:val="decimal"/>
      <w:start w:val="1"/>
    </w:lvl>
  </w:abstractNum>
  <w:abstractNum w:abstractNumId="14">
    <w:nsid w:val="189A769B"/>
    <w:multiLevelType w:val="hybridMultilevel"/>
    <w:lvl w:ilvl="0">
      <w:lvlJc w:val="left"/>
      <w:lvlText w:val="%1."/>
      <w:numFmt w:val="decimal"/>
      <w:start w:val="2"/>
    </w:lvl>
  </w:abstractNum>
  <w:abstractNum w:abstractNumId="15">
    <w:nsid w:val="54E49EB4"/>
    <w:multiLevelType w:val="hybridMultilevel"/>
    <w:lvl w:ilvl="0">
      <w:lvlJc w:val="left"/>
      <w:lvlText w:val="%1."/>
      <w:numFmt w:val="decimal"/>
      <w:start w:val="3"/>
    </w:lvl>
  </w:abstractNum>
  <w:abstractNum w:abstractNumId="16">
    <w:nsid w:val="71F32454"/>
    <w:multiLevelType w:val="hybridMultilevel"/>
    <w:lvl w:ilvl="0">
      <w:lvlJc w:val="left"/>
      <w:lvlText w:val="%1."/>
      <w:numFmt w:val="decimal"/>
      <w:start w:val="4"/>
    </w:lvl>
  </w:abstractNum>
  <w:abstractNum w:abstractNumId="17">
    <w:nsid w:val="2CA88611"/>
    <w:multiLevelType w:val="hybridMultilevel"/>
    <w:lvl w:ilvl="0">
      <w:lvlJc w:val="left"/>
      <w:lvlText w:val="%1."/>
      <w:numFmt w:val="decimal"/>
      <w:start w:val="5"/>
    </w:lvl>
  </w:abstractNum>
  <w:abstractNum w:abstractNumId="18">
    <w:nsid w:val="836C40E"/>
    <w:multiLevelType w:val="hybridMultilevel"/>
    <w:lvl w:ilvl="0">
      <w:lvlJc w:val="left"/>
      <w:lvlText w:val="%1."/>
      <w:numFmt w:val="decimal"/>
      <w:start w:val="6"/>
    </w:lvl>
  </w:abstractNum>
  <w:abstractNum w:abstractNumId="19">
    <w:nsid w:val="2901D82"/>
    <w:multiLevelType w:val="hybridMultilevel"/>
    <w:lvl w:ilvl="0">
      <w:lvlJc w:val="left"/>
      <w:lvlText w:val="%1."/>
      <w:numFmt w:val="decimal"/>
      <w:start w:val="7"/>
    </w:lvl>
  </w:abstractNum>
  <w:abstractNum w:abstractNumId="20">
    <w:nsid w:val="3A95F874"/>
    <w:multiLevelType w:val="hybridMultilevel"/>
    <w:lvl w:ilvl="0">
      <w:lvlJc w:val="left"/>
      <w:lvlText w:val="%1."/>
      <w:numFmt w:val="decimal"/>
      <w:start w:val="8"/>
    </w:lvl>
  </w:abstractNum>
  <w:abstractNum w:abstractNumId="21">
    <w:nsid w:val="8138641"/>
    <w:multiLevelType w:val="hybridMultilevel"/>
    <w:lvl w:ilvl="0">
      <w:lvlJc w:val="left"/>
      <w:lvlText w:val="%1."/>
      <w:numFmt w:val="decimal"/>
      <w:start w:val="9"/>
    </w:lvl>
  </w:abstractNum>
  <w:abstractNum w:abstractNumId="22">
    <w:nsid w:val="1E7FF521"/>
    <w:multiLevelType w:val="hybridMultilevel"/>
    <w:lvl w:ilvl="0">
      <w:lvlJc w:val="left"/>
      <w:lvlText w:val="%1."/>
      <w:numFmt w:val="decimal"/>
      <w:start w:val="10"/>
    </w:lvl>
  </w:abstractNum>
  <w:abstractNum w:abstractNumId="23">
    <w:nsid w:val="7C3DBD3D"/>
    <w:multiLevelType w:val="hybridMultilevel"/>
    <w:lvl w:ilvl="0">
      <w:lvlJc w:val="left"/>
      <w:lvlText w:val="%1."/>
      <w:numFmt w:val="decimal"/>
      <w:start w:val="1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1."/>
      <w:numFmt w:val="decimal"/>
      <w:start w:val="12"/>
    </w:lvl>
  </w:abstractNum>
  <w:abstractNum w:abstractNumId="26">
    <w:nsid w:val="22221A70"/>
    <w:multiLevelType w:val="hybridMultilevel"/>
    <w:lvl w:ilvl="0">
      <w:lvlJc w:val="left"/>
      <w:lvlText w:val="%1."/>
      <w:numFmt w:val="decimal"/>
      <w:start w:val="13"/>
    </w:lvl>
  </w:abstractNum>
  <w:abstractNum w:abstractNumId="27">
    <w:nsid w:val="4516DDE9"/>
    <w:multiLevelType w:val="hybridMultilevel"/>
    <w:lvl w:ilvl="0">
      <w:lvlJc w:val="left"/>
      <w:lvlText w:val="1"/>
      <w:numFmt w:val="bullet"/>
      <w:start w:val="1"/>
    </w:lvl>
  </w:abstractNum>
  <w:abstractNum w:abstractNumId="28">
    <w:nsid w:val="3006C83E"/>
    <w:multiLevelType w:val="hybridMultilevel"/>
    <w:lvl w:ilvl="0">
      <w:lvlJc w:val="left"/>
      <w:lvlText w:val="%1."/>
      <w:numFmt w:val="decimal"/>
      <w:start w:val="3"/>
    </w:lvl>
  </w:abstractNum>
  <w:abstractNum w:abstractNumId="29">
    <w:nsid w:val="614FD4A1"/>
    <w:multiLevelType w:val="hybridMultilevel"/>
    <w:lvl w:ilvl="0">
      <w:lvlJc w:val="left"/>
      <w:lvlText w:val="1"/>
      <w:numFmt w:val="bullet"/>
      <w:start w:val="1"/>
    </w:lvl>
  </w:abstractNum>
  <w:abstractNum w:abstractNumId="30">
    <w:nsid w:val="419AC241"/>
    <w:multiLevelType w:val="hybridMultilevel"/>
    <w:lvl w:ilvl="0">
      <w:lvlJc w:val="left"/>
      <w:lvlText w:val="%1."/>
      <w:numFmt w:val="decimal"/>
      <w:start w:val="14"/>
    </w:lvl>
  </w:abstractNum>
  <w:abstractNum w:abstractNumId="31">
    <w:nsid w:val="5577F8E1"/>
    <w:multiLevelType w:val="hybridMultilevel"/>
    <w:lvl w:ilvl="0">
      <w:lvlJc w:val="left"/>
      <w:lvlText w:val="%1."/>
      <w:numFmt w:val="decimal"/>
      <w:start w:val="15"/>
    </w:lvl>
  </w:abstractNum>
  <w:abstractNum w:abstractNumId="32">
    <w:nsid w:val="440BADFC"/>
    <w:multiLevelType w:val="hybridMultilevel"/>
    <w:lvl w:ilvl="0">
      <w:lvlJc w:val="left"/>
      <w:lvlText w:val="%1."/>
      <w:numFmt w:val="decimal"/>
      <w:start w:val="16"/>
    </w:lvl>
  </w:abstractNum>
  <w:abstractNum w:abstractNumId="33">
    <w:nsid w:val="5072367"/>
    <w:multiLevelType w:val="hybridMultilevel"/>
    <w:lvl w:ilvl="0">
      <w:lvlJc w:val="left"/>
      <w:lvlText w:val="%1."/>
      <w:numFmt w:val="decimal"/>
      <w:start w:val="17"/>
    </w:lvl>
  </w:abstractNum>
  <w:abstractNum w:abstractNumId="34">
    <w:nsid w:val="3804823E"/>
    <w:multiLevelType w:val="hybridMultilevel"/>
    <w:lvl w:ilvl="0">
      <w:lvlJc w:val="left"/>
      <w:lvlText w:val="1"/>
      <w:numFmt w:val="bullet"/>
      <w:start w:val="1"/>
    </w:lvl>
  </w:abstractNum>
  <w:abstractNum w:abstractNumId="35">
    <w:nsid w:val="77465F01"/>
    <w:multiLevelType w:val="hybridMultilevel"/>
    <w:lvl w:ilvl="0">
      <w:lvlJc w:val="left"/>
      <w:lvlText w:val="2"/>
      <w:numFmt w:val="bullet"/>
      <w:start w:val="1"/>
    </w:lvl>
  </w:abstractNum>
  <w:abstractNum w:abstractNumId="36">
    <w:nsid w:val="7724C67E"/>
    <w:multiLevelType w:val="hybridMultilevel"/>
    <w:lvl w:ilvl="0">
      <w:lvlJc w:val="left"/>
      <w:lvlText w:val="%1."/>
      <w:numFmt w:val="decimal"/>
      <w:start w:val="18"/>
    </w:lvl>
  </w:abstractNum>
  <w:abstractNum w:abstractNumId="37">
    <w:nsid w:val="5C482A97"/>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2024-08-28T06:34:51Z</dcterms:created>
  <dcterms:modified xsi:type="dcterms:W3CDTF">2024-08-28T06:34:51Z</dcterms:modified>
</cp:coreProperties>
</file>