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Press Release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September 27, 2024, PureTech Health plc (LSE: PRTC, Nasdaq: PRTC) (the “Company”) issued a press release announcing that PureTech-invented KarXT received U.S. Food and Drug Administration approval for the treatment of schizophrenia in adults.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35" w:lineRule="exact"/>
        <w:rPr>
          <w:sz w:val="20"/>
          <w:szCs w:val="20"/>
          <w:color w:val="auto"/>
        </w:rPr>
      </w:pPr>
    </w:p>
    <w:p>
      <w:pPr>
        <w:ind w:left="660" w:right="90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PureTech Health plc, dated September 27, 2024, titled “PureTech-Invented KarXT Receives U.S. Food and Drug Administration Approval for the Treatment of Schizophrenia in Adults”.</w:t>
      </w:r>
    </w:p>
    <w:p>
      <w:pPr>
        <w:sectPr>
          <w:pgSz w:w="11900" w:h="16838" w:orient="portrait"/>
          <w:cols w:equalWidth="0" w:num="1">
            <w:col w:w="10920"/>
          </w:cols>
          <w:pgMar w:left="440" w:top="266" w:right="5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27,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27 September 2024</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PureTech-Invented KarXT Receives U.S. Food and Drug Administration Approval for the Treatment of Schizophrenia in Adults</w:t>
      </w:r>
    </w:p>
    <w:p>
      <w:pPr>
        <w:spacing w:after="0" w:line="227" w:lineRule="exact"/>
        <w:rPr>
          <w:sz w:val="20"/>
          <w:szCs w:val="20"/>
          <w:color w:val="auto"/>
        </w:rPr>
      </w:pPr>
    </w:p>
    <w:p>
      <w:pPr>
        <w:jc w:val="center"/>
        <w:ind w:left="440" w:right="100"/>
        <w:spacing w:after="0" w:line="267" w:lineRule="auto"/>
        <w:rPr>
          <w:sz w:val="20"/>
          <w:szCs w:val="20"/>
          <w:color w:val="auto"/>
        </w:rPr>
      </w:pPr>
      <w:r>
        <w:rPr>
          <w:rFonts w:ascii="Times New Roman" w:cs="Times New Roman" w:eastAsia="Times New Roman" w:hAnsi="Times New Roman"/>
          <w:sz w:val="18"/>
          <w:szCs w:val="18"/>
          <w:i w:val="1"/>
          <w:iCs w:val="1"/>
          <w:color w:val="auto"/>
        </w:rPr>
        <w:t>Milestone triggers payments to PureTech totaling $29 million under agreements with Royalty Pharma and PureTech’s Founded Entity, Karuna Therapeutics, which was acquired by Bristol Myers Squibb in March 2024, and unlocks potential future payments related to additional milestones and royalties</w:t>
      </w:r>
    </w:p>
    <w:p>
      <w:pPr>
        <w:spacing w:after="0" w:line="1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Bristol Myers Squibb to market KarXT as Cobenfy</w:t>
      </w:r>
      <w:r>
        <w:rPr>
          <w:rFonts w:ascii="Times New Roman" w:cs="Times New Roman" w:eastAsia="Times New Roman" w:hAnsi="Times New Roman"/>
          <w:sz w:val="26"/>
          <w:szCs w:val="26"/>
          <w:i w:val="1"/>
          <w:iCs w:val="1"/>
          <w:color w:val="auto"/>
          <w:vertAlign w:val="superscript"/>
        </w:rPr>
        <w:t>TM1</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Cobenfy is the first new drug mechanism approved in over 50 years for the treatment of schizophrenia in adults</w:t>
      </w:r>
    </w:p>
    <w:p>
      <w:pPr>
        <w:spacing w:after="0" w:line="227"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clinical-stage biotherapeutics company dedicated to changing the lives of patients with devastating diseases, today announced that KarXT (xanomeline and trospium chloride), which was initially invented and advanced by PureTech, has received U.S. Food and Drug Administration (“FDA”) approval for the treatment of schizophrenia in adults. The FDA approval triggers two separate milestone payments to PureTech totaling $29 million under agreements with </w:t>
      </w:r>
      <w:r>
        <w:rPr>
          <w:rFonts w:ascii="Times New Roman" w:cs="Times New Roman" w:eastAsia="Times New Roman" w:hAnsi="Times New Roman"/>
          <w:sz w:val="18"/>
          <w:szCs w:val="18"/>
          <w:u w:val="single" w:color="auto"/>
          <w:color w:val="auto"/>
        </w:rPr>
        <w:t>Royalty Pharma</w:t>
      </w:r>
      <w:r>
        <w:rPr>
          <w:rFonts w:ascii="Times New Roman" w:cs="Times New Roman" w:eastAsia="Times New Roman" w:hAnsi="Times New Roman"/>
          <w:sz w:val="18"/>
          <w:szCs w:val="18"/>
          <w:color w:val="auto"/>
        </w:rPr>
        <w:t xml:space="preserve"> and PureTech’s Founded Entity, Karuna Therapeutics, which was </w:t>
      </w:r>
      <w:r>
        <w:rPr>
          <w:rFonts w:ascii="Times New Roman" w:cs="Times New Roman" w:eastAsia="Times New Roman" w:hAnsi="Times New Roman"/>
          <w:sz w:val="18"/>
          <w:szCs w:val="18"/>
          <w:u w:val="single" w:color="auto"/>
          <w:color w:val="auto"/>
        </w:rPr>
        <w:t>acquired by Bristol Myers Squibb (NYSE: BMY) (“BMS”) in March of 2024</w:t>
      </w:r>
      <w:r>
        <w:rPr>
          <w:rFonts w:ascii="Times New Roman" w:cs="Times New Roman" w:eastAsia="Times New Roman" w:hAnsi="Times New Roman"/>
          <w:sz w:val="18"/>
          <w:szCs w:val="18"/>
          <w:color w:val="auto"/>
        </w:rPr>
        <w:t>. Under these agreements, PureTech is also entitled to potential future payments related to additional milestones as well as approximately 2% royalties on net annual sales over $2 billion. Following the acquisition of Karuna, KarXT is now under the stewardship of BMS and will be marketed as Cobenfy.</w:t>
      </w:r>
    </w:p>
    <w:p>
      <w:pPr>
        <w:spacing w:after="0" w:line="189" w:lineRule="exact"/>
        <w:rPr>
          <w:sz w:val="20"/>
          <w:szCs w:val="20"/>
          <w:color w:val="auto"/>
        </w:rPr>
      </w:pPr>
    </w:p>
    <w:p>
      <w:pPr>
        <w:ind w:left="4" w:right="120"/>
        <w:spacing w:after="0" w:line="261" w:lineRule="auto"/>
        <w:rPr>
          <w:sz w:val="20"/>
          <w:szCs w:val="20"/>
          <w:color w:val="auto"/>
        </w:rPr>
      </w:pPr>
      <w:r>
        <w:rPr>
          <w:rFonts w:ascii="Times New Roman" w:cs="Times New Roman" w:eastAsia="Times New Roman" w:hAnsi="Times New Roman"/>
          <w:sz w:val="18"/>
          <w:szCs w:val="18"/>
          <w:color w:val="auto"/>
        </w:rPr>
        <w:t>Cobenfy was invented at PureTech by combining two biologically active molecules – xanomeline and trospium chloride – to address a tolerability challenge that had held back a potential new class of medicines for the treatment of neuropsychiatric conditions, such as schizophrenia. Consistent with its unique model of drug development, PureTech advanced Cobenfy by founding Karuna Therapeutics, which later became a publicly traded company on Nasdaq.</w:t>
      </w:r>
    </w:p>
    <w:p>
      <w:pPr>
        <w:spacing w:after="0" w:line="180" w:lineRule="exact"/>
        <w:rPr>
          <w:sz w:val="20"/>
          <w:szCs w:val="20"/>
          <w:color w:val="auto"/>
        </w:rPr>
      </w:pPr>
    </w:p>
    <w:p>
      <w:pPr>
        <w:ind w:left="4" w:right="60"/>
        <w:spacing w:after="0" w:line="277" w:lineRule="auto"/>
        <w:rPr>
          <w:sz w:val="20"/>
          <w:szCs w:val="20"/>
          <w:color w:val="auto"/>
        </w:rPr>
      </w:pPr>
      <w:r>
        <w:rPr>
          <w:rFonts w:ascii="Times New Roman" w:cs="Times New Roman" w:eastAsia="Times New Roman" w:hAnsi="Times New Roman"/>
          <w:sz w:val="17"/>
          <w:szCs w:val="17"/>
          <w:color w:val="auto"/>
        </w:rPr>
        <w:t>Eric Elenko, PhD, Co-founder and President of PureTech said: “The FDA approval of Cobenfy is a significant milestone in our mission to transform the lives of patients with devastating diseases. Our initial hypothesis was that we could overcome the tolerability issues that had hindered the development of an otherwise promising drug, xanomeline, and we were able to test and validate this concept early on. We are immensely proud that our dedication to this program has led to the first major innovation in decades for those living with schizophrenia, and I am equally pleased that our unique approach to R&amp;D has delivered yet another novel therapeutic to patients. Congratulations to the teams at Karuna and BMS on this historic accomplishment.”</w:t>
      </w:r>
    </w:p>
    <w:p>
      <w:pPr>
        <w:spacing w:after="0" w:line="168" w:lineRule="exact"/>
        <w:rPr>
          <w:sz w:val="20"/>
          <w:szCs w:val="20"/>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color w:val="auto"/>
        </w:rPr>
        <w:t>The FDA approval of Cobenfy is further validation of PureTech’s model and a hallmark of how it creates value both clinically and financially. PureTech’s monetization of equity holdings in Karuna, including gross proceeds from the BMS acquisition of Karuna, and a strategic royalty agreement with Royalty Pharma have enabled PureTech to generate approximately $1.1 billion to date after directing $18.5 million toward Karuna’s founding and Cobenfy’s development. PureTech’s business model is designed to repeat and scale this type of outcome, and proceeds from the success of Cobenfy have enabled PureTech to self-fund the advancement of several programs – including LYT-100 (deupirfenidone), LYT-200 (anti-galectin-9 mAb), and the Glyph</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supporting the pipeline of Seaport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ind w:left="424" w:hanging="424"/>
        <w:spacing w:after="0" w:line="203" w:lineRule="auto"/>
        <w:tabs>
          <w:tab w:leader="none" w:pos="424"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Cobenfy is a trademark of Bristol Myers Squibb.</w:t>
      </w:r>
    </w:p>
    <w:p>
      <w:pPr>
        <w:sectPr>
          <w:pgSz w:w="11900" w:h="16838" w:orient="portrait"/>
          <w:cols w:equalWidth="0" w:num="1">
            <w:col w:w="11024"/>
          </w:cols>
          <w:pgMar w:left="436" w:top="117" w:right="439" w:bottom="1440" w:gutter="0" w:footer="0" w:header="0"/>
        </w:sectPr>
      </w:pPr>
    </w:p>
    <w:bookmarkStart w:id="4" w:name="page5"/>
    <w:bookmarkEnd w:id="4"/>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Bharatt Chowrira, PhD, JD, Chief Executive Officer of PureTech said: “Congratulations to the Karuna and BMS teams for delivering a groundbreaking treatment to people with schizophrenia. The FDA approval of Cobenfy is a testament to our unique R&amp;D engine, which has now produced three FDA approved therapeutics. We’ve applied this approach across our portfolio, from our late-stage Internal Program LYT-100 (deupirfenidone) to our newly launched Founded Entity, Seaport Therapeutics, and we will continue to leverage this successful drug development model as we enter our next phase of innovation.”</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PureTech’s next wave of innovation continues to focus on validated biologic and small molecule modalities with human clinical data in diseases with significant unmet need. LYT-100 (deupirfenidone) is PureTech’s wholly-owned program in development for the treatment of idiopathic pulmonary fibrosis (IPF), a rare progressive lung disease with no cure. The LYT-100 program leverages extensive prior clinical data and follows the same blueprint used with Cobenfy to unlock the full therapeutic potential of an efficacious but poorly tolerated medicine. PureTech anticipates topline data from the Phase 2b clinical trial of LYT-100 in patients with IPF by the end of the year, as well as additional readouts from its oncology program, LYT-200 (anti-galectin-9 monoclonal antibody).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COBENFY is contraindicated in patients with:</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urinary retention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 (Child-Pugh Class B) or severe (Child-Pugh Class C) hepatic impairment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gastric retention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history of hypersensitivity to COBENFY or trospium chloride. Angioedema has been reported with COBENFY and trospium chloride.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untreated narrow-angle glaucoma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1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Risk of Urinary Retention: </w:t>
      </w:r>
      <w:r>
        <w:rPr>
          <w:rFonts w:ascii="Times New Roman" w:cs="Times New Roman" w:eastAsia="Times New Roman" w:hAnsi="Times New Roman"/>
          <w:sz w:val="18"/>
          <w:szCs w:val="18"/>
          <w:color w:val="auto"/>
        </w:rPr>
        <w:t>COBENFY can cause urinary retention. Geriatric patients and patients with clinically significant bladder outlet obstruction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incomplete bladder emptying (e.g., patients with benign prostatic hyperplasia (BPH), diabetic cystopathy) may be at increased risk of urinary retention. COBENFY is contraindicated in patients with pre-existing urinary retention and is not recommended in patients with moderate or severe renal impairment.</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patients taking COBENFY, monitor for symptoms of urinary retention, including urinary hesitancy, weak stream, incomplete bladder emptying, and dysuria. Instruct patients to be aware of the risk and promptly report symptoms of urinary retention to their healthcare provider. Urinary retention is a known risk factor for urinary tract infections. In patients with symptoms of urinary retention, consider reducing the dose of COBENFY, discontinuing COBENFY, or referring patients for urologic evaluation as clinically indicated.</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Risk of Use in Patients with Hepatic Impairment: </w:t>
      </w:r>
      <w:r>
        <w:rPr>
          <w:rFonts w:ascii="Times New Roman" w:cs="Times New Roman" w:eastAsia="Times New Roman" w:hAnsi="Times New Roman"/>
          <w:sz w:val="18"/>
          <w:szCs w:val="18"/>
          <w:color w:val="auto"/>
        </w:rPr>
        <w:t>Patients with hepatic impairment have higher systemic exposures of xanomeline, a component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COBENFY, compared to patients with normal hepatic function, which may result in increased incidence of COBENFY-related adverse reactions.</w:t>
      </w:r>
    </w:p>
    <w:p>
      <w:pPr>
        <w:spacing w:after="0" w:line="15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COBENFY is contraindicated in patients with moderate or severe hepatic impairment. COBENFY is not recommended in patients with mild hepatic impairment.</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Assess liver enzymes prior to initiating COBENFY and as clinically indicated during treatment.</w:t>
      </w:r>
    </w:p>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Risk of Use in Patients with Biliary Disease: </w:t>
      </w:r>
      <w:r>
        <w:rPr>
          <w:rFonts w:ascii="Times New Roman" w:cs="Times New Roman" w:eastAsia="Times New Roman" w:hAnsi="Times New Roman"/>
          <w:sz w:val="18"/>
          <w:szCs w:val="18"/>
          <w:color w:val="auto"/>
        </w:rPr>
        <w:t>In clinical studies with COBENFY, transient increases in liver enzymes with rapid decline occurred,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with transient biliary obstruction due to biliary contraction and possible gallstone passage.</w:t>
      </w:r>
    </w:p>
    <w:p>
      <w:pPr>
        <w:spacing w:after="0" w:line="15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COBENFY is not recommended for patients with active biliary disease such as symptomatic gallstones. Assess liver enzymes and bilirubin prior to initiating COBENFY and as clinically indicated during treatment. The occurrence of symptoms such as dyspepsia, nausea, vomiting, or upper abdominal pain should prompt assessment for gallbladder disorders, biliary disorders, and pancreatitis, as clinically indicated.</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Discontinue COBENFY in the presence of signs or symptoms of substantial liver injury such as jaundice, pruritus, or alanine aminotransferase levels more than five times the upper limit of normal or five times baseline values.</w:t>
      </w:r>
    </w:p>
    <w:p>
      <w:pPr>
        <w:spacing w:after="0" w:line="158"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Decreased Gastrointestinal Motility: </w:t>
      </w:r>
      <w:r>
        <w:rPr>
          <w:rFonts w:ascii="Times New Roman" w:cs="Times New Roman" w:eastAsia="Times New Roman" w:hAnsi="Times New Roman"/>
          <w:sz w:val="18"/>
          <w:szCs w:val="18"/>
          <w:color w:val="auto"/>
        </w:rPr>
        <w:t>COBENFY contains trospium chloride. Trospium chloride, like other antimuscarinic agents, may decrease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gastrointestinal motility. Administer COBENFY with caution in patients with gastrointestinal obstructive disorders because of the risk of gastric retention. Use COBENFY with caution in patients with conditions such as ulcerative colitis, intestinal atony, and myasthenia gravis.</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Risk of Angioedema: </w:t>
      </w:r>
      <w:r>
        <w:rPr>
          <w:rFonts w:ascii="Times New Roman" w:cs="Times New Roman" w:eastAsia="Times New Roman" w:hAnsi="Times New Roman"/>
          <w:sz w:val="18"/>
          <w:szCs w:val="18"/>
          <w:color w:val="auto"/>
        </w:rPr>
        <w:t>Angioedema of the face, lips, tongue, and/or larynx has been reported with COBENFY and trospium chloride, a component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COBENFY. In one case, angioedema occurred after the first dose of trospium chloride. Angioedema associated with upper airway swelling may be life-threatening. If involvement of the tongue, hypopharynx, or larynx occurs, discontinue COBENFY and initiate appropriate therapy and/or measures necessary to ensure a patent airway. COBENFY is contraindicated in patients with a history of hypersensitivity to trospium chloride.</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Risk of Use in Patients with Narrow-angle Glaucoma: </w:t>
      </w:r>
      <w:r>
        <w:rPr>
          <w:rFonts w:ascii="Times New Roman" w:cs="Times New Roman" w:eastAsia="Times New Roman" w:hAnsi="Times New Roman"/>
          <w:sz w:val="18"/>
          <w:szCs w:val="18"/>
          <w:color w:val="auto"/>
        </w:rPr>
        <w:t>Pupillary dilation may occur due to the anticholinergic effects of COBENFY. This may trigger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acute angle closure attack in patients with anatomically narrow angles. In patients known to have anatomically narrow angles, COBENFY should only be used if the potential benefits outweigh the risks and with careful monitoring.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Increases in Heart Rate: </w:t>
      </w:r>
      <w:r>
        <w:rPr>
          <w:rFonts w:ascii="Times New Roman" w:cs="Times New Roman" w:eastAsia="Times New Roman" w:hAnsi="Times New Roman"/>
          <w:sz w:val="17"/>
          <w:szCs w:val="17"/>
          <w:color w:val="auto"/>
        </w:rPr>
        <w:t>COBENFY can increase heart rate. Assess heart rate at baseline and as clinically indicated during treatment with COBENFY.</w:t>
      </w:r>
    </w:p>
    <w:p>
      <w:pPr>
        <w:spacing w:after="0" w:line="23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Anticholinergic Adverse Reactions in Patients with Renal Impairment: </w:t>
      </w:r>
      <w:r>
        <w:rPr>
          <w:rFonts w:ascii="Times New Roman" w:cs="Times New Roman" w:eastAsia="Times New Roman" w:hAnsi="Times New Roman"/>
          <w:sz w:val="18"/>
          <w:szCs w:val="18"/>
          <w:color w:val="auto"/>
        </w:rPr>
        <w:t>Trospium chloride, a component of COBENFY, is substantially excreted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kidney. COBENFY is not recommended in patients with moderate or severe renal impairment (estimated glomerular filtration rate (eGFR) &lt;60 mL/min). Systemic exposure of trospium chloride is higher in patients with moderate and severe renal impairment. Therefore, anticholinergic adverse reactions (including dry mouth, constipation, dyspepsia, urinary tract infection, and urinary retention) are expected to be greater in patients with moderate and severe renal impairment.</w:t>
      </w:r>
    </w:p>
    <w:p>
      <w:pPr>
        <w:spacing w:after="0" w:line="179"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Central Nervous System Effects: </w:t>
      </w:r>
      <w:r>
        <w:rPr>
          <w:rFonts w:ascii="Times New Roman" w:cs="Times New Roman" w:eastAsia="Times New Roman" w:hAnsi="Times New Roman"/>
          <w:sz w:val="18"/>
          <w:szCs w:val="18"/>
          <w:color w:val="auto"/>
        </w:rPr>
        <w:t>Trospium chloride, a component of COBENFY, is associated with anticholinergic central nervous system (CNS)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effects. A variety of CNS anticholinergic effects have been reported with trospium chloride, including dizziness, confusion, hallucinations, and somnolence.</w:t>
      </w:r>
    </w:p>
    <w:p>
      <w:pPr>
        <w:sectPr>
          <w:pgSz w:w="11900" w:h="16838" w:orient="portrait"/>
          <w:cols w:equalWidth="0" w:num="1">
            <w:col w:w="10960"/>
          </w:cols>
          <w:pgMar w:left="440" w:top="270" w:right="499" w:bottom="1440" w:gutter="0" w:footer="0" w:header="0"/>
        </w:sectPr>
      </w:pPr>
    </w:p>
    <w:bookmarkStart w:id="6" w:name="page7"/>
    <w:bookmarkEnd w:id="6"/>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Monitor patients for signs of anticholinergic CNS effects, particularly after beginning treatment or increasing the dose. Advise patients not to drive or operate heavy machinery until they know how COBENFY affects them. If a patient experiences anticholinergic CNS effects, consider dose reduction or drug discontinuation.</w:t>
      </w:r>
    </w:p>
    <w:p>
      <w:pPr>
        <w:spacing w:after="0" w:line="17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Most Common Adverse Reactions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5% and at least twice placebo): </w:t>
      </w:r>
      <w:r>
        <w:rPr>
          <w:rFonts w:ascii="Times New Roman" w:cs="Times New Roman" w:eastAsia="Times New Roman" w:hAnsi="Times New Roman"/>
          <w:sz w:val="18"/>
          <w:szCs w:val="18"/>
          <w:color w:val="auto"/>
        </w:rPr>
        <w:t>nausea, dyspepsia, constipation, vomiting, hypertension, abdominal pain,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diarrhea, tachycardia, dizziness, and gastroesophageal reflux disease.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in Specific Populations:</w:t>
      </w:r>
    </w:p>
    <w:p>
      <w:pPr>
        <w:spacing w:after="0" w:line="135"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 or Severe Renal Impairment: Not recommended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Mild Hepatic Impairment: Not recommended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COBENFY (xanomeline and trospium chloride) is available in 50mg/20mg, 100mg/20mg, and 125mg/30mg capsules.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Please see </w:t>
      </w:r>
      <w:r>
        <w:rPr>
          <w:rFonts w:ascii="Times New Roman" w:cs="Times New Roman" w:eastAsia="Times New Roman" w:hAnsi="Times New Roman"/>
          <w:sz w:val="18"/>
          <w:szCs w:val="18"/>
          <w:b w:val="1"/>
          <w:bCs w:val="1"/>
          <w:u w:val="single" w:color="auto"/>
          <w:color w:val="auto"/>
        </w:rPr>
        <w:t>U.S. Full Prescribing Information</w:t>
      </w:r>
      <w:r>
        <w:rPr>
          <w:rFonts w:ascii="Times New Roman" w:cs="Times New Roman" w:eastAsia="Times New Roman" w:hAnsi="Times New Roman"/>
          <w:sz w:val="18"/>
          <w:szCs w:val="18"/>
          <w:b w:val="1"/>
          <w:bCs w:val="1"/>
          <w:color w:val="auto"/>
        </w:rPr>
        <w:t xml:space="preserve"> , including </w:t>
      </w:r>
      <w:r>
        <w:rPr>
          <w:rFonts w:ascii="Times New Roman" w:cs="Times New Roman" w:eastAsia="Times New Roman" w:hAnsi="Times New Roman"/>
          <w:sz w:val="18"/>
          <w:szCs w:val="18"/>
          <w:b w:val="1"/>
          <w:bCs w:val="1"/>
          <w:u w:val="single" w:color="auto"/>
          <w:color w:val="auto"/>
        </w:rPr>
        <w:t>Patient Information .</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three that have been approved by the U.S. Food and Drug Administration.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www.puretechhealth.com</w:t>
      </w:r>
      <w:r>
        <w:rPr>
          <w:rFonts w:ascii="Times New Roman" w:cs="Times New Roman" w:eastAsia="Times New Roman" w:hAnsi="Times New Roman"/>
          <w:sz w:val="18"/>
          <w:szCs w:val="18"/>
          <w:color w:val="auto"/>
        </w:rPr>
        <w:t xml:space="preserve">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related to additional milestones or royalties potentially due to PureTech in relation to KarXT/Cobenfy, PureTech’s development plans and the timing of data readouts, including as related to LYT-100 and LYT-200, and our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nichole@tenbridgecommunications.com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2024-09-27T16:53:56Z</dcterms:created>
  <dcterms:modified xsi:type="dcterms:W3CDTF">2024-09-27T16:53:56Z</dcterms:modified>
</cp:coreProperties>
</file>